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3575E6">
      <w:pPr>
        <w:snapToGrid w:val="0"/>
        <w:spacing w:before="156" w:beforeLines="50" w:line="360" w:lineRule="auto"/>
        <w:jc w:val="center"/>
        <w:rPr>
          <w:rFonts w:hint="eastAsia" w:ascii="仿宋" w:hAnsi="仿宋" w:eastAsia="仿宋" w:cs="仿宋"/>
          <w:sz w:val="48"/>
          <w:szCs w:val="48"/>
        </w:rPr>
      </w:pPr>
      <w:r>
        <w:rPr>
          <w:rFonts w:hint="eastAsia" w:ascii="仿宋" w:hAnsi="仿宋" w:eastAsia="仿宋" w:cs="仿宋"/>
          <w:sz w:val="48"/>
          <w:szCs w:val="48"/>
          <w:lang w:eastAsia="zh-CN"/>
        </w:rPr>
        <w:t>新增内河航道</w:t>
      </w:r>
      <w:r>
        <w:rPr>
          <w:rFonts w:hint="eastAsia" w:ascii="仿宋" w:hAnsi="仿宋" w:eastAsia="仿宋" w:cs="仿宋"/>
          <w:sz w:val="48"/>
          <w:szCs w:val="48"/>
        </w:rPr>
        <w:t>普查工作</w:t>
      </w:r>
    </w:p>
    <w:p w14:paraId="67747D82">
      <w:pPr>
        <w:snapToGrid w:val="0"/>
        <w:spacing w:before="156" w:beforeLines="50" w:line="360" w:lineRule="auto"/>
        <w:jc w:val="center"/>
        <w:rPr>
          <w:rFonts w:hint="eastAsia" w:ascii="黑体" w:hAnsi="黑体" w:eastAsia="黑体" w:cs="黑体"/>
          <w:sz w:val="72"/>
          <w:szCs w:val="72"/>
        </w:rPr>
      </w:pPr>
      <w:r>
        <w:rPr>
          <w:rFonts w:hint="eastAsia" w:ascii="黑体" w:hAnsi="黑体" w:eastAsia="黑体" w:cs="黑体"/>
          <w:sz w:val="72"/>
          <w:szCs w:val="72"/>
        </w:rPr>
        <w:t>采购文件</w:t>
      </w:r>
    </w:p>
    <w:p w14:paraId="483F96A4">
      <w:pPr>
        <w:spacing w:line="360" w:lineRule="auto"/>
        <w:jc w:val="center"/>
        <w:rPr>
          <w:rFonts w:hint="eastAsia" w:ascii="宋体" w:hAnsi="宋体"/>
          <w:b/>
          <w:sz w:val="32"/>
          <w:szCs w:val="32"/>
        </w:rPr>
      </w:pPr>
    </w:p>
    <w:p w14:paraId="240F9CBA">
      <w:pPr>
        <w:spacing w:line="480" w:lineRule="auto"/>
        <w:jc w:val="center"/>
        <w:rPr>
          <w:rFonts w:hint="eastAsia" w:ascii="宋体" w:hAnsi="宋体"/>
          <w:b/>
          <w:sz w:val="32"/>
          <w:szCs w:val="32"/>
        </w:rPr>
      </w:pPr>
    </w:p>
    <w:p w14:paraId="657D11C6">
      <w:pPr>
        <w:pStyle w:val="31"/>
        <w:rPr>
          <w:rFonts w:hint="eastAsia" w:ascii="宋体" w:hAnsi="宋体"/>
          <w:b/>
          <w:sz w:val="32"/>
          <w:szCs w:val="32"/>
        </w:rPr>
      </w:pPr>
    </w:p>
    <w:p w14:paraId="3F7684A7">
      <w:pPr>
        <w:spacing w:line="480" w:lineRule="auto"/>
        <w:ind w:firstLine="1285" w:firstLineChars="400"/>
        <w:rPr>
          <w:rFonts w:hint="eastAsia" w:ascii="仿宋_GB2312" w:hAnsi="宋体" w:eastAsia="仿宋_GB2312"/>
          <w:b/>
          <w:sz w:val="32"/>
          <w:szCs w:val="32"/>
        </w:rPr>
      </w:pPr>
    </w:p>
    <w:p w14:paraId="6AC334BD">
      <w:pPr>
        <w:spacing w:line="480" w:lineRule="auto"/>
        <w:ind w:firstLine="1285" w:firstLineChars="400"/>
        <w:rPr>
          <w:rFonts w:hint="eastAsia" w:ascii="仿宋_GB2312" w:hAnsi="宋体" w:eastAsia="仿宋_GB2312"/>
          <w:b/>
          <w:sz w:val="32"/>
          <w:szCs w:val="32"/>
        </w:rPr>
      </w:pPr>
    </w:p>
    <w:p w14:paraId="1AA0E2CB">
      <w:pPr>
        <w:spacing w:line="480" w:lineRule="auto"/>
        <w:ind w:firstLine="1285" w:firstLineChars="400"/>
        <w:rPr>
          <w:rFonts w:hint="eastAsia" w:ascii="仿宋_GB2312" w:hAnsi="宋体" w:eastAsia="仿宋_GB2312"/>
          <w:b/>
          <w:sz w:val="32"/>
          <w:szCs w:val="32"/>
        </w:rPr>
      </w:pPr>
    </w:p>
    <w:p w14:paraId="497540D3">
      <w:pPr>
        <w:spacing w:line="480" w:lineRule="auto"/>
        <w:ind w:firstLine="1285" w:firstLineChars="400"/>
        <w:rPr>
          <w:rFonts w:hint="eastAsia" w:ascii="仿宋_GB2312" w:hAnsi="宋体" w:eastAsia="仿宋_GB2312"/>
          <w:b/>
          <w:sz w:val="32"/>
          <w:szCs w:val="32"/>
        </w:rPr>
      </w:pPr>
    </w:p>
    <w:p w14:paraId="1650578D">
      <w:pPr>
        <w:spacing w:line="360" w:lineRule="auto"/>
        <w:jc w:val="center"/>
        <w:rPr>
          <w:rFonts w:hint="eastAsia" w:ascii="宋体" w:hAnsi="宋体" w:eastAsia="宋体" w:cs="宋体"/>
          <w:b/>
          <w:sz w:val="32"/>
          <w:szCs w:val="32"/>
          <w:lang w:eastAsia="zh-CN"/>
        </w:rPr>
      </w:pPr>
      <w:r>
        <w:rPr>
          <w:rFonts w:hint="eastAsia" w:ascii="宋体" w:hAnsi="宋体" w:cs="宋体"/>
          <w:b/>
          <w:sz w:val="32"/>
          <w:szCs w:val="32"/>
        </w:rPr>
        <w:t>采购人：广西壮族自治区</w:t>
      </w:r>
      <w:r>
        <w:rPr>
          <w:rFonts w:hint="eastAsia" w:ascii="宋体" w:hAnsi="宋体" w:cs="宋体"/>
          <w:b/>
          <w:sz w:val="32"/>
          <w:szCs w:val="32"/>
          <w:lang w:eastAsia="zh-CN"/>
        </w:rPr>
        <w:t>水运发展中心</w:t>
      </w:r>
    </w:p>
    <w:p w14:paraId="0B0C16CB">
      <w:pPr>
        <w:spacing w:line="360" w:lineRule="auto"/>
        <w:jc w:val="center"/>
        <w:rPr>
          <w:rFonts w:hint="eastAsia" w:ascii="宋体" w:hAnsi="宋体" w:cs="宋体"/>
          <w:b/>
          <w:sz w:val="32"/>
          <w:szCs w:val="32"/>
        </w:rPr>
      </w:pPr>
      <w:r>
        <w:rPr>
          <w:rFonts w:hint="eastAsia" w:ascii="宋体" w:hAnsi="宋体" w:cs="宋体"/>
          <w:b/>
          <w:bCs/>
          <w:w w:val="95"/>
          <w:sz w:val="32"/>
          <w:szCs w:val="32"/>
        </w:rPr>
        <w:t>2026年</w:t>
      </w:r>
      <w:r>
        <w:rPr>
          <w:rFonts w:hint="eastAsia" w:ascii="宋体" w:hAnsi="宋体" w:cs="宋体"/>
          <w:b/>
          <w:bCs/>
          <w:w w:val="95"/>
          <w:sz w:val="32"/>
          <w:szCs w:val="32"/>
          <w:lang w:val="en-US" w:eastAsia="zh-CN"/>
        </w:rPr>
        <w:t>4</w:t>
      </w:r>
      <w:r>
        <w:rPr>
          <w:rFonts w:hint="eastAsia" w:ascii="宋体" w:hAnsi="宋体" w:cs="宋体"/>
          <w:b/>
          <w:bCs/>
          <w:w w:val="95"/>
          <w:sz w:val="32"/>
          <w:szCs w:val="32"/>
        </w:rPr>
        <w:t>月</w:t>
      </w:r>
    </w:p>
    <w:p w14:paraId="57D89B2E">
      <w:pPr>
        <w:spacing w:line="360" w:lineRule="auto"/>
        <w:jc w:val="center"/>
        <w:rPr>
          <w:rFonts w:hint="eastAsia" w:ascii="宋体" w:hAnsi="宋体" w:cs="宋体"/>
          <w:b/>
          <w:bCs/>
          <w:kern w:val="0"/>
          <w:sz w:val="32"/>
          <w:szCs w:val="32"/>
        </w:rPr>
      </w:pPr>
    </w:p>
    <w:p w14:paraId="04B66F81">
      <w:pPr>
        <w:pStyle w:val="22"/>
        <w:tabs>
          <w:tab w:val="right" w:leader="dot" w:pos="8931"/>
          <w:tab w:val="clear" w:pos="8296"/>
        </w:tabs>
        <w:adjustRightInd w:val="0"/>
        <w:snapToGrid w:val="0"/>
        <w:spacing w:line="264" w:lineRule="auto"/>
        <w:ind w:left="0" w:leftChars="0"/>
        <w:rPr>
          <w:rFonts w:hint="eastAsia" w:ascii="宋体" w:hAnsi="宋体"/>
          <w:b/>
          <w:sz w:val="32"/>
          <w:szCs w:val="32"/>
        </w:rPr>
      </w:pPr>
      <w:r>
        <w:rPr>
          <w:rFonts w:ascii="宋体" w:hAnsi="宋体"/>
          <w:b/>
          <w:sz w:val="44"/>
          <w:szCs w:val="44"/>
        </w:rPr>
        <w:br w:type="page"/>
      </w:r>
    </w:p>
    <w:p w14:paraId="0DE8DFE8">
      <w:pPr>
        <w:spacing w:line="400" w:lineRule="exact"/>
        <w:rPr>
          <w:rFonts w:hint="eastAsia" w:ascii="宋体" w:hAnsi="宋体"/>
          <w:b/>
          <w:sz w:val="32"/>
          <w:szCs w:val="32"/>
        </w:rPr>
        <w:sectPr>
          <w:headerReference r:id="rId4" w:type="first"/>
          <w:footerReference r:id="rId6" w:type="first"/>
          <w:headerReference r:id="rId3" w:type="default"/>
          <w:footerReference r:id="rId5" w:type="default"/>
          <w:pgSz w:w="11906" w:h="16838"/>
          <w:pgMar w:top="1440" w:right="1440" w:bottom="1440" w:left="1587" w:header="851" w:footer="992" w:gutter="0"/>
          <w:pgNumType w:start="0"/>
          <w:cols w:space="720" w:num="1"/>
          <w:titlePg/>
          <w:docGrid w:type="lines" w:linePitch="312" w:charSpace="0"/>
        </w:sectPr>
      </w:pPr>
    </w:p>
    <w:p w14:paraId="13DEA959">
      <w:pPr>
        <w:pStyle w:val="6"/>
        <w:spacing w:before="0" w:after="0" w:line="360" w:lineRule="auto"/>
        <w:jc w:val="center"/>
        <w:rPr>
          <w:rFonts w:hint="eastAsia"/>
          <w:sz w:val="28"/>
          <w:szCs w:val="28"/>
        </w:rPr>
      </w:pPr>
      <w:bookmarkStart w:id="0" w:name="_Toc25608"/>
      <w:bookmarkStart w:id="1" w:name="_Toc27769"/>
    </w:p>
    <w:p w14:paraId="06252C9A">
      <w:pPr>
        <w:pStyle w:val="6"/>
        <w:spacing w:before="0" w:after="0" w:line="360" w:lineRule="auto"/>
        <w:jc w:val="center"/>
        <w:rPr>
          <w:rFonts w:hint="eastAsia"/>
          <w:sz w:val="28"/>
          <w:szCs w:val="28"/>
        </w:rPr>
      </w:pPr>
    </w:p>
    <w:p w14:paraId="542E6BF7">
      <w:pPr>
        <w:pStyle w:val="6"/>
        <w:spacing w:before="0" w:after="0" w:line="360" w:lineRule="auto"/>
        <w:jc w:val="center"/>
        <w:rPr>
          <w:rFonts w:hint="eastAsia"/>
          <w:sz w:val="28"/>
          <w:szCs w:val="28"/>
        </w:rPr>
      </w:pPr>
    </w:p>
    <w:p w14:paraId="3FF86FFE">
      <w:pPr>
        <w:pStyle w:val="6"/>
        <w:spacing w:before="0" w:after="0" w:line="360" w:lineRule="auto"/>
        <w:jc w:val="center"/>
        <w:rPr>
          <w:rFonts w:hint="eastAsia"/>
          <w:sz w:val="28"/>
          <w:szCs w:val="28"/>
        </w:rPr>
      </w:pPr>
    </w:p>
    <w:p w14:paraId="6C87779A">
      <w:pPr>
        <w:pStyle w:val="6"/>
        <w:spacing w:before="0" w:after="0" w:line="360" w:lineRule="auto"/>
        <w:jc w:val="center"/>
        <w:rPr>
          <w:rFonts w:hint="eastAsia"/>
          <w:sz w:val="28"/>
          <w:szCs w:val="28"/>
        </w:rPr>
      </w:pPr>
    </w:p>
    <w:p w14:paraId="6324A7CC">
      <w:pPr>
        <w:pStyle w:val="6"/>
        <w:spacing w:before="0" w:after="0" w:line="360" w:lineRule="auto"/>
        <w:jc w:val="center"/>
        <w:rPr>
          <w:rFonts w:hint="eastAsia"/>
          <w:sz w:val="28"/>
          <w:szCs w:val="28"/>
        </w:rPr>
      </w:pPr>
    </w:p>
    <w:p w14:paraId="20C24FB7">
      <w:pPr>
        <w:pStyle w:val="6"/>
        <w:spacing w:before="0" w:after="0" w:line="360" w:lineRule="auto"/>
        <w:jc w:val="center"/>
        <w:rPr>
          <w:rFonts w:hint="eastAsia"/>
          <w:sz w:val="28"/>
          <w:szCs w:val="28"/>
        </w:rPr>
      </w:pPr>
    </w:p>
    <w:p w14:paraId="6EA033F9">
      <w:pPr>
        <w:pStyle w:val="6"/>
        <w:spacing w:before="0" w:after="0" w:line="360" w:lineRule="auto"/>
        <w:jc w:val="center"/>
        <w:rPr>
          <w:rFonts w:hint="eastAsia"/>
          <w:sz w:val="28"/>
          <w:szCs w:val="28"/>
        </w:rPr>
      </w:pPr>
    </w:p>
    <w:p w14:paraId="0863370E">
      <w:pPr>
        <w:pStyle w:val="6"/>
        <w:spacing w:before="0" w:after="0" w:line="360" w:lineRule="auto"/>
        <w:jc w:val="center"/>
        <w:rPr>
          <w:rFonts w:hint="eastAsia"/>
          <w:sz w:val="28"/>
          <w:szCs w:val="28"/>
        </w:rPr>
      </w:pPr>
    </w:p>
    <w:p w14:paraId="2FF77986">
      <w:pPr>
        <w:pStyle w:val="6"/>
        <w:spacing w:before="0" w:after="0" w:line="360" w:lineRule="auto"/>
        <w:jc w:val="center"/>
        <w:rPr>
          <w:rFonts w:hint="eastAsia"/>
          <w:sz w:val="28"/>
          <w:szCs w:val="28"/>
        </w:rPr>
      </w:pPr>
    </w:p>
    <w:p w14:paraId="2C174C37">
      <w:pPr>
        <w:pStyle w:val="6"/>
        <w:spacing w:before="0" w:after="0" w:line="360" w:lineRule="auto"/>
        <w:jc w:val="center"/>
        <w:rPr>
          <w:rFonts w:hint="eastAsia"/>
          <w:sz w:val="28"/>
          <w:szCs w:val="28"/>
        </w:rPr>
      </w:pPr>
    </w:p>
    <w:p w14:paraId="7AE07F8D">
      <w:pPr>
        <w:pStyle w:val="6"/>
        <w:spacing w:before="0" w:after="0" w:line="360" w:lineRule="auto"/>
        <w:jc w:val="center"/>
        <w:rPr>
          <w:rFonts w:hint="eastAsia"/>
          <w:sz w:val="28"/>
          <w:szCs w:val="28"/>
        </w:rPr>
      </w:pPr>
    </w:p>
    <w:p w14:paraId="352A8B9C">
      <w:pPr>
        <w:pStyle w:val="6"/>
        <w:spacing w:before="0" w:after="0" w:line="360" w:lineRule="auto"/>
        <w:jc w:val="center"/>
        <w:rPr>
          <w:rFonts w:hint="eastAsia"/>
          <w:sz w:val="28"/>
          <w:szCs w:val="28"/>
        </w:rPr>
      </w:pPr>
    </w:p>
    <w:p w14:paraId="7F1003AE">
      <w:pPr>
        <w:pStyle w:val="6"/>
        <w:spacing w:before="0" w:after="0" w:line="360" w:lineRule="auto"/>
        <w:jc w:val="center"/>
        <w:rPr>
          <w:rFonts w:hint="eastAsia"/>
          <w:sz w:val="28"/>
          <w:szCs w:val="28"/>
        </w:rPr>
      </w:pPr>
    </w:p>
    <w:p w14:paraId="4058A2AD">
      <w:pPr>
        <w:pStyle w:val="6"/>
        <w:spacing w:before="0" w:after="0" w:line="360" w:lineRule="auto"/>
        <w:jc w:val="center"/>
        <w:rPr>
          <w:rFonts w:hint="eastAsia"/>
          <w:sz w:val="28"/>
          <w:szCs w:val="28"/>
        </w:rPr>
      </w:pPr>
    </w:p>
    <w:p w14:paraId="2653053A">
      <w:pPr>
        <w:pStyle w:val="6"/>
        <w:spacing w:before="0" w:after="0" w:line="360" w:lineRule="auto"/>
        <w:jc w:val="center"/>
        <w:rPr>
          <w:rFonts w:hint="eastAsia"/>
          <w:sz w:val="28"/>
          <w:szCs w:val="28"/>
        </w:rPr>
      </w:pPr>
    </w:p>
    <w:p w14:paraId="665DBCA6">
      <w:pPr>
        <w:pStyle w:val="6"/>
        <w:spacing w:before="0" w:after="0" w:line="360" w:lineRule="auto"/>
        <w:jc w:val="center"/>
        <w:rPr>
          <w:rFonts w:hint="eastAsia"/>
          <w:sz w:val="28"/>
          <w:szCs w:val="28"/>
        </w:rPr>
      </w:pPr>
    </w:p>
    <w:p w14:paraId="3F05E7C7">
      <w:pPr>
        <w:pStyle w:val="6"/>
        <w:spacing w:before="0" w:after="0" w:line="360" w:lineRule="auto"/>
        <w:jc w:val="center"/>
        <w:rPr>
          <w:rFonts w:hint="eastAsia"/>
          <w:sz w:val="28"/>
          <w:szCs w:val="28"/>
        </w:rPr>
      </w:pPr>
    </w:p>
    <w:p w14:paraId="7C80AFD7">
      <w:pPr>
        <w:pStyle w:val="6"/>
        <w:spacing w:before="0" w:after="0" w:line="360" w:lineRule="auto"/>
        <w:jc w:val="center"/>
        <w:rPr>
          <w:rFonts w:hint="eastAsia"/>
          <w:sz w:val="28"/>
          <w:szCs w:val="28"/>
        </w:rPr>
      </w:pPr>
    </w:p>
    <w:p w14:paraId="7E8A6277">
      <w:pPr>
        <w:pStyle w:val="6"/>
        <w:spacing w:before="0" w:after="0" w:line="360" w:lineRule="auto"/>
        <w:jc w:val="center"/>
        <w:rPr>
          <w:rFonts w:hint="eastAsia"/>
          <w:sz w:val="28"/>
          <w:szCs w:val="28"/>
        </w:rPr>
      </w:pPr>
    </w:p>
    <w:p w14:paraId="18CD63C9">
      <w:pPr>
        <w:pStyle w:val="6"/>
        <w:spacing w:before="0" w:after="0" w:line="360" w:lineRule="auto"/>
        <w:jc w:val="center"/>
        <w:rPr>
          <w:rFonts w:hint="eastAsia"/>
          <w:sz w:val="28"/>
          <w:szCs w:val="28"/>
        </w:rPr>
      </w:pPr>
    </w:p>
    <w:p w14:paraId="77F930A9">
      <w:pPr>
        <w:pStyle w:val="6"/>
        <w:spacing w:before="0" w:after="0" w:line="360" w:lineRule="auto"/>
        <w:jc w:val="center"/>
        <w:rPr>
          <w:rFonts w:hint="eastAsia"/>
          <w:sz w:val="28"/>
          <w:szCs w:val="28"/>
        </w:rPr>
      </w:pPr>
    </w:p>
    <w:p w14:paraId="49158C89">
      <w:pPr>
        <w:pStyle w:val="6"/>
        <w:spacing w:before="0" w:after="0" w:line="360" w:lineRule="auto"/>
        <w:jc w:val="center"/>
        <w:rPr>
          <w:rFonts w:hint="eastAsia"/>
          <w:sz w:val="28"/>
          <w:szCs w:val="28"/>
        </w:rPr>
      </w:pPr>
    </w:p>
    <w:p w14:paraId="15653DB0">
      <w:pPr>
        <w:pStyle w:val="6"/>
        <w:spacing w:before="0" w:after="0" w:line="360" w:lineRule="auto"/>
        <w:jc w:val="center"/>
        <w:rPr>
          <w:rFonts w:hint="eastAsia"/>
          <w:sz w:val="28"/>
          <w:szCs w:val="28"/>
        </w:rPr>
      </w:pPr>
    </w:p>
    <w:p w14:paraId="5088B354">
      <w:pPr>
        <w:pStyle w:val="6"/>
        <w:spacing w:before="0" w:after="0" w:line="360" w:lineRule="auto"/>
        <w:jc w:val="center"/>
        <w:rPr>
          <w:rFonts w:hint="eastAsia"/>
          <w:sz w:val="28"/>
          <w:szCs w:val="28"/>
        </w:rPr>
      </w:pPr>
    </w:p>
    <w:p w14:paraId="52ECC84C">
      <w:pPr>
        <w:pStyle w:val="6"/>
        <w:spacing w:before="0" w:after="0" w:line="360" w:lineRule="auto"/>
        <w:jc w:val="center"/>
        <w:rPr>
          <w:rFonts w:hint="eastAsia"/>
          <w:sz w:val="28"/>
          <w:szCs w:val="28"/>
        </w:rPr>
      </w:pPr>
    </w:p>
    <w:p w14:paraId="2732BEAF">
      <w:pPr>
        <w:pStyle w:val="6"/>
        <w:spacing w:before="0" w:after="0" w:line="360" w:lineRule="auto"/>
        <w:jc w:val="center"/>
        <w:rPr>
          <w:rFonts w:hint="eastAsia"/>
          <w:sz w:val="28"/>
          <w:szCs w:val="28"/>
        </w:rPr>
      </w:pPr>
    </w:p>
    <w:p w14:paraId="2B7F9980">
      <w:pPr>
        <w:pStyle w:val="6"/>
        <w:spacing w:before="0" w:after="0" w:line="360" w:lineRule="auto"/>
        <w:jc w:val="center"/>
        <w:rPr>
          <w:rFonts w:hint="eastAsia"/>
          <w:sz w:val="28"/>
          <w:szCs w:val="28"/>
        </w:rPr>
      </w:pPr>
    </w:p>
    <w:p w14:paraId="1882A789">
      <w:pPr>
        <w:pStyle w:val="6"/>
        <w:spacing w:before="0" w:after="0" w:line="360" w:lineRule="auto"/>
        <w:jc w:val="center"/>
        <w:rPr>
          <w:rFonts w:hint="eastAsia"/>
          <w:sz w:val="28"/>
          <w:szCs w:val="28"/>
        </w:rPr>
      </w:pPr>
    </w:p>
    <w:p w14:paraId="27E9D7F4">
      <w:pPr>
        <w:pStyle w:val="6"/>
        <w:spacing w:before="0" w:after="0" w:line="360" w:lineRule="auto"/>
        <w:jc w:val="center"/>
        <w:rPr>
          <w:sz w:val="28"/>
          <w:szCs w:val="28"/>
        </w:rPr>
      </w:pPr>
      <w:r>
        <w:rPr>
          <w:rFonts w:hint="eastAsia"/>
          <w:sz w:val="28"/>
          <w:szCs w:val="28"/>
        </w:rPr>
        <w:t>第一章 采购公告</w:t>
      </w:r>
      <w:bookmarkEnd w:id="0"/>
      <w:bookmarkEnd w:id="1"/>
    </w:p>
    <w:p w14:paraId="1F579D6A">
      <w:pPr>
        <w:spacing w:line="360" w:lineRule="auto"/>
        <w:ind w:firstLine="354" w:firstLineChars="147"/>
        <w:rPr>
          <w:rFonts w:hint="eastAsia" w:ascii="黑体" w:hAnsi="黑体" w:eastAsia="黑体"/>
          <w:b/>
          <w:sz w:val="24"/>
        </w:rPr>
      </w:pPr>
      <w:bookmarkStart w:id="2" w:name="_Toc44229878"/>
      <w:bookmarkStart w:id="3" w:name="_Hlk37430271"/>
      <w:bookmarkStart w:id="4" w:name="_Toc28359012"/>
      <w:bookmarkStart w:id="5" w:name="_Toc71365905"/>
      <w:bookmarkStart w:id="6" w:name="_Toc28359089"/>
      <w:bookmarkStart w:id="7" w:name="_Toc35393629"/>
      <w:bookmarkStart w:id="8" w:name="_Toc35393798"/>
    </w:p>
    <w:bookmarkEnd w:id="2"/>
    <w:bookmarkEnd w:id="3"/>
    <w:bookmarkEnd w:id="4"/>
    <w:bookmarkEnd w:id="5"/>
    <w:bookmarkEnd w:id="6"/>
    <w:bookmarkEnd w:id="7"/>
    <w:bookmarkEnd w:id="8"/>
    <w:p w14:paraId="4B5E6CF2">
      <w:pPr>
        <w:spacing w:line="360" w:lineRule="auto"/>
        <w:ind w:firstLine="354" w:firstLineChars="147"/>
        <w:rPr>
          <w:rFonts w:hint="eastAsia" w:ascii="黑体" w:hAnsi="黑体" w:eastAsia="黑体"/>
          <w:b/>
          <w:sz w:val="24"/>
        </w:rPr>
      </w:pPr>
      <w:r>
        <w:rPr>
          <w:rFonts w:hint="eastAsia" w:ascii="黑体" w:hAnsi="黑体" w:eastAsia="黑体"/>
          <w:b/>
          <w:sz w:val="24"/>
        </w:rPr>
        <w:t>一、项目基本情况</w:t>
      </w:r>
    </w:p>
    <w:p w14:paraId="533E4E59">
      <w:pPr>
        <w:spacing w:line="360" w:lineRule="auto"/>
        <w:ind w:firstLine="480" w:firstLineChars="200"/>
        <w:rPr>
          <w:rFonts w:hint="eastAsia" w:ascii="宋体" w:hAnsi="宋体" w:cs="宋体"/>
          <w:bCs/>
          <w:sz w:val="24"/>
        </w:rPr>
      </w:pPr>
      <w:r>
        <w:rPr>
          <w:rFonts w:hint="eastAsia" w:ascii="宋体" w:hAnsi="宋体" w:cs="宋体"/>
          <w:bCs/>
          <w:sz w:val="24"/>
        </w:rPr>
        <w:t>（一）采购项目名称：</w:t>
      </w:r>
      <w:bookmarkStart w:id="9" w:name="OLE_LINK12"/>
      <w:r>
        <w:rPr>
          <w:rFonts w:hint="eastAsia" w:ascii="宋体" w:hAnsi="宋体" w:cs="宋体"/>
          <w:bCs/>
          <w:sz w:val="24"/>
        </w:rPr>
        <w:t>新增内河航道普查工作</w:t>
      </w:r>
      <w:bookmarkEnd w:id="9"/>
    </w:p>
    <w:p w14:paraId="5BE661DD">
      <w:pPr>
        <w:spacing w:line="360" w:lineRule="auto"/>
        <w:ind w:firstLine="480" w:firstLineChars="200"/>
        <w:rPr>
          <w:rFonts w:hint="eastAsia" w:ascii="宋体" w:hAnsi="宋体" w:cs="宋体"/>
          <w:bCs/>
          <w:sz w:val="24"/>
        </w:rPr>
      </w:pPr>
      <w:r>
        <w:rPr>
          <w:rFonts w:hint="eastAsia" w:ascii="宋体" w:hAnsi="宋体" w:cs="宋体"/>
          <w:bCs/>
          <w:sz w:val="24"/>
        </w:rPr>
        <w:t>（二）项目地点：广西壮族自治区</w:t>
      </w:r>
    </w:p>
    <w:p w14:paraId="3537DFC2">
      <w:pPr>
        <w:spacing w:line="360" w:lineRule="auto"/>
        <w:ind w:firstLine="480" w:firstLineChars="200"/>
        <w:rPr>
          <w:rFonts w:hint="eastAsia" w:ascii="宋体" w:hAnsi="宋体" w:eastAsia="宋体" w:cs="宋体"/>
          <w:sz w:val="24"/>
          <w:lang w:eastAsia="zh-CN"/>
        </w:rPr>
      </w:pPr>
      <w:r>
        <w:rPr>
          <w:rFonts w:hint="eastAsia" w:ascii="宋体" w:hAnsi="宋体" w:cs="宋体"/>
          <w:sz w:val="24"/>
        </w:rPr>
        <w:t>（三）项目概况：广西通航河流53条，主要有西江航运</w:t>
      </w:r>
      <w:r>
        <w:rPr>
          <w:rFonts w:hint="eastAsia" w:ascii="宋体" w:hAnsi="宋体" w:cs="宋体"/>
          <w:sz w:val="24"/>
          <w:lang w:eastAsia="zh-CN"/>
        </w:rPr>
        <w:t>干</w:t>
      </w:r>
      <w:r>
        <w:rPr>
          <w:rFonts w:hint="eastAsia" w:ascii="宋体" w:hAnsi="宋体" w:cs="宋体"/>
          <w:sz w:val="24"/>
        </w:rPr>
        <w:t>线和左江、右江、红水河、柳江</w:t>
      </w:r>
      <w:r>
        <w:rPr>
          <w:rFonts w:hint="eastAsia" w:ascii="宋体" w:hAnsi="宋体" w:cs="宋体"/>
          <w:b/>
          <w:sz w:val="24"/>
        </w:rPr>
        <w:t>--</w:t>
      </w:r>
      <w:r>
        <w:rPr>
          <w:rFonts w:hint="eastAsia" w:ascii="宋体" w:hAnsi="宋体" w:cs="宋体"/>
          <w:sz w:val="24"/>
        </w:rPr>
        <w:t>黔江、桂江、贺江、绣江等</w:t>
      </w:r>
      <w:r>
        <w:rPr>
          <w:rFonts w:hint="eastAsia" w:ascii="宋体" w:hAnsi="宋体" w:cs="宋体"/>
          <w:sz w:val="24"/>
          <w:lang w:eastAsia="zh-CN"/>
        </w:rPr>
        <w:t>，</w:t>
      </w:r>
      <w:r>
        <w:rPr>
          <w:rFonts w:hint="eastAsia" w:ascii="宋体" w:hAnsi="宋体" w:cs="宋体"/>
          <w:sz w:val="24"/>
        </w:rPr>
        <w:t>近年来，随着航道建设持续投入，以及有关枢纽建成，支流部分水域具</w:t>
      </w:r>
      <w:r>
        <w:rPr>
          <w:rFonts w:hint="eastAsia" w:ascii="宋体" w:hAnsi="宋体" w:cs="宋体"/>
          <w:sz w:val="24"/>
          <w:lang w:eastAsia="zh-CN"/>
        </w:rPr>
        <w:t>备</w:t>
      </w:r>
      <w:r>
        <w:rPr>
          <w:rFonts w:hint="eastAsia" w:ascii="宋体" w:hAnsi="宋体" w:cs="宋体"/>
          <w:sz w:val="24"/>
        </w:rPr>
        <w:t>了良好的通航条件，</w:t>
      </w:r>
      <w:r>
        <w:rPr>
          <w:rFonts w:hint="eastAsia" w:ascii="宋体" w:hAnsi="宋体" w:cs="宋体"/>
          <w:sz w:val="24"/>
          <w:lang w:eastAsia="zh-CN"/>
        </w:rPr>
        <w:t>航道</w:t>
      </w:r>
      <w:r>
        <w:rPr>
          <w:rFonts w:hint="eastAsia" w:ascii="宋体" w:hAnsi="宋体" w:cs="宋体"/>
          <w:sz w:val="24"/>
        </w:rPr>
        <w:t>里程增加</w:t>
      </w:r>
      <w:bookmarkStart w:id="10" w:name="OLE_LINK15"/>
      <w:bookmarkStart w:id="11" w:name="OLE_LINK20"/>
      <w:r>
        <w:rPr>
          <w:rFonts w:hint="eastAsia" w:ascii="宋体" w:hAnsi="宋体" w:cs="宋体"/>
          <w:sz w:val="24"/>
          <w:lang w:eastAsia="zh-CN"/>
        </w:rPr>
        <w:t>，</w:t>
      </w:r>
      <w:r>
        <w:rPr>
          <w:rFonts w:hint="eastAsia" w:ascii="宋体" w:hAnsi="宋体" w:cs="宋体"/>
          <w:sz w:val="24"/>
        </w:rPr>
        <w:t>根据</w:t>
      </w:r>
      <w:bookmarkStart w:id="12" w:name="OLE_LINK16"/>
      <w:r>
        <w:rPr>
          <w:rFonts w:hint="eastAsia" w:ascii="宋体" w:hAnsi="宋体" w:cs="宋体"/>
          <w:sz w:val="24"/>
        </w:rPr>
        <w:t>《广西壮族自治区内河航道与港口布局规划》（桂政发（2024）12号），广西区内新增航道里程约</w:t>
      </w:r>
      <w:r>
        <w:rPr>
          <w:rFonts w:hint="eastAsia" w:ascii="宋体" w:hAnsi="宋体" w:cs="宋体"/>
          <w:sz w:val="24"/>
          <w:lang w:eastAsia="zh-CN"/>
        </w:rPr>
        <w:t>有4</w:t>
      </w:r>
      <w:r>
        <w:rPr>
          <w:rFonts w:hint="eastAsia" w:ascii="宋体" w:hAnsi="宋体" w:cs="宋体"/>
          <w:sz w:val="24"/>
          <w:lang w:val="en-US" w:eastAsia="zh-CN"/>
        </w:rPr>
        <w:t>40</w:t>
      </w:r>
      <w:r>
        <w:rPr>
          <w:rFonts w:hint="eastAsia" w:ascii="宋体" w:hAnsi="宋体" w:cs="宋体"/>
          <w:sz w:val="24"/>
          <w:lang w:eastAsia="zh-CN"/>
        </w:rPr>
        <w:t>km</w:t>
      </w:r>
      <w:r>
        <w:rPr>
          <w:rFonts w:hint="eastAsia" w:ascii="宋体" w:hAnsi="宋体" w:cs="宋体"/>
          <w:sz w:val="24"/>
        </w:rPr>
        <w:t>，日前缺乏相应地形地貌资料，</w:t>
      </w:r>
      <w:bookmarkStart w:id="13" w:name="OLE_LINK14"/>
      <w:r>
        <w:rPr>
          <w:rFonts w:hint="eastAsia" w:ascii="宋体" w:hAnsi="宋体" w:cs="宋体"/>
          <w:sz w:val="24"/>
        </w:rPr>
        <w:t>航道基本状况、航道设施、通航环境</w:t>
      </w:r>
      <w:bookmarkEnd w:id="13"/>
      <w:r>
        <w:rPr>
          <w:rFonts w:hint="eastAsia" w:ascii="宋体" w:hAnsi="宋体" w:cs="宋体"/>
          <w:sz w:val="24"/>
        </w:rPr>
        <w:t>等方面内容</w:t>
      </w:r>
      <w:bookmarkEnd w:id="12"/>
      <w:r>
        <w:rPr>
          <w:rFonts w:hint="eastAsia" w:ascii="宋体" w:hAnsi="宋体" w:cs="宋体"/>
          <w:sz w:val="24"/>
        </w:rPr>
        <w:t>不详，</w:t>
      </w:r>
      <w:bookmarkEnd w:id="10"/>
      <w:r>
        <w:rPr>
          <w:rFonts w:hint="eastAsia" w:ascii="宋体" w:hAnsi="宋体" w:cs="宋体"/>
          <w:sz w:val="24"/>
        </w:rPr>
        <w:t>为提高航道管理与决策水平，掌握新增航道现状，需开展新增航道里程普查工作，</w:t>
      </w:r>
      <w:bookmarkStart w:id="14" w:name="OLE_LINK17"/>
      <w:r>
        <w:rPr>
          <w:rFonts w:hint="eastAsia" w:ascii="宋体" w:hAnsi="宋体" w:cs="宋体"/>
          <w:sz w:val="24"/>
        </w:rPr>
        <w:t>收集相应地形地貌资料、航道基本状况、航道设施、通航环境等方面内容</w:t>
      </w:r>
      <w:r>
        <w:rPr>
          <w:rFonts w:hint="eastAsia" w:ascii="宋体" w:hAnsi="宋体" w:cs="宋体"/>
          <w:sz w:val="24"/>
          <w:lang w:eastAsia="zh-CN"/>
        </w:rPr>
        <w:t>。</w:t>
      </w:r>
      <w:r>
        <w:rPr>
          <w:rFonts w:hint="eastAsia" w:ascii="宋体" w:hAnsi="宋体" w:cs="宋体"/>
          <w:sz w:val="24"/>
        </w:rPr>
        <w:t>主要内容包括：开展</w:t>
      </w:r>
      <w:r>
        <w:rPr>
          <w:rFonts w:hint="eastAsia" w:ascii="宋体" w:hAnsi="宋体" w:cs="宋体"/>
          <w:sz w:val="24"/>
          <w:lang w:eastAsia="zh-CN"/>
        </w:rPr>
        <w:t>新增内河航道</w:t>
      </w:r>
      <w:r>
        <w:rPr>
          <w:rFonts w:hint="eastAsia" w:ascii="宋体" w:hAnsi="宋体" w:cs="宋体"/>
          <w:sz w:val="24"/>
        </w:rPr>
        <w:t>必要的地形、地质和水文等资料收集工作，调查航道基本状况、航道设施、通航环境等相关内容，编制</w:t>
      </w:r>
      <w:bookmarkStart w:id="15" w:name="OLE_LINK18"/>
      <w:r>
        <w:rPr>
          <w:rFonts w:hint="eastAsia" w:ascii="宋体" w:hAnsi="宋体" w:cs="宋体"/>
          <w:sz w:val="24"/>
        </w:rPr>
        <w:t>内河新增航道普查工作成果报告</w:t>
      </w:r>
      <w:bookmarkEnd w:id="15"/>
      <w:r>
        <w:rPr>
          <w:rFonts w:hint="eastAsia" w:ascii="宋体" w:hAnsi="宋体" w:cs="宋体"/>
          <w:sz w:val="24"/>
          <w:lang w:eastAsia="zh-CN"/>
        </w:rPr>
        <w:t>。</w:t>
      </w:r>
    </w:p>
    <w:bookmarkEnd w:id="11"/>
    <w:bookmarkEnd w:id="14"/>
    <w:p w14:paraId="327A24EF">
      <w:pPr>
        <w:spacing w:line="360" w:lineRule="auto"/>
        <w:ind w:firstLine="480" w:firstLineChars="200"/>
        <w:rPr>
          <w:rFonts w:hint="eastAsia" w:ascii="宋体" w:hAnsi="宋体" w:cs="宋体"/>
          <w:bCs/>
          <w:sz w:val="24"/>
        </w:rPr>
      </w:pPr>
      <w:r>
        <w:rPr>
          <w:rFonts w:hint="eastAsia" w:ascii="宋体" w:hAnsi="宋体" w:cs="宋体"/>
          <w:bCs/>
          <w:sz w:val="24"/>
        </w:rPr>
        <w:t>本次采购内容：新增</w:t>
      </w:r>
      <w:r>
        <w:rPr>
          <w:rFonts w:hint="eastAsia" w:ascii="宋体" w:hAnsi="宋体" w:cs="宋体"/>
          <w:bCs/>
          <w:sz w:val="24"/>
          <w:lang w:eastAsia="zh-CN"/>
        </w:rPr>
        <w:t>内河</w:t>
      </w:r>
      <w:r>
        <w:rPr>
          <w:rFonts w:hint="eastAsia" w:ascii="宋体" w:hAnsi="宋体" w:cs="宋体"/>
          <w:bCs/>
          <w:sz w:val="24"/>
        </w:rPr>
        <w:t>航道普查工作</w:t>
      </w:r>
    </w:p>
    <w:p w14:paraId="6C676E85">
      <w:pPr>
        <w:spacing w:line="520" w:lineRule="exact"/>
        <w:ind w:firstLine="480" w:firstLineChars="200"/>
        <w:jc w:val="left"/>
        <w:rPr>
          <w:rFonts w:hint="eastAsia" w:ascii="仿宋_GB2312" w:hAnsi="仿宋" w:eastAsia="仿宋_GB2312" w:cs="宋体"/>
          <w:bCs/>
          <w:kern w:val="0"/>
          <w:sz w:val="32"/>
          <w:szCs w:val="32"/>
        </w:rPr>
      </w:pPr>
      <w:r>
        <w:rPr>
          <w:rFonts w:hint="eastAsia" w:ascii="宋体" w:hAnsi="宋体" w:cs="宋体"/>
          <w:bCs/>
          <w:sz w:val="24"/>
        </w:rPr>
        <w:t>（四）</w:t>
      </w:r>
      <w:r>
        <w:rPr>
          <w:rFonts w:hint="eastAsia" w:ascii="宋体" w:hAnsi="宋体" w:cs="宋体"/>
          <w:bCs/>
          <w:sz w:val="24"/>
          <w:lang w:eastAsia="zh-CN"/>
        </w:rPr>
        <w:t>采购</w:t>
      </w:r>
      <w:r>
        <w:rPr>
          <w:rFonts w:hint="eastAsia" w:ascii="宋体" w:hAnsi="宋体" w:cs="宋体"/>
          <w:bCs/>
          <w:sz w:val="24"/>
        </w:rPr>
        <w:t>最高限价：98万元</w:t>
      </w:r>
    </w:p>
    <w:p w14:paraId="48424F34">
      <w:pPr>
        <w:spacing w:line="360" w:lineRule="auto"/>
        <w:ind w:firstLine="480" w:firstLineChars="200"/>
        <w:rPr>
          <w:rFonts w:hint="eastAsia" w:ascii="宋体" w:hAnsi="宋体" w:cs="宋体"/>
          <w:bCs/>
          <w:sz w:val="24"/>
        </w:rPr>
      </w:pPr>
      <w:r>
        <w:rPr>
          <w:rFonts w:hint="eastAsia" w:ascii="宋体" w:hAnsi="宋体" w:cs="宋体"/>
          <w:bCs/>
          <w:sz w:val="24"/>
        </w:rPr>
        <w:t xml:space="preserve">（五）采购需求： </w:t>
      </w:r>
    </w:p>
    <w:tbl>
      <w:tblPr>
        <w:tblStyle w:val="2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57" w:type="dxa"/>
          <w:left w:w="108" w:type="dxa"/>
          <w:bottom w:w="57" w:type="dxa"/>
          <w:right w:w="108" w:type="dxa"/>
        </w:tblCellMar>
      </w:tblPr>
      <w:tblGrid>
        <w:gridCol w:w="776"/>
        <w:gridCol w:w="1590"/>
        <w:gridCol w:w="1005"/>
        <w:gridCol w:w="5384"/>
      </w:tblGrid>
      <w:tr w14:paraId="03BAB6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108" w:type="dxa"/>
            <w:bottom w:w="57" w:type="dxa"/>
            <w:right w:w="108" w:type="dxa"/>
          </w:tblCellMar>
        </w:tblPrEx>
        <w:trPr>
          <w:cantSplit/>
        </w:trPr>
        <w:tc>
          <w:tcPr>
            <w:tcW w:w="776" w:type="dxa"/>
            <w:tcBorders>
              <w:top w:val="single" w:color="auto" w:sz="4" w:space="0"/>
              <w:left w:val="single" w:color="auto" w:sz="4" w:space="0"/>
              <w:bottom w:val="single" w:color="auto" w:sz="4" w:space="0"/>
              <w:right w:val="single" w:color="auto" w:sz="4" w:space="0"/>
            </w:tcBorders>
            <w:vAlign w:val="center"/>
          </w:tcPr>
          <w:p w14:paraId="1199DC06">
            <w:pPr>
              <w:adjustRightInd w:val="0"/>
              <w:snapToGrid w:val="0"/>
              <w:jc w:val="center"/>
              <w:rPr>
                <w:rFonts w:hint="eastAsia" w:ascii="宋体" w:hAnsi="宋体"/>
                <w:szCs w:val="21"/>
              </w:rPr>
            </w:pPr>
            <w:r>
              <w:rPr>
                <w:rFonts w:hint="eastAsia" w:ascii="宋体" w:hAnsi="宋体"/>
                <w:szCs w:val="21"/>
              </w:rPr>
              <w:t>序号</w:t>
            </w:r>
          </w:p>
        </w:tc>
        <w:tc>
          <w:tcPr>
            <w:tcW w:w="1590" w:type="dxa"/>
            <w:tcBorders>
              <w:top w:val="single" w:color="auto" w:sz="4" w:space="0"/>
              <w:left w:val="single" w:color="auto" w:sz="4" w:space="0"/>
              <w:bottom w:val="single" w:color="auto" w:sz="4" w:space="0"/>
              <w:right w:val="single" w:color="auto" w:sz="4" w:space="0"/>
            </w:tcBorders>
            <w:vAlign w:val="center"/>
          </w:tcPr>
          <w:p w14:paraId="2C86CC9B">
            <w:pPr>
              <w:adjustRightInd w:val="0"/>
              <w:snapToGrid w:val="0"/>
              <w:jc w:val="center"/>
              <w:rPr>
                <w:rFonts w:hint="eastAsia" w:ascii="宋体" w:hAnsi="宋体"/>
                <w:szCs w:val="21"/>
              </w:rPr>
            </w:pPr>
            <w:r>
              <w:rPr>
                <w:rFonts w:hint="eastAsia" w:ascii="宋体" w:hAnsi="宋体"/>
                <w:szCs w:val="21"/>
              </w:rPr>
              <w:t>标的名称</w:t>
            </w:r>
          </w:p>
        </w:tc>
        <w:tc>
          <w:tcPr>
            <w:tcW w:w="1005" w:type="dxa"/>
            <w:tcBorders>
              <w:top w:val="single" w:color="auto" w:sz="4" w:space="0"/>
              <w:left w:val="single" w:color="auto" w:sz="4" w:space="0"/>
              <w:bottom w:val="single" w:color="auto" w:sz="4" w:space="0"/>
              <w:right w:val="single" w:color="auto" w:sz="4" w:space="0"/>
            </w:tcBorders>
            <w:vAlign w:val="center"/>
          </w:tcPr>
          <w:p w14:paraId="061E1084">
            <w:pPr>
              <w:adjustRightInd w:val="0"/>
              <w:snapToGrid w:val="0"/>
              <w:jc w:val="center"/>
              <w:rPr>
                <w:rFonts w:hint="eastAsia" w:ascii="宋体" w:hAnsi="宋体"/>
                <w:szCs w:val="21"/>
              </w:rPr>
            </w:pPr>
            <w:r>
              <w:rPr>
                <w:rFonts w:hint="eastAsia" w:ascii="宋体" w:hAnsi="宋体"/>
                <w:szCs w:val="21"/>
              </w:rPr>
              <w:t>数量及</w:t>
            </w:r>
          </w:p>
          <w:p w14:paraId="5F01E5BC">
            <w:pPr>
              <w:adjustRightInd w:val="0"/>
              <w:snapToGrid w:val="0"/>
              <w:jc w:val="center"/>
              <w:rPr>
                <w:rFonts w:hint="eastAsia" w:ascii="宋体" w:hAnsi="宋体"/>
                <w:szCs w:val="21"/>
              </w:rPr>
            </w:pPr>
            <w:r>
              <w:rPr>
                <w:rFonts w:hint="eastAsia" w:ascii="宋体" w:hAnsi="宋体"/>
                <w:szCs w:val="21"/>
              </w:rPr>
              <w:t>单位</w:t>
            </w:r>
          </w:p>
        </w:tc>
        <w:tc>
          <w:tcPr>
            <w:tcW w:w="5384" w:type="dxa"/>
            <w:tcBorders>
              <w:top w:val="single" w:color="auto" w:sz="4" w:space="0"/>
              <w:left w:val="single" w:color="auto" w:sz="4" w:space="0"/>
              <w:bottom w:val="single" w:color="auto" w:sz="4" w:space="0"/>
              <w:right w:val="single" w:color="auto" w:sz="4" w:space="0"/>
            </w:tcBorders>
            <w:vAlign w:val="center"/>
          </w:tcPr>
          <w:p w14:paraId="3869616E">
            <w:pPr>
              <w:adjustRightInd w:val="0"/>
              <w:snapToGrid w:val="0"/>
              <w:jc w:val="center"/>
              <w:rPr>
                <w:rFonts w:hint="eastAsia" w:ascii="宋体" w:hAnsi="宋体"/>
                <w:szCs w:val="21"/>
              </w:rPr>
            </w:pPr>
            <w:r>
              <w:rPr>
                <w:rFonts w:hint="eastAsia" w:ascii="宋体" w:hAnsi="宋体"/>
                <w:szCs w:val="21"/>
              </w:rPr>
              <w:t>简要服务要求或者技术需求</w:t>
            </w:r>
          </w:p>
        </w:tc>
      </w:tr>
      <w:tr w14:paraId="761BEE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57" w:type="dxa"/>
            <w:left w:w="108" w:type="dxa"/>
            <w:bottom w:w="57" w:type="dxa"/>
            <w:right w:w="108" w:type="dxa"/>
          </w:tblCellMar>
        </w:tblPrEx>
        <w:trPr>
          <w:cantSplit/>
        </w:trPr>
        <w:tc>
          <w:tcPr>
            <w:tcW w:w="776" w:type="dxa"/>
            <w:tcBorders>
              <w:top w:val="single" w:color="auto" w:sz="4" w:space="0"/>
              <w:left w:val="single" w:color="auto" w:sz="4" w:space="0"/>
              <w:bottom w:val="single" w:color="auto" w:sz="4" w:space="0"/>
              <w:right w:val="single" w:color="auto" w:sz="4" w:space="0"/>
            </w:tcBorders>
            <w:vAlign w:val="center"/>
          </w:tcPr>
          <w:p w14:paraId="49513EB0">
            <w:pPr>
              <w:snapToGrid w:val="0"/>
              <w:spacing w:line="360" w:lineRule="auto"/>
              <w:jc w:val="center"/>
              <w:rPr>
                <w:rFonts w:hint="eastAsia" w:ascii="宋体" w:hAnsi="宋体"/>
                <w:szCs w:val="21"/>
              </w:rPr>
            </w:pPr>
            <w:r>
              <w:rPr>
                <w:rFonts w:hint="eastAsia" w:ascii="宋体" w:hAnsi="宋体"/>
                <w:szCs w:val="21"/>
              </w:rPr>
              <w:t>01</w:t>
            </w:r>
          </w:p>
        </w:tc>
        <w:tc>
          <w:tcPr>
            <w:tcW w:w="1590" w:type="dxa"/>
            <w:tcBorders>
              <w:top w:val="single" w:color="auto" w:sz="4" w:space="0"/>
              <w:left w:val="single" w:color="auto" w:sz="4" w:space="0"/>
              <w:bottom w:val="single" w:color="auto" w:sz="4" w:space="0"/>
              <w:right w:val="single" w:color="auto" w:sz="4" w:space="0"/>
            </w:tcBorders>
            <w:vAlign w:val="center"/>
          </w:tcPr>
          <w:p w14:paraId="7A02534B">
            <w:pPr>
              <w:snapToGrid w:val="0"/>
              <w:spacing w:line="360" w:lineRule="auto"/>
              <w:jc w:val="left"/>
              <w:rPr>
                <w:rFonts w:hint="eastAsia" w:ascii="宋体" w:hAnsi="宋体"/>
                <w:szCs w:val="21"/>
              </w:rPr>
            </w:pPr>
            <w:r>
              <w:rPr>
                <w:rFonts w:hint="eastAsia" w:ascii="宋体" w:hAnsi="宋体"/>
                <w:szCs w:val="21"/>
              </w:rPr>
              <w:t>新增内河航道普查工作</w:t>
            </w:r>
          </w:p>
        </w:tc>
        <w:tc>
          <w:tcPr>
            <w:tcW w:w="1005" w:type="dxa"/>
            <w:tcBorders>
              <w:top w:val="single" w:color="auto" w:sz="4" w:space="0"/>
              <w:left w:val="single" w:color="auto" w:sz="4" w:space="0"/>
              <w:bottom w:val="single" w:color="auto" w:sz="4" w:space="0"/>
              <w:right w:val="single" w:color="auto" w:sz="4" w:space="0"/>
            </w:tcBorders>
            <w:vAlign w:val="center"/>
          </w:tcPr>
          <w:p w14:paraId="54C3AD66">
            <w:pPr>
              <w:snapToGrid w:val="0"/>
              <w:spacing w:line="360" w:lineRule="auto"/>
              <w:jc w:val="center"/>
              <w:rPr>
                <w:rFonts w:hint="eastAsia" w:ascii="宋体" w:hAnsi="宋体"/>
                <w:szCs w:val="21"/>
              </w:rPr>
            </w:pPr>
            <w:r>
              <w:rPr>
                <w:rFonts w:hint="eastAsia" w:ascii="宋体" w:hAnsi="宋体"/>
                <w:szCs w:val="21"/>
              </w:rPr>
              <w:t>1项</w:t>
            </w:r>
          </w:p>
        </w:tc>
        <w:tc>
          <w:tcPr>
            <w:tcW w:w="5384" w:type="dxa"/>
            <w:tcBorders>
              <w:top w:val="single" w:color="auto" w:sz="4" w:space="0"/>
              <w:left w:val="single" w:color="auto" w:sz="4" w:space="0"/>
              <w:bottom w:val="single" w:color="auto" w:sz="4" w:space="0"/>
              <w:right w:val="single" w:color="auto" w:sz="4" w:space="0"/>
            </w:tcBorders>
            <w:vAlign w:val="center"/>
          </w:tcPr>
          <w:p w14:paraId="42C864C0">
            <w:pPr>
              <w:pStyle w:val="10"/>
              <w:ind w:firstLine="420" w:firstLineChars="200"/>
              <w:rPr>
                <w:rFonts w:hint="eastAsia" w:ascii="宋体" w:hAnsi="宋体"/>
                <w:b w:val="0"/>
                <w:bCs w:val="0"/>
                <w:szCs w:val="21"/>
              </w:rPr>
            </w:pPr>
            <w:r>
              <w:rPr>
                <w:rFonts w:hint="eastAsia" w:ascii="宋体" w:hAnsi="宋体"/>
                <w:b w:val="0"/>
                <w:bCs w:val="0"/>
                <w:szCs w:val="21"/>
              </w:rPr>
              <w:t>对《广西壮族自治区内河航道与港口布局规划》（桂政发（2024）12号）广西区内新增加</w:t>
            </w:r>
            <w:r>
              <w:rPr>
                <w:rFonts w:hint="eastAsia" w:ascii="宋体" w:hAnsi="宋体"/>
                <w:b w:val="0"/>
                <w:bCs w:val="0"/>
                <w:szCs w:val="21"/>
                <w:lang w:eastAsia="zh-CN"/>
              </w:rPr>
              <w:t>的</w:t>
            </w:r>
            <w:r>
              <w:rPr>
                <w:rFonts w:hint="eastAsia" w:ascii="宋体" w:hAnsi="宋体"/>
                <w:b w:val="0"/>
                <w:bCs w:val="0"/>
                <w:szCs w:val="21"/>
              </w:rPr>
              <w:t>约</w:t>
            </w:r>
            <w:r>
              <w:rPr>
                <w:rFonts w:hint="eastAsia" w:ascii="宋体" w:hAnsi="宋体"/>
                <w:b w:val="0"/>
                <w:bCs w:val="0"/>
                <w:szCs w:val="21"/>
                <w:lang w:eastAsia="zh-CN"/>
              </w:rPr>
              <w:t>4</w:t>
            </w:r>
            <w:r>
              <w:rPr>
                <w:rFonts w:hint="eastAsia" w:ascii="宋体" w:hAnsi="宋体"/>
                <w:b w:val="0"/>
                <w:bCs w:val="0"/>
                <w:szCs w:val="21"/>
                <w:lang w:val="en-US" w:eastAsia="zh-CN"/>
              </w:rPr>
              <w:t>40</w:t>
            </w:r>
            <w:r>
              <w:rPr>
                <w:rFonts w:hint="eastAsia" w:ascii="宋体" w:hAnsi="宋体"/>
                <w:b w:val="0"/>
                <w:bCs w:val="0"/>
                <w:szCs w:val="21"/>
                <w:lang w:eastAsia="zh-CN"/>
              </w:rPr>
              <w:t>km</w:t>
            </w:r>
            <w:r>
              <w:rPr>
                <w:rFonts w:hint="eastAsia" w:ascii="宋体" w:hAnsi="宋体"/>
                <w:b w:val="0"/>
                <w:bCs w:val="0"/>
                <w:szCs w:val="21"/>
              </w:rPr>
              <w:t>里程航道</w:t>
            </w:r>
            <w:r>
              <w:rPr>
                <w:rFonts w:hint="eastAsia" w:ascii="宋体" w:hAnsi="宋体"/>
                <w:b w:val="0"/>
                <w:bCs w:val="0"/>
                <w:szCs w:val="21"/>
                <w:lang w:eastAsia="zh-CN"/>
              </w:rPr>
              <w:t>以及</w:t>
            </w:r>
            <w:r>
              <w:rPr>
                <w:rFonts w:hint="eastAsia" w:ascii="宋体" w:hAnsi="宋体"/>
                <w:b w:val="0"/>
                <w:bCs w:val="0"/>
                <w:szCs w:val="21"/>
                <w:lang w:val="en-US" w:eastAsia="zh-CN"/>
              </w:rPr>
              <w:t>80.6公里中越界河航道</w:t>
            </w:r>
            <w:r>
              <w:rPr>
                <w:rFonts w:hint="eastAsia" w:ascii="宋体" w:hAnsi="宋体"/>
                <w:b w:val="0"/>
                <w:bCs w:val="0"/>
                <w:szCs w:val="21"/>
              </w:rPr>
              <w:t>进行普查，收集相应地形地貌资料，航道基本状况、航道设施、通航环境等方面内容。</w:t>
            </w:r>
          </w:p>
          <w:p w14:paraId="62B2697F">
            <w:pPr>
              <w:pStyle w:val="10"/>
              <w:ind w:firstLine="420" w:firstLineChars="200"/>
              <w:rPr>
                <w:b w:val="0"/>
                <w:bCs w:val="0"/>
                <w:szCs w:val="21"/>
              </w:rPr>
            </w:pPr>
            <w:r>
              <w:rPr>
                <w:rFonts w:hint="eastAsia"/>
                <w:b w:val="0"/>
                <w:bCs w:val="0"/>
                <w:szCs w:val="21"/>
              </w:rPr>
              <w:t>主要内容：</w:t>
            </w:r>
            <w:r>
              <w:rPr>
                <w:rFonts w:hint="eastAsia" w:ascii="宋体" w:hAnsi="宋体" w:cs="宋体"/>
                <w:b w:val="0"/>
                <w:bCs w:val="0"/>
                <w:szCs w:val="21"/>
              </w:rPr>
              <w:t>开展</w:t>
            </w:r>
            <w:r>
              <w:rPr>
                <w:rFonts w:hint="eastAsia" w:ascii="宋体" w:hAnsi="宋体" w:cs="宋体"/>
                <w:b w:val="0"/>
                <w:bCs w:val="0"/>
                <w:szCs w:val="21"/>
                <w:lang w:eastAsia="zh-CN"/>
              </w:rPr>
              <w:t>新增内河航道</w:t>
            </w:r>
            <w:r>
              <w:rPr>
                <w:rFonts w:hint="eastAsia" w:ascii="宋体" w:hAnsi="宋体" w:cs="宋体"/>
                <w:b w:val="0"/>
                <w:bCs w:val="0"/>
                <w:szCs w:val="21"/>
              </w:rPr>
              <w:t>必要的地形测量、地质勘察和水文资料等收集工作等，调查航道基本状况、航道设施、通航环境等相关内容</w:t>
            </w:r>
            <w:r>
              <w:rPr>
                <w:rFonts w:hint="eastAsia"/>
                <w:b w:val="0"/>
                <w:bCs w:val="0"/>
                <w:szCs w:val="21"/>
              </w:rPr>
              <w:t>。</w:t>
            </w:r>
          </w:p>
          <w:p w14:paraId="6A26B09B">
            <w:pPr>
              <w:pStyle w:val="10"/>
              <w:ind w:firstLine="420" w:firstLineChars="200"/>
              <w:rPr>
                <w:rFonts w:hint="eastAsia" w:ascii="宋体" w:hAnsi="宋体"/>
                <w:szCs w:val="21"/>
              </w:rPr>
            </w:pPr>
            <w:r>
              <w:rPr>
                <w:rFonts w:hint="eastAsia" w:ascii="宋体" w:hAnsi="宋体"/>
                <w:b w:val="0"/>
                <w:bCs w:val="0"/>
                <w:szCs w:val="21"/>
              </w:rPr>
              <w:t>交付成果包括：新增加</w:t>
            </w:r>
            <w:r>
              <w:rPr>
                <w:rFonts w:hint="eastAsia" w:ascii="宋体" w:hAnsi="宋体"/>
                <w:b w:val="0"/>
                <w:bCs w:val="0"/>
                <w:szCs w:val="21"/>
                <w:lang w:eastAsia="zh-CN"/>
              </w:rPr>
              <w:t>的</w:t>
            </w:r>
            <w:r>
              <w:rPr>
                <w:rFonts w:hint="eastAsia" w:ascii="宋体" w:hAnsi="宋体"/>
                <w:b w:val="0"/>
                <w:bCs w:val="0"/>
                <w:szCs w:val="21"/>
              </w:rPr>
              <w:t>约</w:t>
            </w:r>
            <w:r>
              <w:rPr>
                <w:rFonts w:hint="eastAsia" w:ascii="宋体" w:hAnsi="宋体"/>
                <w:b w:val="0"/>
                <w:bCs w:val="0"/>
                <w:szCs w:val="21"/>
                <w:lang w:eastAsia="zh-CN"/>
              </w:rPr>
              <w:t>4</w:t>
            </w:r>
            <w:r>
              <w:rPr>
                <w:rFonts w:hint="eastAsia" w:ascii="宋体" w:hAnsi="宋体"/>
                <w:b w:val="0"/>
                <w:bCs w:val="0"/>
                <w:szCs w:val="21"/>
                <w:lang w:val="en-US" w:eastAsia="zh-CN"/>
              </w:rPr>
              <w:t>40</w:t>
            </w:r>
            <w:r>
              <w:rPr>
                <w:rFonts w:hint="eastAsia" w:ascii="宋体" w:hAnsi="宋体"/>
                <w:b w:val="0"/>
                <w:bCs w:val="0"/>
                <w:szCs w:val="21"/>
                <w:lang w:eastAsia="zh-CN"/>
              </w:rPr>
              <w:t>km</w:t>
            </w:r>
            <w:r>
              <w:rPr>
                <w:rFonts w:hint="eastAsia" w:ascii="宋体" w:hAnsi="宋体"/>
                <w:b w:val="0"/>
                <w:bCs w:val="0"/>
                <w:szCs w:val="21"/>
              </w:rPr>
              <w:t>里程航道</w:t>
            </w:r>
            <w:r>
              <w:rPr>
                <w:rFonts w:hint="eastAsia" w:ascii="宋体" w:hAnsi="宋体"/>
                <w:b w:val="0"/>
                <w:bCs w:val="0"/>
                <w:szCs w:val="21"/>
                <w:lang w:eastAsia="zh-CN"/>
              </w:rPr>
              <w:t>以及</w:t>
            </w:r>
            <w:r>
              <w:rPr>
                <w:rFonts w:hint="eastAsia" w:ascii="宋体" w:hAnsi="宋体"/>
                <w:b w:val="0"/>
                <w:bCs w:val="0"/>
                <w:szCs w:val="21"/>
                <w:lang w:val="en-US" w:eastAsia="zh-CN"/>
              </w:rPr>
              <w:t>80.6公里中越界河航道</w:t>
            </w:r>
            <w:r>
              <w:rPr>
                <w:rFonts w:hint="eastAsia" w:ascii="宋体" w:hAnsi="宋体"/>
                <w:b w:val="0"/>
                <w:bCs w:val="0"/>
                <w:szCs w:val="21"/>
              </w:rPr>
              <w:t>普查成果报告及必要的图纸8份、</w:t>
            </w:r>
            <w:r>
              <w:rPr>
                <w:rFonts w:hint="eastAsia" w:ascii="宋体" w:hAnsi="宋体"/>
                <w:b w:val="0"/>
                <w:bCs w:val="0"/>
                <w:szCs w:val="21"/>
                <w:lang w:eastAsia="zh-CN"/>
              </w:rPr>
              <w:t>可编辑的</w:t>
            </w:r>
            <w:r>
              <w:rPr>
                <w:rFonts w:hint="eastAsia" w:ascii="宋体" w:hAnsi="宋体"/>
                <w:b w:val="0"/>
                <w:bCs w:val="0"/>
                <w:szCs w:val="21"/>
              </w:rPr>
              <w:t>电子光盘2张。</w:t>
            </w:r>
          </w:p>
        </w:tc>
      </w:tr>
    </w:tbl>
    <w:p w14:paraId="1B9A3E5B">
      <w:pPr>
        <w:spacing w:line="360" w:lineRule="auto"/>
        <w:ind w:firstLine="480" w:firstLineChars="200"/>
        <w:rPr>
          <w:rFonts w:hint="eastAsia" w:ascii="宋体" w:hAnsi="宋体" w:cs="宋体"/>
          <w:bCs/>
          <w:sz w:val="24"/>
        </w:rPr>
      </w:pPr>
      <w:r>
        <w:rPr>
          <w:rFonts w:hint="eastAsia" w:ascii="宋体" w:hAnsi="宋体" w:cs="宋体"/>
          <w:bCs/>
          <w:sz w:val="24"/>
        </w:rPr>
        <w:t>（六）合同履行期限：</w:t>
      </w:r>
    </w:p>
    <w:p w14:paraId="47D5B248">
      <w:pPr>
        <w:spacing w:line="360" w:lineRule="auto"/>
        <w:ind w:firstLine="480" w:firstLineChars="200"/>
        <w:rPr>
          <w:rFonts w:hint="eastAsia" w:ascii="宋体" w:hAnsi="宋体" w:cs="宋体"/>
          <w:sz w:val="24"/>
          <w:lang w:bidi="ar"/>
        </w:rPr>
      </w:pPr>
      <w:r>
        <w:rPr>
          <w:rFonts w:hint="eastAsia" w:ascii="宋体" w:hAnsi="宋体" w:cs="宋体"/>
          <w:bCs/>
          <w:sz w:val="24"/>
        </w:rPr>
        <w:t>服务总工期：</w:t>
      </w:r>
      <w:r>
        <w:rPr>
          <w:rFonts w:hint="eastAsia" w:ascii="宋体" w:hAnsi="宋体" w:cs="宋体"/>
          <w:b/>
          <w:bCs/>
          <w:snapToGrid w:val="0"/>
          <w:kern w:val="0"/>
          <w:sz w:val="24"/>
        </w:rPr>
        <w:t>合同签订后180日历天</w:t>
      </w:r>
      <w:r>
        <w:rPr>
          <w:rFonts w:hint="eastAsia" w:ascii="宋体" w:hAnsi="宋体" w:cs="宋体"/>
          <w:sz w:val="24"/>
          <w:lang w:bidi="ar"/>
        </w:rPr>
        <w:t>。</w:t>
      </w:r>
    </w:p>
    <w:p w14:paraId="3E13E110">
      <w:pPr>
        <w:spacing w:line="360" w:lineRule="auto"/>
        <w:ind w:firstLine="480" w:firstLineChars="200"/>
        <w:rPr>
          <w:rFonts w:hint="eastAsia" w:ascii="宋体" w:hAnsi="宋体" w:cs="宋体"/>
          <w:bCs/>
          <w:sz w:val="24"/>
        </w:rPr>
      </w:pPr>
      <w:r>
        <w:rPr>
          <w:rFonts w:hint="eastAsia" w:ascii="宋体" w:hAnsi="宋体" w:cs="宋体"/>
          <w:bCs/>
          <w:sz w:val="24"/>
        </w:rPr>
        <w:t>（七）本次采购不接受联合体竞标。</w:t>
      </w:r>
    </w:p>
    <w:p w14:paraId="4FFB4AE1">
      <w:pPr>
        <w:spacing w:line="360" w:lineRule="auto"/>
        <w:ind w:firstLine="354" w:firstLineChars="147"/>
        <w:rPr>
          <w:rFonts w:hint="eastAsia" w:ascii="黑体" w:hAnsi="黑体" w:eastAsia="黑体"/>
          <w:b/>
          <w:sz w:val="24"/>
        </w:rPr>
      </w:pPr>
      <w:r>
        <w:rPr>
          <w:rFonts w:hint="eastAsia" w:ascii="黑体" w:hAnsi="黑体" w:eastAsia="黑体"/>
          <w:b/>
          <w:sz w:val="24"/>
        </w:rPr>
        <w:t>二、供应商的资格条件</w:t>
      </w:r>
    </w:p>
    <w:p w14:paraId="1ABD569F">
      <w:pPr>
        <w:spacing w:line="360" w:lineRule="auto"/>
        <w:ind w:firstLine="480" w:firstLineChars="200"/>
        <w:rPr>
          <w:rFonts w:hint="eastAsia" w:ascii="宋体" w:hAnsi="宋体" w:cs="宋体"/>
          <w:bCs/>
          <w:sz w:val="24"/>
        </w:rPr>
      </w:pPr>
      <w:r>
        <w:rPr>
          <w:rFonts w:hint="eastAsia" w:ascii="宋体" w:hAnsi="宋体" w:cs="宋体"/>
          <w:sz w:val="24"/>
          <w:lang w:bidi="ar"/>
        </w:rPr>
        <w:t>1、具备国内独立法人资格。</w:t>
      </w:r>
      <w:r>
        <w:rPr>
          <w:rFonts w:hint="eastAsia" w:ascii="宋体" w:hAnsi="宋体" w:cs="宋体"/>
          <w:bCs/>
          <w:sz w:val="24"/>
        </w:rPr>
        <w:t>供应商须具有独立承担民事责任的能力，为中华人民共和国境内注册的法人或其他组织，具有有效的营业执照；</w:t>
      </w:r>
    </w:p>
    <w:p w14:paraId="7E69BD77">
      <w:pPr>
        <w:spacing w:line="360" w:lineRule="auto"/>
        <w:ind w:firstLine="480" w:firstLineChars="200"/>
        <w:rPr>
          <w:rFonts w:hint="eastAsia" w:ascii="宋体" w:hAnsi="宋体" w:cs="宋体"/>
          <w:sz w:val="24"/>
          <w:lang w:bidi="ar"/>
        </w:rPr>
      </w:pPr>
      <w:r>
        <w:rPr>
          <w:rFonts w:hint="eastAsia" w:ascii="宋体" w:hAnsi="宋体" w:cs="宋体"/>
          <w:sz w:val="24"/>
          <w:lang w:bidi="ar"/>
        </w:rPr>
        <w:t>2、单位资质和人员配备要求：</w:t>
      </w:r>
    </w:p>
    <w:p w14:paraId="09A2DBE9">
      <w:pPr>
        <w:widowControl/>
        <w:spacing w:line="360" w:lineRule="auto"/>
        <w:ind w:firstLine="480" w:firstLineChars="200"/>
        <w:jc w:val="left"/>
        <w:rPr>
          <w:rFonts w:hint="eastAsia" w:ascii="宋体" w:hAnsi="宋体" w:cs="宋体"/>
          <w:bCs/>
          <w:sz w:val="24"/>
        </w:rPr>
      </w:pPr>
      <w:r>
        <w:rPr>
          <w:rFonts w:hint="eastAsia" w:ascii="宋体" w:hAnsi="宋体" w:cs="宋体"/>
          <w:bCs/>
          <w:sz w:val="24"/>
        </w:rPr>
        <w:t>（1）</w:t>
      </w:r>
      <w:r>
        <w:rPr>
          <w:rFonts w:ascii="宋体" w:hAnsi="宋体" w:cs="宋体"/>
          <w:bCs/>
          <w:sz w:val="24"/>
          <w:lang w:bidi="ar"/>
        </w:rPr>
        <w:t>单位资质</w:t>
      </w:r>
      <w:r>
        <w:rPr>
          <w:rFonts w:hint="eastAsia" w:ascii="宋体" w:hAnsi="宋体" w:cs="宋体"/>
          <w:bCs/>
          <w:sz w:val="24"/>
        </w:rPr>
        <w:t>要求：具备住房和城乡建设部颁发的有效的工程勘察（至少含岩土工程和工程测量）甲级及以上资质；具备住房和城乡建设部颁发的有效的</w:t>
      </w:r>
      <w:r>
        <w:rPr>
          <w:rFonts w:ascii="宋体" w:hAnsi="宋体" w:cs="宋体"/>
          <w:bCs/>
          <w:sz w:val="24"/>
        </w:rPr>
        <w:t>水运行业设计</w:t>
      </w:r>
      <w:r>
        <w:rPr>
          <w:rFonts w:hint="eastAsia" w:ascii="宋体" w:hAnsi="宋体" w:cs="宋体"/>
          <w:bCs/>
          <w:sz w:val="24"/>
        </w:rPr>
        <w:t>甲级</w:t>
      </w:r>
      <w:r>
        <w:rPr>
          <w:rFonts w:ascii="宋体" w:hAnsi="宋体" w:cs="宋体"/>
          <w:bCs/>
          <w:sz w:val="24"/>
        </w:rPr>
        <w:t>及以上资质。</w:t>
      </w:r>
    </w:p>
    <w:p w14:paraId="5BB8AC55">
      <w:pPr>
        <w:spacing w:line="360" w:lineRule="auto"/>
        <w:ind w:firstLine="480" w:firstLineChars="200"/>
        <w:rPr>
          <w:rFonts w:ascii="宋体" w:hAnsi="宋体" w:cs="宋体"/>
          <w:bCs/>
          <w:sz w:val="24"/>
        </w:rPr>
      </w:pPr>
      <w:r>
        <w:rPr>
          <w:rFonts w:hint="eastAsia" w:ascii="宋体" w:hAnsi="宋体" w:cs="宋体"/>
          <w:bCs/>
          <w:sz w:val="24"/>
        </w:rPr>
        <w:t>（</w:t>
      </w:r>
      <w:r>
        <w:rPr>
          <w:rFonts w:ascii="宋体" w:hAnsi="宋体" w:cs="宋体"/>
          <w:bCs/>
          <w:sz w:val="24"/>
        </w:rPr>
        <w:t>2）人员配备要求：</w:t>
      </w:r>
      <w:r>
        <w:rPr>
          <w:rFonts w:hint="eastAsia" w:ascii="宋体" w:hAnsi="宋体" w:cs="宋体"/>
          <w:bCs/>
          <w:sz w:val="24"/>
        </w:rPr>
        <w:t>测量</w:t>
      </w:r>
      <w:r>
        <w:rPr>
          <w:rFonts w:ascii="宋体" w:hAnsi="宋体" w:cs="宋体"/>
          <w:bCs/>
          <w:sz w:val="24"/>
        </w:rPr>
        <w:t>负责人要求具备注册</w:t>
      </w:r>
      <w:r>
        <w:rPr>
          <w:rFonts w:hint="eastAsia" w:ascii="宋体" w:hAnsi="宋体" w:cs="宋体"/>
          <w:bCs/>
          <w:sz w:val="24"/>
        </w:rPr>
        <w:t>测绘</w:t>
      </w:r>
      <w:r>
        <w:rPr>
          <w:rFonts w:ascii="宋体" w:hAnsi="宋体" w:cs="宋体"/>
          <w:bCs/>
          <w:sz w:val="24"/>
        </w:rPr>
        <w:t>师</w:t>
      </w:r>
      <w:r>
        <w:rPr>
          <w:rFonts w:hint="eastAsia" w:ascii="宋体" w:hAnsi="宋体" w:cs="宋体"/>
          <w:bCs/>
          <w:sz w:val="24"/>
        </w:rPr>
        <w:t>执业</w:t>
      </w:r>
      <w:r>
        <w:rPr>
          <w:rFonts w:ascii="宋体" w:hAnsi="宋体" w:cs="宋体"/>
          <w:bCs/>
          <w:sz w:val="24"/>
        </w:rPr>
        <w:t>证书,高级工程师及以上职称,至少担任过1个</w:t>
      </w:r>
      <w:r>
        <w:rPr>
          <w:rFonts w:hint="eastAsia" w:ascii="宋体" w:hAnsi="宋体" w:cs="宋体"/>
          <w:bCs/>
          <w:sz w:val="24"/>
        </w:rPr>
        <w:t>内河</w:t>
      </w:r>
      <w:r>
        <w:rPr>
          <w:rFonts w:ascii="宋体" w:hAnsi="宋体" w:cs="宋体"/>
          <w:bCs/>
          <w:sz w:val="24"/>
        </w:rPr>
        <w:t>航道工程</w:t>
      </w:r>
      <w:r>
        <w:rPr>
          <w:rFonts w:hint="eastAsia" w:ascii="宋体" w:hAnsi="宋体" w:cs="宋体"/>
          <w:bCs/>
          <w:sz w:val="24"/>
        </w:rPr>
        <w:t>的测量</w:t>
      </w:r>
      <w:r>
        <w:rPr>
          <w:rFonts w:ascii="宋体" w:hAnsi="宋体" w:cs="宋体"/>
          <w:bCs/>
          <w:sz w:val="24"/>
        </w:rPr>
        <w:t>负责人</w:t>
      </w:r>
      <w:r>
        <w:rPr>
          <w:rFonts w:hint="eastAsia" w:ascii="宋体" w:hAnsi="宋体" w:cs="宋体"/>
          <w:bCs/>
          <w:sz w:val="24"/>
        </w:rPr>
        <w:t>；</w:t>
      </w:r>
      <w:r>
        <w:rPr>
          <w:rFonts w:ascii="宋体" w:hAnsi="宋体" w:cs="宋体"/>
          <w:bCs/>
          <w:sz w:val="24"/>
        </w:rPr>
        <w:t>项目负责人要求具备注册土木工程师(港口与航道工程专业)职业资格证书,高级工程师及以上职称,至少担任过1个</w:t>
      </w:r>
      <w:r>
        <w:rPr>
          <w:rFonts w:hint="eastAsia" w:ascii="宋体" w:hAnsi="宋体" w:cs="宋体"/>
          <w:bCs/>
          <w:sz w:val="24"/>
        </w:rPr>
        <w:t>内河航道工程的</w:t>
      </w:r>
      <w:r>
        <w:rPr>
          <w:rFonts w:ascii="宋体" w:hAnsi="宋体" w:cs="宋体"/>
          <w:bCs/>
          <w:sz w:val="24"/>
        </w:rPr>
        <w:t>项目负责人</w:t>
      </w:r>
      <w:r>
        <w:rPr>
          <w:rFonts w:hint="eastAsia" w:ascii="宋体" w:hAnsi="宋体" w:cs="宋体"/>
          <w:bCs/>
          <w:sz w:val="24"/>
        </w:rPr>
        <w:t>；提供投入人员资质证书复印件及供应商为其缴纳的2025年7月-2026年1月内至少6个月的社保缴纳证明。</w:t>
      </w:r>
    </w:p>
    <w:p w14:paraId="34B90E10">
      <w:pPr>
        <w:spacing w:line="360" w:lineRule="auto"/>
        <w:ind w:firstLine="480" w:firstLineChars="200"/>
        <w:rPr>
          <w:rFonts w:hint="eastAsia" w:ascii="宋体" w:hAnsi="宋体" w:cs="宋体"/>
          <w:sz w:val="24"/>
          <w:lang w:bidi="ar"/>
        </w:rPr>
      </w:pPr>
      <w:r>
        <w:rPr>
          <w:rFonts w:hint="eastAsia" w:ascii="宋体" w:hAnsi="宋体" w:cs="宋体"/>
          <w:sz w:val="24"/>
          <w:lang w:bidi="ar"/>
        </w:rPr>
        <w:t>3、单位业绩要求：</w:t>
      </w:r>
    </w:p>
    <w:p w14:paraId="02EA3251">
      <w:pPr>
        <w:spacing w:line="360" w:lineRule="auto"/>
        <w:ind w:firstLine="480" w:firstLineChars="200"/>
        <w:rPr>
          <w:rFonts w:hint="eastAsia" w:ascii="宋体" w:hAnsi="宋体" w:cs="宋体"/>
          <w:bCs/>
          <w:sz w:val="24"/>
        </w:rPr>
      </w:pPr>
      <w:r>
        <w:rPr>
          <w:rFonts w:hint="eastAsia" w:ascii="宋体" w:hAnsi="宋体" w:cs="宋体"/>
          <w:sz w:val="24"/>
          <w:lang w:bidi="ar"/>
        </w:rPr>
        <w:t>2</w:t>
      </w:r>
      <w:r>
        <w:rPr>
          <w:rFonts w:ascii="宋体" w:hAnsi="宋体" w:cs="宋体"/>
          <w:bCs/>
          <w:sz w:val="24"/>
        </w:rPr>
        <w:t>02</w:t>
      </w:r>
      <w:r>
        <w:rPr>
          <w:rFonts w:hint="eastAsia" w:ascii="宋体" w:hAnsi="宋体" w:cs="宋体"/>
          <w:bCs/>
          <w:sz w:val="24"/>
        </w:rPr>
        <w:t>1</w:t>
      </w:r>
      <w:r>
        <w:rPr>
          <w:rFonts w:ascii="宋体" w:hAnsi="宋体" w:cs="宋体"/>
          <w:bCs/>
          <w:sz w:val="24"/>
        </w:rPr>
        <w:t>年1月1日起至投标截止时间前,独立承担过1个</w:t>
      </w:r>
      <w:r>
        <w:rPr>
          <w:rFonts w:hint="eastAsia" w:ascii="宋体" w:hAnsi="宋体" w:cs="宋体"/>
          <w:bCs/>
          <w:sz w:val="24"/>
        </w:rPr>
        <w:t>内河</w:t>
      </w:r>
      <w:r>
        <w:rPr>
          <w:rFonts w:ascii="宋体" w:hAnsi="宋体" w:cs="宋体"/>
          <w:bCs/>
          <w:sz w:val="24"/>
        </w:rPr>
        <w:t>航道工程的地形</w:t>
      </w:r>
      <w:r>
        <w:rPr>
          <w:rFonts w:hint="eastAsia" w:ascii="宋体" w:hAnsi="宋体" w:cs="宋体"/>
          <w:bCs/>
          <w:sz w:val="24"/>
        </w:rPr>
        <w:t>测量</w:t>
      </w:r>
      <w:r>
        <w:rPr>
          <w:rFonts w:ascii="宋体" w:hAnsi="宋体" w:cs="宋体"/>
          <w:bCs/>
          <w:sz w:val="24"/>
        </w:rPr>
        <w:t>。202</w:t>
      </w:r>
      <w:r>
        <w:rPr>
          <w:rFonts w:hint="eastAsia" w:ascii="宋体" w:hAnsi="宋体" w:cs="宋体"/>
          <w:bCs/>
          <w:sz w:val="24"/>
        </w:rPr>
        <w:t>1</w:t>
      </w:r>
      <w:r>
        <w:rPr>
          <w:rFonts w:ascii="宋体" w:hAnsi="宋体" w:cs="宋体"/>
          <w:bCs/>
          <w:sz w:val="24"/>
        </w:rPr>
        <w:t>年1月1日起至投标截止时间前,独立承担过1个</w:t>
      </w:r>
      <w:r>
        <w:rPr>
          <w:rFonts w:hint="eastAsia" w:ascii="宋体" w:hAnsi="宋体" w:cs="宋体"/>
          <w:bCs/>
          <w:sz w:val="24"/>
        </w:rPr>
        <w:t>内河航道工程</w:t>
      </w:r>
      <w:r>
        <w:rPr>
          <w:rFonts w:ascii="宋体" w:hAnsi="宋体" w:cs="宋体"/>
          <w:bCs/>
          <w:sz w:val="24"/>
        </w:rPr>
        <w:t>项目的</w:t>
      </w:r>
      <w:r>
        <w:rPr>
          <w:rFonts w:hint="eastAsia" w:ascii="宋体" w:hAnsi="宋体" w:cs="宋体"/>
          <w:bCs/>
          <w:sz w:val="24"/>
        </w:rPr>
        <w:t>工程可行性研究或</w:t>
      </w:r>
      <w:r>
        <w:rPr>
          <w:rFonts w:ascii="宋体" w:hAnsi="宋体" w:cs="宋体"/>
          <w:bCs/>
          <w:sz w:val="24"/>
        </w:rPr>
        <w:t>设计</w:t>
      </w:r>
      <w:r>
        <w:rPr>
          <w:rFonts w:hint="eastAsia" w:ascii="宋体" w:hAnsi="宋体" w:cs="宋体"/>
          <w:bCs/>
          <w:sz w:val="24"/>
        </w:rPr>
        <w:t>工作。</w:t>
      </w:r>
    </w:p>
    <w:p w14:paraId="140886ED">
      <w:pPr>
        <w:spacing w:line="360" w:lineRule="auto"/>
        <w:ind w:firstLine="480" w:firstLineChars="200"/>
        <w:rPr>
          <w:rFonts w:hint="eastAsia" w:ascii="宋体" w:hAnsi="宋体" w:cs="宋体"/>
          <w:sz w:val="24"/>
          <w:lang w:bidi="ar"/>
        </w:rPr>
      </w:pPr>
      <w:r>
        <w:rPr>
          <w:rFonts w:hint="eastAsia" w:ascii="宋体" w:hAnsi="宋体" w:cs="宋体"/>
          <w:sz w:val="24"/>
          <w:lang w:bidi="ar"/>
        </w:rPr>
        <w:t>4、供应商参加政府采购活动前三年内，在经营活动中没有重大违法记录（重大违法记录，是指供应商因违法经营受到刑事处罚或者责令停产停业、吊销许可证或者执照等行政处罚），提供书面声明。</w:t>
      </w:r>
    </w:p>
    <w:p w14:paraId="23CD313F">
      <w:pPr>
        <w:spacing w:line="360" w:lineRule="auto"/>
        <w:ind w:firstLine="480" w:firstLineChars="200"/>
        <w:rPr>
          <w:rFonts w:hint="eastAsia" w:ascii="宋体" w:hAnsi="宋体" w:cs="宋体"/>
          <w:sz w:val="24"/>
          <w:lang w:bidi="ar"/>
        </w:rPr>
      </w:pPr>
      <w:r>
        <w:rPr>
          <w:rFonts w:hint="eastAsia" w:ascii="宋体" w:hAnsi="宋体" w:cs="宋体"/>
          <w:sz w:val="24"/>
          <w:lang w:bidi="ar"/>
        </w:rPr>
        <w:t>5、在“信用中国”网站、中国政府采购网等渠道未被列入失信被执行人、重大税收违法案件当事人名单、政府采购严重违法失信行为记录名单。</w:t>
      </w:r>
    </w:p>
    <w:p w14:paraId="091001B5">
      <w:pPr>
        <w:spacing w:line="360" w:lineRule="auto"/>
        <w:ind w:firstLine="354" w:firstLineChars="147"/>
        <w:rPr>
          <w:rFonts w:hint="eastAsia" w:ascii="黑体" w:hAnsi="黑体" w:eastAsia="黑体"/>
          <w:b/>
          <w:sz w:val="24"/>
        </w:rPr>
      </w:pPr>
      <w:r>
        <w:rPr>
          <w:rFonts w:hint="eastAsia" w:ascii="黑体" w:hAnsi="黑体" w:eastAsia="黑体"/>
          <w:b/>
          <w:sz w:val="24"/>
        </w:rPr>
        <w:t>三、获取采购文件</w:t>
      </w:r>
    </w:p>
    <w:p w14:paraId="39D65DCA">
      <w:pPr>
        <w:spacing w:line="360" w:lineRule="auto"/>
        <w:ind w:firstLine="480" w:firstLineChars="200"/>
        <w:rPr>
          <w:rFonts w:hint="eastAsia" w:ascii="宋体" w:hAnsi="宋体" w:cs="宋体"/>
          <w:sz w:val="24"/>
          <w:lang w:bidi="ar"/>
        </w:rPr>
      </w:pPr>
      <w:r>
        <w:rPr>
          <w:rFonts w:hint="eastAsia" w:ascii="宋体" w:hAnsi="宋体" w:cs="宋体"/>
          <w:sz w:val="24"/>
          <w:lang w:bidi="ar"/>
        </w:rPr>
        <w:t>（一）获取时间：202</w:t>
      </w:r>
      <w:r>
        <w:rPr>
          <w:rFonts w:hint="eastAsia" w:ascii="宋体" w:hAnsi="宋体" w:cs="宋体"/>
          <w:sz w:val="24"/>
          <w:lang w:val="en-US" w:eastAsia="zh-CN" w:bidi="ar"/>
        </w:rPr>
        <w:t>6</w:t>
      </w:r>
      <w:r>
        <w:rPr>
          <w:rFonts w:hint="eastAsia" w:ascii="宋体" w:hAnsi="宋体" w:cs="宋体"/>
          <w:sz w:val="24"/>
          <w:lang w:bidi="ar"/>
        </w:rPr>
        <w:t>年</w:t>
      </w:r>
      <w:r>
        <w:rPr>
          <w:rFonts w:hint="eastAsia" w:ascii="宋体" w:hAnsi="宋体" w:cs="宋体"/>
          <w:sz w:val="24"/>
          <w:lang w:val="en-US" w:eastAsia="zh-CN" w:bidi="ar"/>
        </w:rPr>
        <w:t>4</w:t>
      </w:r>
      <w:r>
        <w:rPr>
          <w:rFonts w:hint="eastAsia" w:ascii="宋体" w:hAnsi="宋体" w:cs="宋体"/>
          <w:sz w:val="24"/>
          <w:lang w:bidi="ar"/>
        </w:rPr>
        <w:t>月</w:t>
      </w:r>
      <w:r>
        <w:rPr>
          <w:rFonts w:hint="eastAsia" w:ascii="宋体" w:hAnsi="宋体" w:cs="宋体"/>
          <w:sz w:val="24"/>
          <w:lang w:val="en-US" w:eastAsia="zh-CN" w:bidi="ar"/>
        </w:rPr>
        <w:t>8</w:t>
      </w:r>
      <w:bookmarkStart w:id="79" w:name="_GoBack"/>
      <w:bookmarkEnd w:id="79"/>
      <w:r>
        <w:rPr>
          <w:rFonts w:hint="eastAsia" w:ascii="宋体" w:hAnsi="宋体" w:cs="宋体"/>
          <w:sz w:val="24"/>
          <w:lang w:bidi="ar"/>
        </w:rPr>
        <w:t>日至202</w:t>
      </w:r>
      <w:r>
        <w:rPr>
          <w:rFonts w:hint="eastAsia" w:ascii="宋体" w:hAnsi="宋体" w:cs="宋体"/>
          <w:sz w:val="24"/>
          <w:lang w:val="en-US" w:eastAsia="zh-CN" w:bidi="ar"/>
        </w:rPr>
        <w:t>6</w:t>
      </w:r>
      <w:r>
        <w:rPr>
          <w:rFonts w:hint="eastAsia" w:ascii="宋体" w:hAnsi="宋体" w:cs="宋体"/>
          <w:sz w:val="24"/>
          <w:lang w:bidi="ar"/>
        </w:rPr>
        <w:t>年</w:t>
      </w:r>
      <w:r>
        <w:rPr>
          <w:rFonts w:hint="eastAsia" w:ascii="宋体" w:hAnsi="宋体" w:cs="宋体"/>
          <w:sz w:val="24"/>
          <w:lang w:val="en-US" w:eastAsia="zh-CN" w:bidi="ar"/>
        </w:rPr>
        <w:t>4</w:t>
      </w:r>
      <w:r>
        <w:rPr>
          <w:rFonts w:hint="eastAsia" w:ascii="宋体" w:hAnsi="宋体" w:cs="宋体"/>
          <w:sz w:val="24"/>
          <w:lang w:bidi="ar"/>
        </w:rPr>
        <w:t>月</w:t>
      </w:r>
      <w:r>
        <w:rPr>
          <w:rFonts w:hint="eastAsia" w:ascii="宋体" w:hAnsi="宋体" w:cs="宋体"/>
          <w:sz w:val="24"/>
          <w:lang w:val="en-US" w:eastAsia="zh-CN" w:bidi="ar"/>
        </w:rPr>
        <w:t>12</w:t>
      </w:r>
      <w:r>
        <w:rPr>
          <w:rFonts w:hint="eastAsia" w:ascii="宋体" w:hAnsi="宋体" w:cs="宋体"/>
          <w:sz w:val="24"/>
          <w:lang w:bidi="ar"/>
        </w:rPr>
        <w:t>日。</w:t>
      </w:r>
    </w:p>
    <w:p w14:paraId="76B119BA">
      <w:pPr>
        <w:spacing w:line="360" w:lineRule="auto"/>
        <w:ind w:firstLine="480" w:firstLineChars="200"/>
        <w:rPr>
          <w:rFonts w:hint="eastAsia" w:ascii="宋体" w:hAnsi="宋体" w:cs="宋体"/>
          <w:sz w:val="24"/>
          <w:lang w:bidi="ar"/>
        </w:rPr>
      </w:pPr>
      <w:r>
        <w:rPr>
          <w:rFonts w:hint="eastAsia" w:ascii="宋体" w:hAnsi="宋体" w:cs="宋体"/>
          <w:sz w:val="24"/>
          <w:lang w:bidi="ar"/>
        </w:rPr>
        <w:t>（二）获取地点：广西壮族自治区</w:t>
      </w:r>
      <w:r>
        <w:rPr>
          <w:rFonts w:hint="eastAsia" w:ascii="宋体" w:hAnsi="宋体" w:cs="宋体"/>
          <w:sz w:val="24"/>
          <w:lang w:eastAsia="zh-CN" w:bidi="ar"/>
        </w:rPr>
        <w:t>水运发展中心</w:t>
      </w:r>
      <w:r>
        <w:rPr>
          <w:rFonts w:hint="eastAsia" w:ascii="宋体" w:hAnsi="宋体" w:cs="宋体"/>
          <w:sz w:val="24"/>
          <w:lang w:bidi="ar"/>
        </w:rPr>
        <w:t>网站（https://www.gxghj.cn/）。</w:t>
      </w:r>
    </w:p>
    <w:p w14:paraId="2D8EDFDC">
      <w:pPr>
        <w:spacing w:line="360" w:lineRule="auto"/>
        <w:ind w:firstLine="480" w:firstLineChars="200"/>
        <w:rPr>
          <w:rFonts w:hint="eastAsia" w:ascii="宋体" w:hAnsi="宋体" w:cs="宋体"/>
          <w:sz w:val="24"/>
          <w:lang w:bidi="ar"/>
        </w:rPr>
      </w:pPr>
      <w:r>
        <w:rPr>
          <w:rFonts w:hint="eastAsia" w:ascii="宋体" w:hAnsi="宋体" w:cs="宋体"/>
          <w:sz w:val="24"/>
          <w:lang w:bidi="ar"/>
        </w:rPr>
        <w:t>（三）获取方式：网上下载。本项目不提供纸质文件，潜在供应商登录广西壮族自治区</w:t>
      </w:r>
      <w:r>
        <w:rPr>
          <w:rFonts w:hint="eastAsia" w:ascii="宋体" w:hAnsi="宋体" w:cs="宋体"/>
          <w:sz w:val="24"/>
          <w:lang w:eastAsia="zh-CN" w:bidi="ar"/>
        </w:rPr>
        <w:t>水运发展中心</w:t>
      </w:r>
      <w:r>
        <w:rPr>
          <w:rFonts w:hint="eastAsia" w:ascii="宋体" w:hAnsi="宋体" w:cs="宋体"/>
          <w:sz w:val="24"/>
          <w:lang w:bidi="ar"/>
        </w:rPr>
        <w:t>网站-进入“通知公告”应用，点击本公告获取采购文件（采购方案）。</w:t>
      </w:r>
    </w:p>
    <w:p w14:paraId="497E0B7B">
      <w:pPr>
        <w:spacing w:line="360" w:lineRule="auto"/>
        <w:ind w:firstLine="354" w:firstLineChars="147"/>
        <w:rPr>
          <w:rFonts w:hint="eastAsia" w:ascii="黑体" w:hAnsi="黑体" w:eastAsia="黑体"/>
          <w:b/>
          <w:sz w:val="24"/>
        </w:rPr>
      </w:pPr>
      <w:r>
        <w:rPr>
          <w:rFonts w:hint="eastAsia" w:ascii="黑体" w:hAnsi="黑体" w:eastAsia="黑体"/>
          <w:b/>
          <w:sz w:val="24"/>
        </w:rPr>
        <w:t>四、响应文件提交</w:t>
      </w:r>
    </w:p>
    <w:p w14:paraId="63042D9D">
      <w:pPr>
        <w:spacing w:line="360" w:lineRule="auto"/>
        <w:ind w:firstLine="480" w:firstLineChars="200"/>
        <w:rPr>
          <w:rFonts w:hint="eastAsia" w:ascii="宋体" w:hAnsi="宋体" w:cs="宋体"/>
          <w:sz w:val="24"/>
          <w:lang w:bidi="ar"/>
        </w:rPr>
      </w:pPr>
      <w:r>
        <w:rPr>
          <w:rFonts w:hint="eastAsia" w:ascii="宋体" w:hAnsi="宋体" w:cs="宋体"/>
          <w:sz w:val="24"/>
          <w:lang w:bidi="ar"/>
        </w:rPr>
        <w:t>（一）提交响应文件纸质版一正两副共三份文件。</w:t>
      </w:r>
    </w:p>
    <w:p w14:paraId="6851829F">
      <w:pPr>
        <w:spacing w:line="360" w:lineRule="auto"/>
        <w:ind w:firstLine="480" w:firstLineChars="200"/>
        <w:rPr>
          <w:rFonts w:hint="eastAsia" w:ascii="宋体" w:hAnsi="宋体" w:cs="宋体"/>
          <w:sz w:val="24"/>
          <w:lang w:bidi="ar"/>
        </w:rPr>
      </w:pPr>
      <w:r>
        <w:rPr>
          <w:rFonts w:hint="eastAsia" w:ascii="宋体" w:hAnsi="宋体" w:cs="宋体"/>
          <w:sz w:val="24"/>
          <w:lang w:bidi="ar"/>
        </w:rPr>
        <w:t>（二）响应文件提交的地址：广西壮族自治区</w:t>
      </w:r>
      <w:r>
        <w:rPr>
          <w:rFonts w:hint="eastAsia" w:ascii="宋体" w:hAnsi="宋体" w:cs="宋体"/>
          <w:sz w:val="24"/>
          <w:lang w:eastAsia="zh-CN" w:bidi="ar"/>
        </w:rPr>
        <w:t>水运发展中心</w:t>
      </w:r>
      <w:r>
        <w:rPr>
          <w:rFonts w:hint="eastAsia" w:ascii="宋体" w:hAnsi="宋体" w:cs="宋体"/>
          <w:sz w:val="24"/>
          <w:lang w:bidi="ar"/>
        </w:rPr>
        <w:t>（南宁市青秀区百花岭路6号翠竹小区</w:t>
      </w:r>
      <w:r>
        <w:rPr>
          <w:rFonts w:hint="eastAsia" w:ascii="宋体" w:hAnsi="宋体" w:cs="宋体"/>
          <w:sz w:val="24"/>
          <w:lang w:eastAsia="zh-CN" w:bidi="ar"/>
        </w:rPr>
        <w:t>综合办公楼</w:t>
      </w:r>
      <w:r>
        <w:rPr>
          <w:rFonts w:hint="eastAsia" w:ascii="宋体" w:hAnsi="宋体" w:cs="宋体"/>
          <w:sz w:val="24"/>
          <w:lang w:bidi="ar"/>
        </w:rPr>
        <w:t>）325室。</w:t>
      </w:r>
    </w:p>
    <w:p w14:paraId="0486857B">
      <w:pPr>
        <w:spacing w:line="360" w:lineRule="auto"/>
        <w:ind w:firstLine="480" w:firstLineChars="200"/>
        <w:rPr>
          <w:rFonts w:hint="eastAsia" w:ascii="宋体" w:hAnsi="宋体" w:cs="宋体"/>
          <w:sz w:val="24"/>
          <w:lang w:bidi="ar"/>
        </w:rPr>
      </w:pPr>
      <w:r>
        <w:rPr>
          <w:rFonts w:hint="eastAsia" w:ascii="宋体" w:hAnsi="宋体" w:cs="宋体"/>
          <w:sz w:val="24"/>
          <w:lang w:bidi="ar"/>
        </w:rPr>
        <w:t>（三）响应文件提交截止时间：</w:t>
      </w:r>
      <w:r>
        <w:rPr>
          <w:rFonts w:ascii="宋体" w:hAnsi="宋体" w:cs="宋体"/>
          <w:sz w:val="24"/>
          <w:lang w:bidi="ar"/>
        </w:rPr>
        <w:t>202</w:t>
      </w:r>
      <w:r>
        <w:rPr>
          <w:rFonts w:hint="eastAsia" w:ascii="宋体" w:hAnsi="宋体" w:cs="宋体"/>
          <w:sz w:val="24"/>
          <w:lang w:bidi="ar"/>
        </w:rPr>
        <w:t>6</w:t>
      </w:r>
      <w:r>
        <w:rPr>
          <w:rFonts w:ascii="宋体" w:hAnsi="宋体" w:cs="宋体"/>
          <w:sz w:val="24"/>
          <w:lang w:bidi="ar"/>
        </w:rPr>
        <w:t>年</w:t>
      </w:r>
      <w:r>
        <w:rPr>
          <w:rFonts w:hint="eastAsia" w:ascii="宋体" w:hAnsi="宋体" w:cs="宋体"/>
          <w:sz w:val="24"/>
          <w:lang w:val="en-US" w:eastAsia="zh-CN" w:bidi="ar"/>
        </w:rPr>
        <w:t>4</w:t>
      </w:r>
      <w:r>
        <w:rPr>
          <w:rFonts w:ascii="宋体" w:hAnsi="宋体" w:cs="宋体"/>
          <w:sz w:val="24"/>
          <w:lang w:bidi="ar"/>
        </w:rPr>
        <w:t>月</w:t>
      </w:r>
      <w:r>
        <w:rPr>
          <w:rFonts w:hint="eastAsia" w:ascii="宋体" w:hAnsi="宋体" w:cs="宋体"/>
          <w:sz w:val="24"/>
          <w:lang w:val="en-US" w:eastAsia="zh-CN" w:bidi="ar"/>
        </w:rPr>
        <w:t>13</w:t>
      </w:r>
      <w:r>
        <w:rPr>
          <w:rFonts w:ascii="宋体" w:hAnsi="宋体" w:cs="宋体"/>
          <w:sz w:val="24"/>
          <w:lang w:bidi="ar"/>
        </w:rPr>
        <w:t>日18时00分</w:t>
      </w:r>
      <w:r>
        <w:rPr>
          <w:rFonts w:hint="eastAsia" w:ascii="宋体" w:hAnsi="宋体" w:cs="宋体"/>
          <w:sz w:val="24"/>
          <w:lang w:bidi="ar"/>
        </w:rPr>
        <w:t>。至响应文件截止时间时，投标供应商不足三家，延期公告</w:t>
      </w:r>
      <w:r>
        <w:rPr>
          <w:rFonts w:hint="eastAsia" w:ascii="宋体" w:hAnsi="宋体" w:cs="宋体"/>
          <w:sz w:val="24"/>
          <w:lang w:eastAsia="zh-CN" w:bidi="ar"/>
        </w:rPr>
        <w:t>顺延至</w:t>
      </w:r>
      <w:r>
        <w:rPr>
          <w:rFonts w:hint="eastAsia" w:ascii="宋体" w:hAnsi="宋体" w:cs="宋体"/>
          <w:sz w:val="24"/>
          <w:lang w:val="en-US" w:eastAsia="zh-CN" w:bidi="ar"/>
        </w:rPr>
        <w:t>4</w:t>
      </w:r>
      <w:r>
        <w:rPr>
          <w:rFonts w:hint="eastAsia" w:ascii="宋体" w:hAnsi="宋体" w:cs="宋体"/>
          <w:sz w:val="24"/>
          <w:lang w:bidi="ar"/>
        </w:rPr>
        <w:t>月</w:t>
      </w:r>
      <w:r>
        <w:rPr>
          <w:rFonts w:hint="eastAsia" w:ascii="宋体" w:hAnsi="宋体" w:cs="宋体"/>
          <w:sz w:val="24"/>
          <w:lang w:val="en-US" w:eastAsia="zh-CN" w:bidi="ar"/>
        </w:rPr>
        <w:t>16</w:t>
      </w:r>
      <w:r>
        <w:rPr>
          <w:rFonts w:hint="eastAsia" w:ascii="宋体" w:hAnsi="宋体" w:cs="宋体"/>
          <w:sz w:val="24"/>
          <w:lang w:bidi="ar"/>
        </w:rPr>
        <w:t>日1</w:t>
      </w:r>
      <w:r>
        <w:rPr>
          <w:rFonts w:hint="eastAsia" w:ascii="宋体" w:hAnsi="宋体" w:cs="宋体"/>
          <w:sz w:val="24"/>
          <w:lang w:val="en-US" w:eastAsia="zh-CN" w:bidi="ar"/>
        </w:rPr>
        <w:t>8</w:t>
      </w:r>
      <w:r>
        <w:rPr>
          <w:rFonts w:hint="eastAsia" w:ascii="宋体" w:hAnsi="宋体" w:cs="宋体"/>
          <w:sz w:val="24"/>
          <w:lang w:bidi="ar"/>
        </w:rPr>
        <w:t>时00分（北京时间）；延期时间截止</w:t>
      </w:r>
      <w:r>
        <w:rPr>
          <w:rFonts w:hint="eastAsia" w:ascii="宋体" w:hAnsi="宋体" w:cs="宋体"/>
          <w:sz w:val="24"/>
          <w:lang w:eastAsia="zh-CN" w:bidi="ar"/>
        </w:rPr>
        <w:t>后</w:t>
      </w:r>
      <w:r>
        <w:rPr>
          <w:rFonts w:hint="eastAsia" w:ascii="宋体" w:hAnsi="宋体" w:cs="宋体"/>
          <w:sz w:val="24"/>
          <w:lang w:bidi="ar"/>
        </w:rPr>
        <w:t>，响应供应商为2家或2家以上的，按照正常采购流程开展</w:t>
      </w:r>
      <w:r>
        <w:rPr>
          <w:rFonts w:hint="eastAsia" w:ascii="宋体" w:hAnsi="宋体" w:cs="宋体"/>
          <w:sz w:val="24"/>
          <w:lang w:eastAsia="zh-CN" w:bidi="ar"/>
        </w:rPr>
        <w:t>；</w:t>
      </w:r>
      <w:r>
        <w:rPr>
          <w:rFonts w:hint="eastAsia" w:ascii="宋体" w:hAnsi="宋体" w:cs="宋体"/>
          <w:sz w:val="24"/>
          <w:lang w:bidi="ar"/>
        </w:rPr>
        <w:t>响应供应商为1家的，由采购人审核供应商投标文件，确定满足采购方案的条件后，组成谈判小组与供应商谈判。</w:t>
      </w:r>
    </w:p>
    <w:p w14:paraId="6D8DE155">
      <w:pPr>
        <w:spacing w:line="360" w:lineRule="auto"/>
        <w:ind w:firstLine="354" w:firstLineChars="147"/>
        <w:rPr>
          <w:rFonts w:hint="eastAsia" w:ascii="黑体" w:hAnsi="黑体" w:eastAsia="黑体"/>
          <w:b/>
          <w:sz w:val="24"/>
        </w:rPr>
      </w:pPr>
      <w:r>
        <w:rPr>
          <w:rFonts w:hint="eastAsia" w:ascii="黑体" w:hAnsi="黑体" w:eastAsia="黑体"/>
          <w:b/>
          <w:sz w:val="24"/>
        </w:rPr>
        <w:t xml:space="preserve">五、评审 </w:t>
      </w:r>
    </w:p>
    <w:p w14:paraId="3CD6C2AD">
      <w:pPr>
        <w:spacing w:line="360" w:lineRule="auto"/>
        <w:ind w:firstLine="480" w:firstLineChars="200"/>
        <w:rPr>
          <w:rFonts w:hint="eastAsia" w:ascii="宋体" w:hAnsi="宋体" w:eastAsia="宋体" w:cs="宋体"/>
          <w:sz w:val="24"/>
          <w:lang w:eastAsia="zh-CN" w:bidi="ar"/>
        </w:rPr>
      </w:pPr>
      <w:r>
        <w:rPr>
          <w:rFonts w:hint="eastAsia" w:ascii="宋体" w:hAnsi="宋体" w:cs="宋体"/>
          <w:sz w:val="24"/>
          <w:lang w:bidi="ar"/>
        </w:rPr>
        <w:t>广西壮族自治区</w:t>
      </w:r>
      <w:r>
        <w:rPr>
          <w:rFonts w:hint="eastAsia" w:ascii="宋体" w:hAnsi="宋体" w:cs="宋体"/>
          <w:sz w:val="24"/>
          <w:lang w:eastAsia="zh-CN" w:bidi="ar"/>
        </w:rPr>
        <w:t>水运发展中心按规定进行评审。</w:t>
      </w:r>
    </w:p>
    <w:p w14:paraId="4EA508E4">
      <w:pPr>
        <w:spacing w:line="360" w:lineRule="auto"/>
        <w:ind w:firstLine="354" w:firstLineChars="147"/>
        <w:rPr>
          <w:rFonts w:hint="eastAsia" w:ascii="黑体" w:hAnsi="黑体" w:eastAsia="黑体"/>
          <w:b/>
          <w:sz w:val="24"/>
        </w:rPr>
      </w:pPr>
      <w:r>
        <w:rPr>
          <w:rFonts w:hint="eastAsia" w:ascii="黑体" w:hAnsi="黑体" w:eastAsia="黑体"/>
          <w:b/>
          <w:sz w:val="24"/>
        </w:rPr>
        <w:t xml:space="preserve">六、其他补充事宜 </w:t>
      </w:r>
    </w:p>
    <w:p w14:paraId="3C2DFCF7">
      <w:pPr>
        <w:spacing w:line="360" w:lineRule="auto"/>
        <w:ind w:firstLine="352" w:firstLineChars="147"/>
        <w:rPr>
          <w:rFonts w:hint="eastAsia" w:ascii="宋体" w:hAnsi="宋体" w:cs="宋体"/>
          <w:sz w:val="24"/>
        </w:rPr>
      </w:pPr>
      <w:r>
        <w:rPr>
          <w:rFonts w:ascii="宋体" w:hAnsi="宋体" w:cs="宋体"/>
          <w:sz w:val="24"/>
        </w:rPr>
        <w:t xml:space="preserve">供应商竞标注意事项 </w:t>
      </w:r>
    </w:p>
    <w:p w14:paraId="439F3847">
      <w:pPr>
        <w:spacing w:line="360" w:lineRule="auto"/>
        <w:ind w:firstLine="480" w:firstLineChars="200"/>
        <w:rPr>
          <w:rFonts w:hint="eastAsia" w:ascii="宋体" w:hAnsi="宋体" w:cs="宋体"/>
          <w:sz w:val="24"/>
        </w:rPr>
      </w:pPr>
      <w:r>
        <w:rPr>
          <w:rFonts w:ascii="宋体" w:hAnsi="宋体" w:cs="宋体"/>
          <w:sz w:val="24"/>
        </w:rPr>
        <w:t xml:space="preserve">（1）投标文件必须密封，否则按废标处理。 </w:t>
      </w:r>
    </w:p>
    <w:p w14:paraId="0C1D2913">
      <w:pPr>
        <w:spacing w:line="360" w:lineRule="auto"/>
        <w:ind w:firstLine="480" w:firstLineChars="200"/>
        <w:rPr>
          <w:rFonts w:hint="eastAsia" w:ascii="宋体" w:hAnsi="宋体" w:cs="宋体"/>
          <w:sz w:val="24"/>
          <w:lang w:bidi="ar"/>
        </w:rPr>
      </w:pPr>
      <w:r>
        <w:rPr>
          <w:rFonts w:ascii="宋体" w:hAnsi="宋体" w:cs="宋体"/>
          <w:sz w:val="24"/>
        </w:rPr>
        <w:t>（2）投标文件必须满足采购文件内的要求，否则按废标、无效处理。</w:t>
      </w:r>
    </w:p>
    <w:p w14:paraId="5610E324">
      <w:pPr>
        <w:spacing w:line="360" w:lineRule="auto"/>
        <w:ind w:firstLine="354" w:firstLineChars="147"/>
        <w:rPr>
          <w:rFonts w:hint="eastAsia" w:ascii="黑体" w:hAnsi="黑体" w:eastAsia="黑体"/>
          <w:b/>
          <w:sz w:val="24"/>
        </w:rPr>
      </w:pPr>
      <w:r>
        <w:rPr>
          <w:rFonts w:hint="eastAsia" w:ascii="黑体" w:hAnsi="黑体" w:eastAsia="黑体"/>
          <w:b/>
          <w:sz w:val="24"/>
        </w:rPr>
        <w:t>七、响应文件开启</w:t>
      </w:r>
    </w:p>
    <w:p w14:paraId="1E49E926">
      <w:pPr>
        <w:spacing w:line="360" w:lineRule="auto"/>
        <w:ind w:firstLine="480" w:firstLineChars="200"/>
        <w:rPr>
          <w:rFonts w:hint="eastAsia" w:ascii="宋体" w:hAnsi="宋体" w:cs="宋体"/>
          <w:sz w:val="24"/>
          <w:lang w:bidi="ar"/>
        </w:rPr>
      </w:pPr>
      <w:r>
        <w:rPr>
          <w:rFonts w:hint="eastAsia" w:ascii="宋体" w:hAnsi="宋体" w:cs="宋体"/>
          <w:sz w:val="24"/>
          <w:lang w:bidi="ar"/>
        </w:rPr>
        <w:t>不邀请供应商参加响应文件开启。</w:t>
      </w:r>
    </w:p>
    <w:p w14:paraId="4FDAC502">
      <w:pPr>
        <w:spacing w:line="360" w:lineRule="auto"/>
        <w:ind w:firstLine="354" w:firstLineChars="147"/>
        <w:rPr>
          <w:rFonts w:hint="eastAsia" w:ascii="黑体" w:hAnsi="黑体" w:eastAsia="黑体"/>
          <w:b/>
          <w:sz w:val="24"/>
        </w:rPr>
      </w:pPr>
      <w:r>
        <w:rPr>
          <w:rFonts w:hint="eastAsia" w:ascii="黑体" w:hAnsi="黑体" w:eastAsia="黑体"/>
          <w:b/>
          <w:sz w:val="24"/>
        </w:rPr>
        <w:t>八、联系</w:t>
      </w:r>
      <w:r>
        <w:rPr>
          <w:rFonts w:ascii="黑体" w:hAnsi="黑体" w:eastAsia="黑体"/>
          <w:b/>
          <w:sz w:val="24"/>
        </w:rPr>
        <w:t>方式</w:t>
      </w:r>
    </w:p>
    <w:p w14:paraId="1BF01C6C">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联系人：</w:t>
      </w:r>
      <w:r>
        <w:rPr>
          <w:rFonts w:hint="eastAsia" w:ascii="宋体" w:hAnsi="宋体" w:cs="宋体"/>
          <w:sz w:val="24"/>
          <w:lang w:eastAsia="zh-CN" w:bidi="ar"/>
        </w:rPr>
        <w:t>宁工</w:t>
      </w:r>
      <w:r>
        <w:rPr>
          <w:rFonts w:hint="eastAsia" w:ascii="宋体" w:hAnsi="宋体" w:cs="宋体"/>
          <w:sz w:val="24"/>
          <w:lang w:val="en-US" w:eastAsia="zh-CN" w:bidi="ar"/>
        </w:rPr>
        <w:t xml:space="preserve"> 黄</w:t>
      </w:r>
      <w:r>
        <w:rPr>
          <w:rFonts w:hint="eastAsia" w:ascii="宋体" w:hAnsi="宋体" w:cs="宋体"/>
          <w:sz w:val="24"/>
          <w:lang w:bidi="ar"/>
        </w:rPr>
        <w:t>工  联系电话：</w:t>
      </w:r>
      <w:r>
        <w:rPr>
          <w:rFonts w:ascii="宋体" w:hAnsi="宋体" w:cs="宋体"/>
          <w:sz w:val="24"/>
          <w:lang w:bidi="ar"/>
        </w:rPr>
        <w:t>0771-21153</w:t>
      </w:r>
      <w:r>
        <w:rPr>
          <w:rFonts w:hint="eastAsia" w:ascii="宋体" w:hAnsi="宋体" w:cs="宋体"/>
          <w:sz w:val="24"/>
          <w:lang w:val="en-US" w:eastAsia="zh-CN" w:bidi="ar"/>
        </w:rPr>
        <w:t>24</w:t>
      </w:r>
      <w:r>
        <w:rPr>
          <w:rFonts w:hint="eastAsia" w:ascii="宋体" w:hAnsi="宋体" w:cs="宋体"/>
          <w:sz w:val="24"/>
          <w:lang w:bidi="ar"/>
        </w:rPr>
        <w:t>。</w:t>
      </w:r>
    </w:p>
    <w:p w14:paraId="6F8CAF67">
      <w:pPr>
        <w:spacing w:line="360" w:lineRule="auto"/>
        <w:ind w:firstLine="354" w:firstLineChars="147"/>
        <w:rPr>
          <w:rFonts w:hint="eastAsia" w:ascii="黑体" w:hAnsi="黑体" w:eastAsia="黑体"/>
          <w:b/>
          <w:sz w:val="24"/>
        </w:rPr>
      </w:pPr>
    </w:p>
    <w:p w14:paraId="63A08DBE">
      <w:pPr>
        <w:widowControl/>
        <w:spacing w:line="360" w:lineRule="auto"/>
        <w:ind w:firstLine="480" w:firstLineChars="200"/>
        <w:jc w:val="left"/>
        <w:rPr>
          <w:rFonts w:hint="eastAsia" w:ascii="宋体" w:hAnsi="宋体" w:eastAsia="宋体" w:cs="宋体"/>
          <w:sz w:val="24"/>
          <w:lang w:eastAsia="zh-CN" w:bidi="ar"/>
        </w:rPr>
      </w:pPr>
      <w:r>
        <w:rPr>
          <w:rFonts w:hint="eastAsia" w:ascii="宋体" w:hAnsi="宋体" w:cs="宋体"/>
          <w:sz w:val="24"/>
          <w:lang w:bidi="ar"/>
        </w:rPr>
        <w:t xml:space="preserve">             采购人：广西壮族自治区</w:t>
      </w:r>
      <w:r>
        <w:rPr>
          <w:rFonts w:hint="eastAsia" w:ascii="宋体" w:hAnsi="宋体" w:cs="宋体"/>
          <w:sz w:val="24"/>
          <w:lang w:eastAsia="zh-CN" w:bidi="ar"/>
        </w:rPr>
        <w:t>水运发展中心</w:t>
      </w:r>
    </w:p>
    <w:p w14:paraId="1043B25E">
      <w:pPr>
        <w:spacing w:line="360" w:lineRule="auto"/>
        <w:ind w:firstLine="480" w:firstLineChars="200"/>
        <w:jc w:val="left"/>
        <w:rPr>
          <w:rFonts w:hint="eastAsia" w:ascii="宋体" w:hAnsi="宋体"/>
          <w:b/>
          <w:bCs/>
          <w:sz w:val="32"/>
          <w:szCs w:val="32"/>
        </w:rPr>
      </w:pPr>
      <w:r>
        <w:rPr>
          <w:rFonts w:hint="eastAsia" w:ascii="宋体" w:hAnsi="宋体" w:cs="宋体"/>
          <w:sz w:val="24"/>
          <w:lang w:bidi="ar"/>
        </w:rPr>
        <w:t xml:space="preserve">                            2026年</w:t>
      </w:r>
      <w:r>
        <w:rPr>
          <w:rFonts w:hint="eastAsia" w:ascii="宋体" w:hAnsi="宋体" w:cs="宋体"/>
          <w:sz w:val="24"/>
          <w:lang w:val="en-US" w:eastAsia="zh-CN" w:bidi="ar"/>
        </w:rPr>
        <w:t>4</w:t>
      </w:r>
      <w:r>
        <w:rPr>
          <w:rFonts w:hint="eastAsia" w:ascii="宋体" w:hAnsi="宋体" w:cs="宋体"/>
          <w:sz w:val="24"/>
          <w:lang w:bidi="ar"/>
        </w:rPr>
        <w:t>月</w:t>
      </w:r>
      <w:r>
        <w:rPr>
          <w:rFonts w:hint="eastAsia" w:ascii="宋体" w:hAnsi="宋体" w:cs="宋体"/>
          <w:sz w:val="24"/>
          <w:lang w:val="en-US" w:eastAsia="zh-CN" w:bidi="ar"/>
        </w:rPr>
        <w:t>8</w:t>
      </w:r>
      <w:r>
        <w:rPr>
          <w:rFonts w:hint="eastAsia" w:ascii="宋体" w:hAnsi="宋体" w:cs="宋体"/>
          <w:sz w:val="24"/>
          <w:lang w:bidi="ar"/>
        </w:rPr>
        <w:t>日</w:t>
      </w:r>
    </w:p>
    <w:p w14:paraId="2C5A40A3">
      <w:pPr>
        <w:pStyle w:val="6"/>
        <w:spacing w:before="0" w:after="0" w:line="460" w:lineRule="exact"/>
        <w:jc w:val="center"/>
        <w:rPr>
          <w:sz w:val="28"/>
          <w:szCs w:val="28"/>
        </w:rPr>
      </w:pPr>
      <w:r>
        <w:rPr>
          <w:rFonts w:hint="eastAsia"/>
        </w:rPr>
        <w:br w:type="page"/>
      </w:r>
      <w:bookmarkStart w:id="16" w:name="_Toc31261"/>
      <w:bookmarkStart w:id="17" w:name="_Toc16740"/>
      <w:r>
        <w:rPr>
          <w:rFonts w:hint="eastAsia"/>
          <w:sz w:val="28"/>
          <w:szCs w:val="28"/>
        </w:rPr>
        <w:t>第二章 供应商须知</w:t>
      </w:r>
      <w:bookmarkEnd w:id="16"/>
      <w:bookmarkEnd w:id="17"/>
    </w:p>
    <w:p w14:paraId="0BAE0E87">
      <w:pPr>
        <w:spacing w:line="400" w:lineRule="exact"/>
        <w:jc w:val="center"/>
        <w:rPr>
          <w:rFonts w:hint="eastAsia" w:ascii="宋体" w:hAnsi="宋体"/>
          <w:b/>
          <w:sz w:val="32"/>
          <w:szCs w:val="32"/>
        </w:rPr>
      </w:pPr>
    </w:p>
    <w:p w14:paraId="59ECBDE9">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一、本次采购采用总价包干，竞标报价包含但不限于从前期踏勘、资料收集、水上水下施工许可证办理费用、现场管理费、会议、专家咨询费、调研差旅费、管理费、文印费、设备耗材费、税费及合同包含的所有风险、责任及措施等费用，包含为完成</w:t>
      </w:r>
      <w:r>
        <w:rPr>
          <w:rFonts w:hint="eastAsia" w:ascii="宋体" w:hAnsi="宋体" w:cs="宋体"/>
          <w:sz w:val="24"/>
          <w:lang w:eastAsia="zh-CN" w:bidi="ar"/>
        </w:rPr>
        <w:t>新增内河航道</w:t>
      </w:r>
      <w:r>
        <w:rPr>
          <w:rFonts w:hint="eastAsia" w:ascii="宋体" w:hAnsi="宋体" w:cs="宋体"/>
          <w:sz w:val="24"/>
          <w:lang w:bidi="ar"/>
        </w:rPr>
        <w:t>普查工作的全部工作以及可能发生的各种费用。本项目合同总价在合同执行过程中是固定的，不因情况变化而调整。</w:t>
      </w:r>
    </w:p>
    <w:p w14:paraId="57110043">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二、竞标报价为一次报价，此次报价即最终报价，不再就价格问题另行协商。</w:t>
      </w:r>
    </w:p>
    <w:p w14:paraId="70C5F7AB">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三、竞标报价不能超过采购公告规定的最高限价，超过最高限价作竞标无效处理。</w:t>
      </w:r>
    </w:p>
    <w:p w14:paraId="7AE3AA9E">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四、报价应为含税价格，并且能够提供增值税发票。</w:t>
      </w:r>
    </w:p>
    <w:p w14:paraId="2E67EF84">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五、供应商如需现场考察，可自行前往，费用自理。</w:t>
      </w:r>
    </w:p>
    <w:p w14:paraId="757864EE">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六、供应商应针对本项目的特殊性和项目所在地的地理、人文、环境进行综合的评估，谨慎报价，合理安排各项工作。</w:t>
      </w:r>
    </w:p>
    <w:p w14:paraId="4AD04F41">
      <w:pPr>
        <w:spacing w:line="360" w:lineRule="auto"/>
        <w:ind w:firstLine="480" w:firstLineChars="200"/>
        <w:rPr>
          <w:rFonts w:hint="eastAsia" w:ascii="宋体" w:hAnsi="宋体" w:cs="宋体"/>
          <w:sz w:val="24"/>
          <w:lang w:bidi="ar"/>
        </w:rPr>
      </w:pPr>
      <w:r>
        <w:rPr>
          <w:rFonts w:hint="eastAsia" w:ascii="宋体" w:hAnsi="宋体" w:cs="宋体"/>
          <w:sz w:val="24"/>
          <w:lang w:bidi="ar"/>
        </w:rPr>
        <w:t>七、响应文件应于采购公告规定的响应文件提交截止时间前提交，密封邮寄或亲自提交到广西壮族自治区</w:t>
      </w:r>
      <w:r>
        <w:rPr>
          <w:rFonts w:hint="eastAsia" w:ascii="宋体" w:hAnsi="宋体" w:cs="宋体"/>
          <w:sz w:val="24"/>
          <w:lang w:eastAsia="zh-CN" w:bidi="ar"/>
        </w:rPr>
        <w:t>水运发展中心</w:t>
      </w:r>
      <w:r>
        <w:rPr>
          <w:rFonts w:hint="eastAsia" w:ascii="宋体" w:hAnsi="宋体" w:cs="宋体"/>
          <w:sz w:val="24"/>
          <w:lang w:bidi="ar"/>
        </w:rPr>
        <w:t>（广西壮族自治区南宁市百花岭6号翠竹小区综合信息楼三楼），逾期送达的，采购人将予以拒绝。</w:t>
      </w:r>
    </w:p>
    <w:p w14:paraId="03073479">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八、响应文件应按第五章响应文件格式要求编制。响应文件正本一份、副本两份。</w:t>
      </w:r>
    </w:p>
    <w:p w14:paraId="3EAD71F3">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九、本项目不允许分包。</w:t>
      </w:r>
    </w:p>
    <w:p w14:paraId="06E3B5E7">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十、竞标有效期为60日历天。</w:t>
      </w:r>
    </w:p>
    <w:p w14:paraId="18A222A0">
      <w:pPr>
        <w:pStyle w:val="17"/>
        <w:spacing w:line="360" w:lineRule="auto"/>
        <w:ind w:firstLine="643" w:firstLineChars="200"/>
        <w:textAlignment w:val="center"/>
        <w:rPr>
          <w:rFonts w:hint="eastAsia" w:hAnsi="宋体" w:cs="宋体"/>
          <w:kern w:val="2"/>
          <w:sz w:val="21"/>
        </w:rPr>
      </w:pPr>
      <w:r>
        <w:rPr>
          <w:rFonts w:hAnsi="宋体"/>
          <w:b/>
          <w:sz w:val="32"/>
          <w:szCs w:val="32"/>
        </w:rPr>
        <w:br w:type="page"/>
      </w:r>
    </w:p>
    <w:p w14:paraId="6109D055">
      <w:pPr>
        <w:pStyle w:val="6"/>
        <w:spacing w:before="0" w:after="0" w:line="360" w:lineRule="auto"/>
        <w:jc w:val="center"/>
        <w:rPr>
          <w:sz w:val="28"/>
          <w:szCs w:val="28"/>
        </w:rPr>
      </w:pPr>
      <w:bookmarkStart w:id="18" w:name="_Toc2534"/>
      <w:bookmarkStart w:id="19" w:name="_Toc31960"/>
      <w:r>
        <w:rPr>
          <w:rFonts w:hint="eastAsia"/>
          <w:sz w:val="28"/>
          <w:szCs w:val="28"/>
        </w:rPr>
        <w:t>第三章 采购需求</w:t>
      </w:r>
      <w:bookmarkEnd w:id="18"/>
      <w:bookmarkEnd w:id="19"/>
    </w:p>
    <w:p w14:paraId="303EECFA">
      <w:pPr>
        <w:widowControl/>
        <w:spacing w:line="360" w:lineRule="auto"/>
        <w:ind w:firstLine="482" w:firstLineChars="200"/>
        <w:rPr>
          <w:rFonts w:hint="eastAsia" w:ascii="宋体" w:hAnsi="宋体" w:cs="宋体"/>
          <w:b/>
          <w:bCs/>
          <w:sz w:val="24"/>
          <w:lang w:bidi="ar"/>
        </w:rPr>
      </w:pPr>
      <w:r>
        <w:rPr>
          <w:rFonts w:hint="eastAsia" w:ascii="宋体" w:hAnsi="宋体" w:cs="宋体"/>
          <w:b/>
          <w:bCs/>
          <w:sz w:val="24"/>
          <w:lang w:bidi="ar"/>
        </w:rPr>
        <w:t>一、项目概况</w:t>
      </w:r>
    </w:p>
    <w:p w14:paraId="29246D7C">
      <w:pPr>
        <w:widowControl/>
        <w:spacing w:line="360" w:lineRule="auto"/>
        <w:ind w:firstLine="480" w:firstLineChars="200"/>
        <w:rPr>
          <w:rFonts w:hint="eastAsia" w:ascii="宋体" w:hAnsi="宋体" w:cs="宋体"/>
          <w:sz w:val="24"/>
        </w:rPr>
      </w:pPr>
      <w:r>
        <w:rPr>
          <w:rFonts w:hint="eastAsia" w:ascii="宋体" w:hAnsi="宋体" w:cs="宋体"/>
          <w:sz w:val="24"/>
        </w:rPr>
        <w:t>根据《广西壮族自治区内河航道与港口布局规划》（桂政发（2024）12号），广西区内新增航道里程约</w:t>
      </w:r>
      <w:r>
        <w:rPr>
          <w:rFonts w:hint="eastAsia" w:ascii="宋体" w:hAnsi="宋体" w:cs="宋体"/>
          <w:sz w:val="24"/>
          <w:lang w:eastAsia="zh-CN"/>
        </w:rPr>
        <w:t>有470km</w:t>
      </w:r>
      <w:r>
        <w:rPr>
          <w:rFonts w:hint="eastAsia" w:ascii="宋体" w:hAnsi="宋体" w:cs="宋体"/>
          <w:sz w:val="24"/>
        </w:rPr>
        <w:t>，日前缺乏相应地形地貌资料，航道基本状况、航道设施、通航环境等方面内容不详，为提高航道管理与决策水平，掌握新增航道现状，需开展新增航道里程普查工作，收集相应地形地貌资料、航道基本状况、航道设施、通航环境等方面内容</w:t>
      </w:r>
      <w:r>
        <w:rPr>
          <w:rFonts w:hint="eastAsia" w:ascii="宋体" w:hAnsi="宋体" w:cs="宋体"/>
          <w:sz w:val="24"/>
          <w:lang w:eastAsia="zh-CN"/>
        </w:rPr>
        <w:t>。</w:t>
      </w:r>
      <w:r>
        <w:rPr>
          <w:rFonts w:hint="eastAsia" w:ascii="宋体" w:hAnsi="宋体" w:cs="宋体"/>
          <w:sz w:val="24"/>
        </w:rPr>
        <w:t>主要内容包括：开展</w:t>
      </w:r>
      <w:r>
        <w:rPr>
          <w:rFonts w:hint="eastAsia" w:ascii="宋体" w:hAnsi="宋体" w:cs="宋体"/>
          <w:sz w:val="24"/>
          <w:lang w:eastAsia="zh-CN"/>
        </w:rPr>
        <w:t>新增内河航道</w:t>
      </w:r>
      <w:r>
        <w:rPr>
          <w:rFonts w:hint="eastAsia" w:ascii="宋体" w:hAnsi="宋体" w:cs="宋体"/>
          <w:sz w:val="24"/>
        </w:rPr>
        <w:t>必要的地形、地质和水文等资料收集工作，调查航道基本状况、航道设施、通航环境等相关内容，编制内河新增航道普查工作成果报告。</w:t>
      </w:r>
    </w:p>
    <w:p w14:paraId="3534252F">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采购预算金额：98万元。</w:t>
      </w:r>
    </w:p>
    <w:p w14:paraId="25A73BBE">
      <w:pPr>
        <w:widowControl/>
        <w:spacing w:line="360" w:lineRule="auto"/>
        <w:ind w:firstLine="482" w:firstLineChars="200"/>
        <w:rPr>
          <w:rFonts w:hint="eastAsia" w:ascii="宋体" w:hAnsi="宋体" w:cs="宋体"/>
          <w:b/>
          <w:bCs/>
          <w:sz w:val="24"/>
          <w:lang w:bidi="ar"/>
        </w:rPr>
      </w:pPr>
      <w:r>
        <w:rPr>
          <w:rFonts w:hint="eastAsia" w:ascii="宋体" w:hAnsi="宋体" w:cs="宋体"/>
          <w:b/>
          <w:bCs/>
          <w:sz w:val="24"/>
          <w:lang w:bidi="ar"/>
        </w:rPr>
        <w:t>二、采购项目服务内容</w:t>
      </w:r>
    </w:p>
    <w:p w14:paraId="22BDDFC2">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（一）采购项目服务的主要任务</w:t>
      </w:r>
    </w:p>
    <w:p w14:paraId="52C42C16">
      <w:pPr>
        <w:widowControl/>
        <w:spacing w:line="360" w:lineRule="auto"/>
        <w:ind w:firstLine="480" w:firstLineChars="200"/>
        <w:rPr>
          <w:rFonts w:hint="eastAsia" w:ascii="宋体" w:hAnsi="宋体"/>
          <w:b/>
          <w:bCs/>
          <w:sz w:val="24"/>
        </w:rPr>
      </w:pPr>
      <w:r>
        <w:rPr>
          <w:rFonts w:hint="eastAsia" w:ascii="宋体" w:hAnsi="宋体"/>
          <w:sz w:val="24"/>
        </w:rPr>
        <w:t>对《广西壮族自治区内河航道与港口布局规划》（桂政发（2024）12号），广西区内新增加的约440km里程航道以及80.6公里中越界河航道进行普查</w:t>
      </w:r>
      <w:r>
        <w:rPr>
          <w:rFonts w:hint="eastAsia" w:ascii="宋体" w:hAnsi="宋体" w:cs="宋体"/>
          <w:sz w:val="24"/>
        </w:rPr>
        <w:t>，收集相应地形地貌资料、航道基本状况、航道设施、通航环境等方面内容，编制</w:t>
      </w:r>
      <w:bookmarkStart w:id="20" w:name="OLE_LINK23"/>
      <w:r>
        <w:rPr>
          <w:rFonts w:hint="eastAsia" w:ascii="宋体" w:hAnsi="宋体" w:cs="宋体"/>
          <w:sz w:val="24"/>
          <w:lang w:eastAsia="zh-CN"/>
        </w:rPr>
        <w:t>新增航道</w:t>
      </w:r>
      <w:r>
        <w:rPr>
          <w:rFonts w:hint="eastAsia" w:ascii="宋体" w:hAnsi="宋体" w:cs="宋体"/>
          <w:sz w:val="24"/>
        </w:rPr>
        <w:t>普查工作成果报告</w:t>
      </w:r>
      <w:bookmarkEnd w:id="20"/>
      <w:r>
        <w:rPr>
          <w:rFonts w:hint="eastAsia" w:ascii="宋体" w:hAnsi="宋体"/>
          <w:sz w:val="24"/>
        </w:rPr>
        <w:t>。</w:t>
      </w:r>
    </w:p>
    <w:p w14:paraId="2B702944">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（二）采购项目服务的主要工作内容</w:t>
      </w:r>
    </w:p>
    <w:p w14:paraId="38AEB0D4">
      <w:pPr>
        <w:widowControl/>
        <w:spacing w:line="360" w:lineRule="auto"/>
        <w:ind w:firstLine="480" w:firstLineChars="200"/>
        <w:rPr>
          <w:rFonts w:hint="eastAsia" w:ascii="宋体" w:hAnsi="宋体" w:cs="宋体"/>
          <w:b/>
          <w:sz w:val="24"/>
          <w:lang w:bidi="ar"/>
        </w:rPr>
      </w:pPr>
      <w:r>
        <w:rPr>
          <w:rFonts w:hint="eastAsia" w:ascii="宋体" w:hAnsi="宋体" w:cs="宋体"/>
          <w:sz w:val="24"/>
        </w:rPr>
        <w:t>开展</w:t>
      </w:r>
      <w:r>
        <w:rPr>
          <w:rFonts w:hint="eastAsia" w:ascii="宋体" w:hAnsi="宋体" w:cs="宋体"/>
          <w:sz w:val="24"/>
          <w:lang w:eastAsia="zh-CN"/>
        </w:rPr>
        <w:t>新增内河航道</w:t>
      </w:r>
      <w:r>
        <w:rPr>
          <w:rFonts w:hint="eastAsia" w:ascii="宋体" w:hAnsi="宋体" w:cs="宋体"/>
          <w:sz w:val="24"/>
        </w:rPr>
        <w:t>必要的地形、地质和水文等资料收集工作，调查航道基本状况、航道设施、通航环境等相关内容</w:t>
      </w:r>
      <w:r>
        <w:rPr>
          <w:rFonts w:hint="eastAsia"/>
          <w:sz w:val="24"/>
        </w:rPr>
        <w:t>。</w:t>
      </w:r>
    </w:p>
    <w:p w14:paraId="1E76F7C2">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（三）采购项目服务的基本目标</w:t>
      </w:r>
    </w:p>
    <w:p w14:paraId="6AA148FE">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1.质量目标：确保</w:t>
      </w:r>
      <w:r>
        <w:rPr>
          <w:rFonts w:hint="eastAsia" w:ascii="宋体" w:hAnsi="宋体" w:cs="宋体"/>
          <w:sz w:val="24"/>
          <w:lang w:eastAsia="zh-CN" w:bidi="ar"/>
        </w:rPr>
        <w:t>新增内河航道</w:t>
      </w:r>
      <w:r>
        <w:rPr>
          <w:rFonts w:hint="eastAsia" w:ascii="宋体" w:hAnsi="宋体" w:cs="宋体"/>
          <w:sz w:val="24"/>
          <w:lang w:bidi="ar"/>
        </w:rPr>
        <w:t>普查工作质量满足合同要求。</w:t>
      </w:r>
    </w:p>
    <w:p w14:paraId="736D2156">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2.进度目标：按照采购人的工期要求，按时完成</w:t>
      </w:r>
      <w:r>
        <w:rPr>
          <w:rFonts w:hint="eastAsia" w:ascii="宋体" w:hAnsi="宋体" w:cs="宋体"/>
          <w:sz w:val="24"/>
          <w:lang w:eastAsia="zh-CN" w:bidi="ar"/>
        </w:rPr>
        <w:t>新增内河航道</w:t>
      </w:r>
      <w:r>
        <w:rPr>
          <w:rFonts w:hint="eastAsia" w:ascii="宋体" w:hAnsi="宋体" w:cs="宋体"/>
          <w:sz w:val="24"/>
          <w:lang w:bidi="ar"/>
        </w:rPr>
        <w:t>普查工作，交付</w:t>
      </w:r>
      <w:bookmarkStart w:id="21" w:name="OLE_LINK25"/>
      <w:r>
        <w:rPr>
          <w:rFonts w:hint="eastAsia" w:ascii="宋体" w:hAnsi="宋体" w:cs="宋体"/>
          <w:sz w:val="24"/>
          <w:lang w:eastAsia="zh-CN"/>
        </w:rPr>
        <w:t>新增内河航道</w:t>
      </w:r>
      <w:r>
        <w:rPr>
          <w:rFonts w:hint="eastAsia" w:ascii="宋体" w:hAnsi="宋体" w:cs="宋体"/>
          <w:sz w:val="24"/>
        </w:rPr>
        <w:t>普查工作成果报告</w:t>
      </w:r>
      <w:bookmarkEnd w:id="21"/>
      <w:r>
        <w:rPr>
          <w:rFonts w:hint="eastAsia" w:ascii="宋体" w:hAnsi="宋体" w:cs="宋体"/>
          <w:sz w:val="24"/>
          <w:lang w:bidi="ar"/>
        </w:rPr>
        <w:t>。</w:t>
      </w:r>
    </w:p>
    <w:p w14:paraId="7FAD1B9B">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3.安全目标：无重大安全责任事故。</w:t>
      </w:r>
    </w:p>
    <w:p w14:paraId="234D0736">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（四）采购项目的工作程序及流程</w:t>
      </w:r>
    </w:p>
    <w:p w14:paraId="26C0794A">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采用现场踏勘、开展必要的地形测量和地质勘察及水文资料、航道基本状况、航道设施、通航环境等收集工作，编制</w:t>
      </w:r>
      <w:r>
        <w:rPr>
          <w:rFonts w:hint="eastAsia" w:ascii="宋体" w:hAnsi="宋体" w:cs="宋体"/>
          <w:sz w:val="24"/>
          <w:lang w:eastAsia="zh-CN"/>
        </w:rPr>
        <w:t>新增内河航道</w:t>
      </w:r>
      <w:r>
        <w:rPr>
          <w:rFonts w:hint="eastAsia" w:ascii="宋体" w:hAnsi="宋体" w:cs="宋体"/>
          <w:sz w:val="24"/>
        </w:rPr>
        <w:t>普查工作成果报告</w:t>
      </w:r>
      <w:r>
        <w:rPr>
          <w:rFonts w:hint="eastAsia" w:ascii="宋体" w:hAnsi="宋体" w:cs="宋体"/>
          <w:sz w:val="24"/>
          <w:lang w:bidi="ar"/>
        </w:rPr>
        <w:t xml:space="preserve">，通过验收。 </w:t>
      </w:r>
    </w:p>
    <w:p w14:paraId="678079FD">
      <w:pPr>
        <w:widowControl/>
        <w:spacing w:line="360" w:lineRule="auto"/>
        <w:ind w:firstLine="482" w:firstLineChars="200"/>
        <w:rPr>
          <w:rFonts w:hint="eastAsia" w:ascii="宋体" w:hAnsi="宋体" w:cs="宋体"/>
          <w:b/>
          <w:bCs/>
          <w:sz w:val="24"/>
          <w:lang w:bidi="ar"/>
        </w:rPr>
      </w:pPr>
      <w:r>
        <w:rPr>
          <w:rFonts w:hint="eastAsia" w:ascii="宋体" w:hAnsi="宋体" w:cs="宋体"/>
          <w:b/>
          <w:bCs/>
          <w:sz w:val="24"/>
          <w:lang w:bidi="ar"/>
        </w:rPr>
        <w:t>三、技术要求</w:t>
      </w:r>
    </w:p>
    <w:p w14:paraId="2533ECDA">
      <w:pPr>
        <w:widowControl/>
        <w:spacing w:line="360" w:lineRule="auto"/>
        <w:ind w:firstLine="482" w:firstLineChars="200"/>
        <w:rPr>
          <w:rFonts w:hint="eastAsia" w:ascii="宋体" w:hAnsi="宋体" w:cs="宋体"/>
          <w:b/>
          <w:bCs/>
          <w:sz w:val="24"/>
          <w:lang w:bidi="ar"/>
        </w:rPr>
      </w:pPr>
      <w:r>
        <w:rPr>
          <w:rFonts w:hint="eastAsia" w:ascii="宋体" w:hAnsi="宋体" w:cs="宋体"/>
          <w:b/>
          <w:bCs/>
          <w:sz w:val="24"/>
          <w:lang w:bidi="ar"/>
        </w:rPr>
        <w:t>（一）技术标准</w:t>
      </w:r>
    </w:p>
    <w:p w14:paraId="792251EF">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符合交通运输部现行相关规定。</w:t>
      </w:r>
    </w:p>
    <w:p w14:paraId="7D8901A5">
      <w:pPr>
        <w:widowControl/>
        <w:spacing w:line="360" w:lineRule="auto"/>
        <w:ind w:firstLine="482" w:firstLineChars="200"/>
        <w:rPr>
          <w:rFonts w:hint="eastAsia" w:ascii="宋体" w:hAnsi="宋体" w:cs="宋体"/>
          <w:b/>
          <w:bCs/>
          <w:sz w:val="24"/>
          <w:lang w:bidi="ar"/>
        </w:rPr>
      </w:pPr>
      <w:r>
        <w:rPr>
          <w:rFonts w:hint="eastAsia" w:ascii="宋体" w:hAnsi="宋体" w:cs="宋体"/>
          <w:b/>
          <w:bCs/>
          <w:sz w:val="24"/>
          <w:lang w:bidi="ar"/>
        </w:rPr>
        <w:t>（二）质量要求</w:t>
      </w:r>
    </w:p>
    <w:p w14:paraId="490DD214">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工作程序、工作成果符合交通运输部现行相关规定。</w:t>
      </w:r>
    </w:p>
    <w:p w14:paraId="571B4AFD">
      <w:pPr>
        <w:widowControl/>
        <w:spacing w:line="360" w:lineRule="auto"/>
        <w:ind w:firstLine="482" w:firstLineChars="200"/>
        <w:rPr>
          <w:rFonts w:hint="eastAsia" w:ascii="宋体" w:hAnsi="宋体" w:cs="宋体"/>
          <w:b/>
          <w:bCs/>
          <w:sz w:val="24"/>
          <w:lang w:bidi="ar"/>
        </w:rPr>
      </w:pPr>
      <w:r>
        <w:rPr>
          <w:rFonts w:hint="eastAsia" w:ascii="宋体" w:hAnsi="宋体" w:cs="宋体"/>
          <w:b/>
          <w:bCs/>
          <w:sz w:val="24"/>
          <w:lang w:bidi="ar"/>
        </w:rPr>
        <w:t>四、商务要求</w:t>
      </w:r>
    </w:p>
    <w:p w14:paraId="765C0D58">
      <w:pPr>
        <w:widowControl/>
        <w:spacing w:line="360" w:lineRule="auto"/>
        <w:ind w:firstLine="482" w:firstLineChars="200"/>
        <w:rPr>
          <w:rFonts w:hint="eastAsia" w:ascii="宋体" w:hAnsi="宋体" w:cs="宋体"/>
          <w:b/>
          <w:bCs/>
          <w:sz w:val="24"/>
          <w:lang w:bidi="ar"/>
        </w:rPr>
      </w:pPr>
      <w:r>
        <w:rPr>
          <w:rFonts w:hint="eastAsia" w:ascii="宋体" w:hAnsi="宋体" w:cs="宋体"/>
          <w:b/>
          <w:bCs/>
          <w:sz w:val="24"/>
          <w:lang w:bidi="ar"/>
        </w:rPr>
        <w:t>（一）报价要求</w:t>
      </w:r>
    </w:p>
    <w:p w14:paraId="1758BFD6">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1.竞标报价为完成采购人指定服务全部内容的报价，必须包含：履行合同的最终价格，包括了供应商完成本项目所需的一切工作内容而发生的所有直接费用、间接费用、其他费用、税金等全部费用和供应商要求获得的利润以及应由供应商承担的义务、责任和风险所发生的一切费用。</w:t>
      </w:r>
    </w:p>
    <w:p w14:paraId="375B6304">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2.本次采购采用总价包干，竞标报价包含但不限于从前期踏勘、资料收集、水上水下施工许可证办理费用、现场管理费、会议、专家咨询费、调研差旅费、管理费、文印费、设备耗材费、税费及合同包含的所有风险、责任及措施等费用，包含为完成</w:t>
      </w:r>
      <w:r>
        <w:rPr>
          <w:rFonts w:hint="eastAsia" w:ascii="宋体" w:hAnsi="宋体" w:cs="宋体"/>
          <w:sz w:val="24"/>
          <w:lang w:eastAsia="zh-CN" w:bidi="ar"/>
        </w:rPr>
        <w:t>新增内河航道</w:t>
      </w:r>
      <w:r>
        <w:rPr>
          <w:rFonts w:hint="eastAsia" w:ascii="宋体" w:hAnsi="宋体" w:cs="宋体"/>
          <w:sz w:val="24"/>
          <w:lang w:bidi="ar"/>
        </w:rPr>
        <w:t>普查工作的全部工作以及可能发生的各种费用。本项目合同总价在合同执行过程中固定不变，不因各种情况变化而调整。</w:t>
      </w:r>
    </w:p>
    <w:p w14:paraId="00658114">
      <w:pPr>
        <w:widowControl/>
        <w:spacing w:line="360" w:lineRule="auto"/>
        <w:ind w:firstLine="482" w:firstLineChars="200"/>
        <w:rPr>
          <w:rFonts w:hint="eastAsia" w:ascii="宋体" w:hAnsi="宋体" w:cs="宋体"/>
          <w:b/>
          <w:bCs/>
          <w:sz w:val="24"/>
          <w:lang w:bidi="ar"/>
        </w:rPr>
      </w:pPr>
      <w:r>
        <w:rPr>
          <w:rFonts w:hint="eastAsia" w:ascii="宋体" w:hAnsi="宋体" w:cs="宋体"/>
          <w:b/>
          <w:bCs/>
          <w:sz w:val="24"/>
          <w:lang w:bidi="ar"/>
        </w:rPr>
        <w:t>（二）进度要求</w:t>
      </w:r>
    </w:p>
    <w:p w14:paraId="0CB893AC">
      <w:pPr>
        <w:widowControl/>
        <w:spacing w:line="360" w:lineRule="auto"/>
        <w:ind w:firstLine="480" w:firstLineChars="200"/>
        <w:rPr>
          <w:rFonts w:hint="eastAsia" w:ascii="宋体" w:hAnsi="宋体" w:cs="宋体"/>
          <w:bCs/>
          <w:sz w:val="24"/>
        </w:rPr>
      </w:pPr>
      <w:r>
        <w:rPr>
          <w:rFonts w:hint="eastAsia" w:ascii="宋体" w:hAnsi="宋体" w:cs="宋体"/>
          <w:bCs/>
          <w:sz w:val="24"/>
        </w:rPr>
        <w:t>服务总工期：</w:t>
      </w:r>
      <w:r>
        <w:rPr>
          <w:rFonts w:hint="eastAsia" w:ascii="宋体" w:hAnsi="宋体" w:cs="宋体"/>
          <w:b/>
          <w:bCs/>
          <w:snapToGrid w:val="0"/>
          <w:kern w:val="0"/>
          <w:sz w:val="24"/>
        </w:rPr>
        <w:t>合同签订后180日历天</w:t>
      </w:r>
      <w:r>
        <w:rPr>
          <w:rFonts w:hint="eastAsia" w:ascii="宋体" w:hAnsi="宋体" w:cs="宋体"/>
          <w:sz w:val="24"/>
          <w:lang w:bidi="ar"/>
        </w:rPr>
        <w:t>。</w:t>
      </w:r>
    </w:p>
    <w:p w14:paraId="0D8C060B">
      <w:pPr>
        <w:widowControl/>
        <w:spacing w:line="360" w:lineRule="auto"/>
        <w:ind w:firstLine="482" w:firstLineChars="200"/>
        <w:rPr>
          <w:rFonts w:hint="eastAsia" w:ascii="宋体" w:hAnsi="宋体" w:cs="宋体"/>
          <w:b/>
          <w:bCs/>
          <w:sz w:val="24"/>
          <w:lang w:bidi="ar"/>
        </w:rPr>
      </w:pPr>
      <w:r>
        <w:rPr>
          <w:rFonts w:hint="eastAsia" w:ascii="宋体" w:hAnsi="宋体" w:cs="宋体"/>
          <w:b/>
          <w:bCs/>
          <w:sz w:val="24"/>
          <w:lang w:bidi="ar"/>
        </w:rPr>
        <w:t>（四）验收方式</w:t>
      </w:r>
    </w:p>
    <w:p w14:paraId="0A0A369D">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采购人自行组织验收。</w:t>
      </w:r>
    </w:p>
    <w:p w14:paraId="64AC3860">
      <w:pPr>
        <w:widowControl/>
        <w:spacing w:line="360" w:lineRule="auto"/>
        <w:ind w:firstLine="482" w:firstLineChars="200"/>
        <w:rPr>
          <w:rFonts w:hint="eastAsia" w:ascii="宋体" w:hAnsi="宋体" w:cs="宋体"/>
          <w:b/>
          <w:bCs/>
          <w:sz w:val="24"/>
          <w:lang w:bidi="ar"/>
        </w:rPr>
      </w:pPr>
      <w:r>
        <w:rPr>
          <w:rFonts w:hint="eastAsia" w:ascii="宋体" w:hAnsi="宋体" w:cs="宋体"/>
          <w:b/>
          <w:bCs/>
          <w:sz w:val="24"/>
          <w:lang w:bidi="ar"/>
        </w:rPr>
        <w:t>（五）付款方式</w:t>
      </w:r>
    </w:p>
    <w:p w14:paraId="15B23084">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1.本次合同价格采用总价包干，包含但不限于前期踏勘、资料收集、水上水下施工许可证办理费用、现场管理费、会议、专家咨询费、调研差旅费、管理费、文印费、设备耗材费、税费及合同包含的所有风险、责任及措施等费用，包含为完成</w:t>
      </w:r>
      <w:r>
        <w:rPr>
          <w:rFonts w:hint="eastAsia" w:ascii="宋体" w:hAnsi="宋体" w:cs="宋体"/>
          <w:sz w:val="24"/>
          <w:lang w:eastAsia="zh-CN" w:bidi="ar"/>
        </w:rPr>
        <w:t>新增内河航道</w:t>
      </w:r>
      <w:r>
        <w:rPr>
          <w:rFonts w:hint="eastAsia" w:ascii="宋体" w:hAnsi="宋体" w:cs="宋体"/>
          <w:sz w:val="24"/>
          <w:lang w:bidi="ar"/>
        </w:rPr>
        <w:t>普查工作的全部工作以及可能发生的各种费用,</w:t>
      </w:r>
      <w:r>
        <w:rPr>
          <w:rFonts w:hint="eastAsia" w:ascii="宋体" w:hAnsi="宋体" w:cs="宋体"/>
          <w:sz w:val="24"/>
          <w:lang w:eastAsia="zh-CN" w:bidi="ar"/>
        </w:rPr>
        <w:t>合同执行过程中合同价格</w:t>
      </w:r>
      <w:r>
        <w:rPr>
          <w:rFonts w:hint="eastAsia" w:ascii="宋体" w:hAnsi="宋体" w:cs="宋体"/>
          <w:sz w:val="24"/>
          <w:lang w:bidi="ar"/>
        </w:rPr>
        <w:t>不作任何调整。</w:t>
      </w:r>
    </w:p>
    <w:p w14:paraId="55553B15">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2.分期支付</w:t>
      </w:r>
    </w:p>
    <w:p w14:paraId="3FD47846">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（1）第一期支付</w:t>
      </w:r>
    </w:p>
    <w:p w14:paraId="1E5C272F">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合同签署后，由供应商提交支付申请（提供等额的增值税发票），采购人收到支付材料后14日历天内，向供应商支付合同金额的50%。</w:t>
      </w:r>
    </w:p>
    <w:p w14:paraId="1A2484D0">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（2）第二期支付</w:t>
      </w:r>
    </w:p>
    <w:p w14:paraId="456CDA0A">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在所有合同工作完成后，经验收合格，供应商提交支付申请（提供等额的增值税发票），采购人收到支付材料后14日历天内，向供应商支付合同剩余款项。</w:t>
      </w:r>
    </w:p>
    <w:p w14:paraId="67CB7AC8">
      <w:pPr>
        <w:widowControl/>
        <w:spacing w:line="360" w:lineRule="auto"/>
        <w:ind w:firstLine="482" w:firstLineChars="200"/>
        <w:rPr>
          <w:rFonts w:hint="eastAsia" w:ascii="宋体" w:hAnsi="宋体" w:cs="宋体"/>
          <w:b/>
          <w:bCs/>
          <w:sz w:val="24"/>
          <w:lang w:bidi="ar"/>
        </w:rPr>
      </w:pPr>
      <w:r>
        <w:rPr>
          <w:rFonts w:hint="eastAsia" w:ascii="宋体" w:hAnsi="宋体" w:cs="宋体"/>
          <w:b/>
          <w:bCs/>
          <w:sz w:val="24"/>
          <w:lang w:bidi="ar"/>
        </w:rPr>
        <w:t>（六）其他要求</w:t>
      </w:r>
    </w:p>
    <w:p w14:paraId="151F4624">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1.供应商应根据有关法律法规和国家现行有关技术标准、规范和规程要求，以及主管部门要求，完成合同工作。</w:t>
      </w:r>
    </w:p>
    <w:p w14:paraId="73A3F6EE">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2.供应商承担本项目必要的基础数据资料收集，完成整个项目的服务工作，并保证资料数据准确，满足服务要求，且费用由供应商承担。</w:t>
      </w:r>
    </w:p>
    <w:p w14:paraId="65ED7ABC">
      <w:pPr>
        <w:rPr>
          <w:sz w:val="28"/>
          <w:szCs w:val="28"/>
        </w:rPr>
      </w:pPr>
      <w:bookmarkStart w:id="22" w:name="_Toc6863"/>
      <w:bookmarkStart w:id="23" w:name="_Toc23331"/>
      <w:bookmarkStart w:id="24" w:name="_Toc12517"/>
      <w:r>
        <w:rPr>
          <w:rFonts w:hint="eastAsia"/>
          <w:sz w:val="28"/>
          <w:szCs w:val="28"/>
        </w:rPr>
        <w:br w:type="page"/>
      </w:r>
    </w:p>
    <w:p w14:paraId="24B45FA6">
      <w:pPr>
        <w:pStyle w:val="6"/>
        <w:spacing w:before="0" w:after="0" w:line="360" w:lineRule="auto"/>
        <w:jc w:val="center"/>
        <w:rPr>
          <w:sz w:val="28"/>
          <w:szCs w:val="28"/>
        </w:rPr>
      </w:pPr>
      <w:r>
        <w:rPr>
          <w:rFonts w:hint="eastAsia"/>
          <w:sz w:val="28"/>
          <w:szCs w:val="28"/>
        </w:rPr>
        <w:t>第四章  评审办法</w:t>
      </w:r>
      <w:bookmarkEnd w:id="22"/>
      <w:bookmarkEnd w:id="23"/>
    </w:p>
    <w:p w14:paraId="6B42817A">
      <w:pPr>
        <w:spacing w:line="360" w:lineRule="auto"/>
        <w:jc w:val="center"/>
        <w:outlineLvl w:val="1"/>
        <w:rPr>
          <w:rFonts w:hint="eastAsia" w:ascii="宋体" w:hAnsi="宋体"/>
          <w:b/>
          <w:sz w:val="24"/>
        </w:rPr>
      </w:pPr>
      <w:bookmarkStart w:id="25" w:name="_Toc17459"/>
      <w:bookmarkStart w:id="26" w:name="_Toc28533"/>
      <w:r>
        <w:rPr>
          <w:rFonts w:hint="eastAsia" w:ascii="宋体" w:hAnsi="宋体"/>
          <w:b/>
          <w:sz w:val="24"/>
        </w:rPr>
        <w:t>第一节  评审程序和评审方法</w:t>
      </w:r>
      <w:bookmarkEnd w:id="25"/>
      <w:bookmarkEnd w:id="26"/>
    </w:p>
    <w:bookmarkEnd w:id="24"/>
    <w:p w14:paraId="7723BC20">
      <w:pPr>
        <w:spacing w:line="360" w:lineRule="auto"/>
        <w:ind w:firstLine="480" w:firstLineChars="200"/>
        <w:rPr>
          <w:rFonts w:hint="eastAsia" w:ascii="宋体" w:hAnsi="宋体" w:cs="宋体"/>
          <w:sz w:val="24"/>
        </w:rPr>
      </w:pPr>
      <w:r>
        <w:rPr>
          <w:rFonts w:ascii="宋体" w:hAnsi="宋体" w:cs="宋体"/>
          <w:sz w:val="24"/>
        </w:rPr>
        <w:t>根据《中华人民共和国政府采购法》、《中华人民共和国民法典》、《广西壮族自治区</w:t>
      </w:r>
      <w:r>
        <w:rPr>
          <w:rFonts w:hint="eastAsia" w:ascii="宋体" w:hAnsi="宋体" w:cs="宋体"/>
          <w:sz w:val="24"/>
          <w:lang w:eastAsia="zh-CN"/>
        </w:rPr>
        <w:t>港航发展中心</w:t>
      </w:r>
      <w:r>
        <w:rPr>
          <w:rFonts w:ascii="宋体" w:hAnsi="宋体" w:cs="宋体"/>
          <w:sz w:val="24"/>
        </w:rPr>
        <w:t>自行采购管理办法》等有关规定，采购人组建合议小组（评审小组）按本采购文件规定，对响应文件进行评审。</w:t>
      </w:r>
    </w:p>
    <w:p w14:paraId="7022BB37">
      <w:pPr>
        <w:spacing w:line="360" w:lineRule="auto"/>
        <w:ind w:firstLine="482" w:firstLineChars="200"/>
        <w:rPr>
          <w:rFonts w:hint="eastAsia" w:ascii="黑体" w:hAnsi="黑体" w:eastAsia="黑体" w:cs="宋体"/>
          <w:b/>
          <w:bCs/>
          <w:sz w:val="24"/>
        </w:rPr>
      </w:pPr>
      <w:r>
        <w:rPr>
          <w:rFonts w:hint="eastAsia" w:ascii="黑体" w:hAnsi="黑体" w:eastAsia="黑体" w:cs="宋体"/>
          <w:b/>
          <w:bCs/>
          <w:sz w:val="24"/>
        </w:rPr>
        <w:t>一、资格审查</w:t>
      </w:r>
    </w:p>
    <w:p w14:paraId="4DF4697D">
      <w:pPr>
        <w:snapToGrid w:val="0"/>
        <w:spacing w:line="360" w:lineRule="auto"/>
        <w:ind w:firstLine="420" w:firstLineChars="200"/>
        <w:rPr>
          <w:rFonts w:hint="eastAsia" w:ascii="宋体" w:hAnsi="宋体"/>
          <w:szCs w:val="21"/>
        </w:rPr>
      </w:pPr>
      <w:r>
        <w:rPr>
          <w:rFonts w:hint="eastAsia" w:ascii="宋体" w:hAnsi="宋体" w:cs="宋体"/>
          <w:szCs w:val="21"/>
        </w:rPr>
        <w:t>（一）</w:t>
      </w:r>
      <w:r>
        <w:rPr>
          <w:rFonts w:hint="eastAsia" w:ascii="宋体" w:hAnsi="宋体"/>
          <w:szCs w:val="21"/>
        </w:rPr>
        <w:t>评审小组依法对供应商的响应文件中资格证明文件进行审查。</w:t>
      </w:r>
    </w:p>
    <w:p w14:paraId="2F6BE740">
      <w:pPr>
        <w:snapToGrid w:val="0"/>
        <w:spacing w:line="360" w:lineRule="auto"/>
        <w:ind w:firstLine="420" w:firstLineChars="200"/>
        <w:jc w:val="left"/>
        <w:rPr>
          <w:rFonts w:hint="eastAsia" w:ascii="宋体" w:hAnsi="宋体" w:cs="宋体"/>
          <w:szCs w:val="21"/>
        </w:rPr>
      </w:pPr>
      <w:r>
        <w:rPr>
          <w:rFonts w:hint="eastAsia" w:ascii="宋体" w:hAnsi="宋体" w:cs="宋体"/>
          <w:szCs w:val="21"/>
        </w:rPr>
        <w:t>1.查询渠道：</w:t>
      </w:r>
      <w:r>
        <w:rPr>
          <w:rFonts w:ascii="宋体" w:hAnsi="宋体" w:cs="宋体"/>
          <w:szCs w:val="21"/>
        </w:rPr>
        <w:t>“信用中国”网站、中国政府采购网</w:t>
      </w:r>
      <w:r>
        <w:rPr>
          <w:rFonts w:hint="eastAsia" w:ascii="宋体" w:hAnsi="宋体" w:cs="宋体"/>
          <w:szCs w:val="21"/>
        </w:rPr>
        <w:t>。</w:t>
      </w:r>
    </w:p>
    <w:p w14:paraId="4713E4C8">
      <w:pPr>
        <w:snapToGrid w:val="0"/>
        <w:spacing w:line="360" w:lineRule="auto"/>
        <w:ind w:firstLine="420" w:firstLineChars="200"/>
        <w:jc w:val="left"/>
        <w:rPr>
          <w:rFonts w:hint="eastAsia" w:ascii="宋体" w:hAnsi="宋体" w:cs="宋体"/>
          <w:szCs w:val="21"/>
        </w:rPr>
      </w:pPr>
      <w:r>
        <w:rPr>
          <w:rFonts w:hint="eastAsia" w:ascii="宋体" w:hAnsi="宋体" w:cs="宋体"/>
          <w:szCs w:val="21"/>
        </w:rPr>
        <w:t>2.信用查询截止时点：</w:t>
      </w:r>
      <w:r>
        <w:rPr>
          <w:rFonts w:ascii="宋体" w:hAnsi="宋体" w:cs="宋体"/>
          <w:szCs w:val="21"/>
        </w:rPr>
        <w:t>资格审查结束前</w:t>
      </w:r>
    </w:p>
    <w:p w14:paraId="0B490F17">
      <w:pPr>
        <w:snapToGrid w:val="0"/>
        <w:spacing w:line="360" w:lineRule="auto"/>
        <w:ind w:firstLine="420" w:firstLineChars="200"/>
        <w:jc w:val="left"/>
        <w:rPr>
          <w:rFonts w:hint="eastAsia" w:ascii="宋体" w:hAnsi="宋体" w:cs="宋体"/>
          <w:szCs w:val="21"/>
        </w:rPr>
      </w:pPr>
      <w:r>
        <w:rPr>
          <w:rFonts w:hint="eastAsia" w:ascii="宋体" w:hAnsi="宋体" w:cs="宋体"/>
          <w:szCs w:val="21"/>
        </w:rPr>
        <w:t>3.查询记录和证据留存方式：将查询网站中的查询记录截图并作为评审资料保存。</w:t>
      </w:r>
    </w:p>
    <w:p w14:paraId="63F4ACEA">
      <w:pPr>
        <w:snapToGrid w:val="0"/>
        <w:spacing w:line="360" w:lineRule="auto"/>
        <w:ind w:firstLine="420" w:firstLineChars="200"/>
        <w:jc w:val="left"/>
        <w:rPr>
          <w:rFonts w:hint="eastAsia" w:ascii="宋体" w:hAnsi="宋体" w:cs="宋体"/>
          <w:szCs w:val="21"/>
        </w:rPr>
      </w:pPr>
      <w:r>
        <w:rPr>
          <w:rFonts w:hint="eastAsia" w:ascii="宋体" w:hAnsi="宋体" w:cs="宋体"/>
          <w:szCs w:val="21"/>
        </w:rPr>
        <w:t>4.信用信息使用规则：</w:t>
      </w:r>
    </w:p>
    <w:p w14:paraId="7074E97B">
      <w:pPr>
        <w:snapToGrid w:val="0"/>
        <w:spacing w:line="360" w:lineRule="auto"/>
        <w:ind w:firstLine="420" w:firstLineChars="200"/>
        <w:jc w:val="left"/>
        <w:rPr>
          <w:rFonts w:hint="eastAsia" w:ascii="宋体" w:hAnsi="宋体" w:cs="宋体"/>
          <w:szCs w:val="21"/>
        </w:rPr>
      </w:pPr>
      <w:r>
        <w:rPr>
          <w:rFonts w:hint="eastAsia" w:ascii="宋体" w:hAnsi="宋体" w:cs="宋体"/>
          <w:szCs w:val="21"/>
        </w:rPr>
        <w:t>（一）对在“信用中国”网站、中国政府采购网被列入失信被执行人、重大税收违法案件当事人名单、政府采购严重违法失信行为记录名单及其他不符合《中华人民共和国政府采购法》第二十二条规定条件的供应商，不得参与政府采购活动。</w:t>
      </w:r>
    </w:p>
    <w:p w14:paraId="050378C0">
      <w:pPr>
        <w:snapToGrid w:val="0"/>
        <w:spacing w:line="360" w:lineRule="auto"/>
        <w:ind w:firstLine="420" w:firstLineChars="200"/>
        <w:jc w:val="left"/>
        <w:rPr>
          <w:rFonts w:hint="eastAsia" w:ascii="宋体" w:hAnsi="宋体" w:cs="宋体"/>
          <w:szCs w:val="21"/>
        </w:rPr>
      </w:pPr>
      <w:r>
        <w:rPr>
          <w:rFonts w:hint="eastAsia" w:ascii="宋体" w:hAnsi="宋体" w:cs="宋体"/>
          <w:szCs w:val="21"/>
        </w:rPr>
        <w:t>（二)资格审查标准为本采购文件中载明对供应商资格要求的条件。资格审查采用合格制，凡符合采购文件规定的供应商资格要求的响应文件均通过资格审查。</w:t>
      </w:r>
    </w:p>
    <w:p w14:paraId="598743B5">
      <w:pPr>
        <w:spacing w:line="360" w:lineRule="auto"/>
        <w:ind w:firstLine="420" w:firstLineChars="200"/>
        <w:rPr>
          <w:rFonts w:hint="eastAsia" w:ascii="宋体" w:hAnsi="宋体" w:cs="宋体"/>
          <w:szCs w:val="21"/>
        </w:rPr>
      </w:pPr>
      <w:r>
        <w:rPr>
          <w:rFonts w:hint="eastAsia" w:ascii="宋体" w:hAnsi="宋体" w:cs="宋体"/>
          <w:szCs w:val="21"/>
        </w:rPr>
        <w:t>(三)供应商资格审查不通过的，其响应文件按无效响应处理。</w:t>
      </w:r>
    </w:p>
    <w:p w14:paraId="7B9462FD">
      <w:pPr>
        <w:tabs>
          <w:tab w:val="left" w:pos="3150"/>
        </w:tabs>
        <w:spacing w:line="360" w:lineRule="auto"/>
        <w:ind w:firstLine="420" w:firstLineChars="200"/>
      </w:pPr>
      <w:r>
        <w:rPr>
          <w:rFonts w:hint="eastAsia" w:ascii="宋体" w:hAnsi="宋体" w:cs="宋体"/>
          <w:szCs w:val="21"/>
        </w:rPr>
        <w:t>(四)</w:t>
      </w:r>
      <w:r>
        <w:rPr>
          <w:rFonts w:hint="eastAsia"/>
        </w:rPr>
        <w:t>凡是不满足资格审查中的任意一条，均为不通过资格审查。</w:t>
      </w:r>
    </w:p>
    <w:p w14:paraId="45472DE3">
      <w:pPr>
        <w:tabs>
          <w:tab w:val="left" w:pos="3150"/>
        </w:tabs>
        <w:spacing w:line="360" w:lineRule="auto"/>
        <w:ind w:firstLine="420" w:firstLineChars="200"/>
      </w:pPr>
      <w:r>
        <w:rPr>
          <w:rFonts w:hint="eastAsia" w:ascii="宋体" w:hAnsi="宋体" w:cs="宋体"/>
          <w:szCs w:val="21"/>
        </w:rPr>
        <w:t>(五)</w:t>
      </w:r>
      <w:r>
        <w:rPr>
          <w:rFonts w:hint="eastAsia"/>
        </w:rPr>
        <w:t>如果通过资格审查的投标供应商不足三家：</w:t>
      </w:r>
    </w:p>
    <w:p w14:paraId="38278B9D">
      <w:pPr>
        <w:tabs>
          <w:tab w:val="left" w:pos="3150"/>
        </w:tabs>
        <w:spacing w:line="360" w:lineRule="auto"/>
        <w:ind w:firstLine="420" w:firstLineChars="200"/>
      </w:pPr>
      <w:r>
        <w:rPr>
          <w:rFonts w:hint="eastAsia"/>
        </w:rPr>
        <w:t>（1）延长采购公告时间，延期3个</w:t>
      </w:r>
      <w:r>
        <w:rPr>
          <w:rFonts w:hint="eastAsia"/>
          <w:lang w:eastAsia="zh-CN"/>
        </w:rPr>
        <w:t>日历天</w:t>
      </w:r>
      <w:r>
        <w:rPr>
          <w:rFonts w:hint="eastAsia"/>
        </w:rPr>
        <w:t>。</w:t>
      </w:r>
    </w:p>
    <w:p w14:paraId="1B8CAA84">
      <w:pPr>
        <w:tabs>
          <w:tab w:val="left" w:pos="3150"/>
        </w:tabs>
        <w:spacing w:line="360" w:lineRule="auto"/>
        <w:ind w:firstLine="420" w:firstLineChars="200"/>
      </w:pPr>
      <w:r>
        <w:rPr>
          <w:rFonts w:hint="eastAsia"/>
        </w:rPr>
        <w:t>（2）延期时间截止，响应供应商为2家或2家以上的，按照正常采购流程开展。</w:t>
      </w:r>
    </w:p>
    <w:p w14:paraId="1A0C1CBB">
      <w:pPr>
        <w:snapToGrid w:val="0"/>
        <w:spacing w:line="360" w:lineRule="auto"/>
        <w:ind w:firstLine="420" w:firstLineChars="200"/>
        <w:jc w:val="left"/>
        <w:rPr>
          <w:rFonts w:hint="eastAsia" w:ascii="宋体" w:hAnsi="宋体" w:cs="宋体"/>
          <w:szCs w:val="21"/>
        </w:rPr>
      </w:pPr>
      <w:r>
        <w:rPr>
          <w:rFonts w:hint="eastAsia"/>
        </w:rPr>
        <w:t>（3）延期时间截止，响应供应商为1家的，由</w:t>
      </w:r>
      <w:r>
        <w:rPr>
          <w:rFonts w:hint="eastAsia" w:ascii="宋体" w:hAnsi="宋体" w:cs="宋体"/>
          <w:szCs w:val="21"/>
        </w:rPr>
        <w:t>采购人</w:t>
      </w:r>
      <w:r>
        <w:rPr>
          <w:rFonts w:hint="eastAsia"/>
        </w:rPr>
        <w:t>审核供应商投标文件，</w:t>
      </w:r>
      <w:r>
        <w:rPr>
          <w:rFonts w:hint="eastAsia" w:ascii="宋体" w:hAnsi="宋体" w:cs="宋体"/>
          <w:szCs w:val="21"/>
        </w:rPr>
        <w:t>确定满足采购方案的条件后，组成谈判小组与供应商谈判。根据采购人内部程序，确定中标人，签订采购合同、支付合同款等。</w:t>
      </w:r>
    </w:p>
    <w:p w14:paraId="5422257F">
      <w:pPr>
        <w:spacing w:line="360" w:lineRule="auto"/>
        <w:ind w:firstLine="482" w:firstLineChars="200"/>
        <w:rPr>
          <w:rFonts w:hint="eastAsia" w:ascii="黑体" w:hAnsi="黑体" w:eastAsia="黑体" w:cs="宋体"/>
          <w:b/>
          <w:bCs/>
          <w:sz w:val="24"/>
        </w:rPr>
      </w:pPr>
      <w:r>
        <w:rPr>
          <w:rFonts w:hint="eastAsia" w:ascii="黑体" w:hAnsi="黑体" w:eastAsia="黑体" w:cs="宋体"/>
          <w:b/>
          <w:bCs/>
          <w:sz w:val="24"/>
        </w:rPr>
        <w:t>二、符合性审查</w:t>
      </w:r>
    </w:p>
    <w:p w14:paraId="1CC45C0E">
      <w:pPr>
        <w:spacing w:line="360" w:lineRule="auto"/>
        <w:ind w:firstLine="420" w:firstLineChars="200"/>
        <w:rPr>
          <w:rFonts w:hint="eastAsia" w:ascii="宋体" w:hAnsi="宋体" w:cs="宋体"/>
          <w:szCs w:val="21"/>
        </w:rPr>
      </w:pPr>
      <w:bookmarkStart w:id="27" w:name="_Hlk42528882"/>
      <w:r>
        <w:rPr>
          <w:rFonts w:hint="eastAsia" w:ascii="宋体" w:hAnsi="宋体" w:cs="宋体"/>
          <w:szCs w:val="21"/>
        </w:rPr>
        <w:t>（一）由评审小组对</w:t>
      </w:r>
      <w:r>
        <w:rPr>
          <w:rFonts w:hint="eastAsia" w:ascii="宋体" w:hAnsi="宋体"/>
          <w:szCs w:val="21"/>
        </w:rPr>
        <w:t>资格审查的合格供应商</w:t>
      </w:r>
      <w:r>
        <w:rPr>
          <w:rFonts w:hint="eastAsia" w:ascii="宋体" w:hAnsi="宋体" w:cs="宋体"/>
          <w:szCs w:val="21"/>
        </w:rPr>
        <w:t>的响应文件进行符合性审查，以确定其是否满足采购文件的实质性要求。</w:t>
      </w:r>
    </w:p>
    <w:bookmarkEnd w:id="27"/>
    <w:p w14:paraId="0990422E">
      <w:pPr>
        <w:spacing w:line="360" w:lineRule="auto"/>
        <w:ind w:firstLine="420" w:firstLineChars="200"/>
        <w:rPr>
          <w:rFonts w:hint="eastAsia" w:ascii="宋体" w:hAnsi="宋体" w:cs="宋体"/>
          <w:szCs w:val="21"/>
        </w:rPr>
      </w:pPr>
      <w:r>
        <w:rPr>
          <w:rFonts w:hint="eastAsia" w:ascii="宋体" w:hAnsi="宋体" w:cs="宋体"/>
          <w:szCs w:val="21"/>
        </w:rPr>
        <w:t>（二）评审小组在对响应文件进行符合性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5752AB96">
      <w:pPr>
        <w:spacing w:line="360" w:lineRule="auto"/>
        <w:ind w:firstLine="420" w:firstLineChars="200"/>
        <w:rPr>
          <w:rFonts w:hint="eastAsia" w:ascii="宋体" w:hAnsi="宋体" w:cs="宋体"/>
          <w:spacing w:val="-6"/>
          <w:szCs w:val="21"/>
        </w:rPr>
      </w:pPr>
      <w:r>
        <w:rPr>
          <w:rFonts w:hint="eastAsia" w:ascii="宋体" w:hAnsi="宋体" w:cs="宋体"/>
          <w:szCs w:val="21"/>
        </w:rPr>
        <w:t>（三）评审小组要求供应商澄清、说明或者更正响应文件应当以正式函形式作出。供应商的澄清、说明或者更正应当以正式形式按照评审小组的要求作出明确的澄清、说明或者更正，未按评审小组的要求作出明确澄清、说明或者更正的供应商的响应文件将按照有利于采购人的原则由评审小组进行判定。供应商的澄清、说明或者更正必须由法定代表人或者其授权代表签字或加盖供应商公章</w:t>
      </w:r>
      <w:r>
        <w:rPr>
          <w:rFonts w:hint="eastAsia" w:ascii="宋体" w:hAnsi="宋体" w:cs="宋体"/>
          <w:spacing w:val="-6"/>
          <w:szCs w:val="21"/>
        </w:rPr>
        <w:t>。</w:t>
      </w:r>
    </w:p>
    <w:p w14:paraId="2EB01EBB">
      <w:pPr>
        <w:spacing w:line="360" w:lineRule="auto"/>
        <w:ind w:firstLine="396" w:firstLineChars="200"/>
        <w:rPr>
          <w:rFonts w:hint="eastAsia" w:ascii="宋体" w:hAnsi="宋体" w:cs="宋体"/>
          <w:szCs w:val="21"/>
        </w:rPr>
      </w:pPr>
      <w:r>
        <w:rPr>
          <w:rFonts w:hint="eastAsia" w:ascii="宋体" w:hAnsi="宋体" w:cs="宋体"/>
          <w:spacing w:val="-6"/>
          <w:szCs w:val="21"/>
        </w:rPr>
        <w:t>（四）</w:t>
      </w:r>
      <w:r>
        <w:rPr>
          <w:rFonts w:hint="eastAsia" w:ascii="宋体" w:hAnsi="宋体" w:cs="宋体"/>
          <w:szCs w:val="21"/>
        </w:rPr>
        <w:t xml:space="preserve">响应文件报价出现前后不一致的，按照下列规定修正： </w:t>
      </w:r>
    </w:p>
    <w:p w14:paraId="6BB819EF">
      <w:pPr>
        <w:spacing w:line="360" w:lineRule="auto"/>
        <w:ind w:firstLine="420" w:firstLineChars="200"/>
        <w:rPr>
          <w:rFonts w:hint="eastAsia" w:ascii="宋体" w:hAnsi="宋体" w:cs="宋体"/>
          <w:szCs w:val="21"/>
        </w:rPr>
      </w:pPr>
      <w:r>
        <w:rPr>
          <w:rFonts w:hint="eastAsia" w:ascii="宋体" w:hAnsi="宋体" w:cs="宋体"/>
          <w:szCs w:val="21"/>
        </w:rPr>
        <w:t>1.响应文件中报价表内容与响应文件中相应内容不一致的，以报价表为准；</w:t>
      </w:r>
    </w:p>
    <w:p w14:paraId="521183FE">
      <w:pPr>
        <w:spacing w:line="360" w:lineRule="auto"/>
        <w:ind w:firstLine="420" w:firstLineChars="200"/>
        <w:rPr>
          <w:rFonts w:hint="eastAsia" w:ascii="宋体" w:hAnsi="宋体" w:cs="宋体"/>
          <w:szCs w:val="21"/>
        </w:rPr>
      </w:pPr>
      <w:r>
        <w:rPr>
          <w:rFonts w:hint="eastAsia" w:ascii="宋体" w:hAnsi="宋体" w:cs="宋体"/>
          <w:szCs w:val="21"/>
        </w:rPr>
        <w:t>2.大写金额和小写金额不一致的，以大写金额为准；</w:t>
      </w:r>
    </w:p>
    <w:p w14:paraId="437F3252">
      <w:pPr>
        <w:spacing w:line="360" w:lineRule="auto"/>
        <w:ind w:firstLine="420" w:firstLineChars="200"/>
        <w:rPr>
          <w:rFonts w:hint="eastAsia" w:ascii="宋体" w:hAnsi="宋体" w:cs="宋体"/>
          <w:szCs w:val="21"/>
        </w:rPr>
      </w:pPr>
      <w:r>
        <w:rPr>
          <w:rFonts w:hint="eastAsia" w:ascii="宋体" w:hAnsi="宋体" w:cs="宋体"/>
          <w:szCs w:val="21"/>
        </w:rPr>
        <w:t>3.单价金额小数点或者百分比有明显错位的，以报价表的总价为准，并修改单价；</w:t>
      </w:r>
    </w:p>
    <w:p w14:paraId="318E51DE">
      <w:pPr>
        <w:spacing w:line="360" w:lineRule="auto"/>
        <w:ind w:firstLine="420" w:firstLineChars="200"/>
        <w:rPr>
          <w:rFonts w:hint="eastAsia" w:ascii="宋体" w:hAnsi="宋体" w:cs="宋体"/>
          <w:szCs w:val="21"/>
        </w:rPr>
      </w:pPr>
      <w:r>
        <w:rPr>
          <w:rFonts w:hint="eastAsia" w:ascii="宋体" w:hAnsi="宋体" w:cs="宋体"/>
          <w:szCs w:val="21"/>
        </w:rPr>
        <w:t>4.总价金额与按单价汇总金额不一致的，以单价金额计算结果为准。</w:t>
      </w:r>
    </w:p>
    <w:p w14:paraId="2026066B">
      <w:pPr>
        <w:spacing w:line="360" w:lineRule="auto"/>
        <w:ind w:firstLine="420" w:firstLineChars="200"/>
        <w:rPr>
          <w:rFonts w:hint="eastAsia" w:ascii="宋体" w:hAnsi="宋体" w:cs="宋体"/>
          <w:szCs w:val="21"/>
        </w:rPr>
      </w:pPr>
      <w:r>
        <w:rPr>
          <w:rFonts w:hint="eastAsia" w:ascii="宋体" w:hAnsi="宋体" w:cs="宋体"/>
          <w:szCs w:val="21"/>
        </w:rPr>
        <w:t>同时出现两种以上不一致的，按照以上1-4规定的顺序逐条进行修正。修正后的报价经供应商确认后产生约束力，供应商不确认的，其响应文件按无效响应处理。</w:t>
      </w:r>
    </w:p>
    <w:p w14:paraId="1817BF7C">
      <w:pPr>
        <w:spacing w:line="360" w:lineRule="auto"/>
        <w:ind w:firstLine="422" w:firstLineChars="200"/>
        <w:rPr>
          <w:rFonts w:hint="eastAsia" w:ascii="宋体" w:hAnsi="宋体" w:cs="宋体"/>
          <w:b/>
          <w:bCs/>
          <w:szCs w:val="21"/>
        </w:rPr>
      </w:pPr>
      <w:r>
        <w:rPr>
          <w:rFonts w:hint="eastAsia" w:ascii="宋体" w:hAnsi="宋体" w:cs="宋体"/>
          <w:b/>
          <w:bCs/>
          <w:szCs w:val="21"/>
        </w:rPr>
        <w:t>（五）报价评审</w:t>
      </w:r>
    </w:p>
    <w:p w14:paraId="2E7931A4">
      <w:pPr>
        <w:spacing w:line="360" w:lineRule="auto"/>
        <w:ind w:firstLine="422" w:firstLineChars="200"/>
        <w:rPr>
          <w:rFonts w:hint="eastAsia" w:ascii="宋体" w:hAnsi="宋体" w:cs="宋体"/>
          <w:b/>
          <w:bCs/>
          <w:szCs w:val="21"/>
        </w:rPr>
      </w:pPr>
      <w:r>
        <w:rPr>
          <w:rFonts w:hint="eastAsia" w:ascii="宋体" w:hAnsi="宋体" w:cs="宋体"/>
          <w:b/>
          <w:bCs/>
          <w:szCs w:val="21"/>
        </w:rPr>
        <w:t>在评审时，如发现下列情形之一的，将被视为响应文件无效响应处理：</w:t>
      </w:r>
    </w:p>
    <w:p w14:paraId="729BD416">
      <w:pPr>
        <w:spacing w:line="360" w:lineRule="auto"/>
        <w:ind w:firstLine="420" w:firstLineChars="200"/>
        <w:rPr>
          <w:rFonts w:hint="eastAsia" w:ascii="宋体" w:hAnsi="宋体" w:cs="宋体"/>
          <w:szCs w:val="21"/>
        </w:rPr>
      </w:pPr>
      <w:r>
        <w:rPr>
          <w:rFonts w:hint="eastAsia" w:ascii="宋体" w:hAnsi="宋体" w:cs="宋体"/>
          <w:szCs w:val="21"/>
        </w:rPr>
        <w:t>1.商务技术评审</w:t>
      </w:r>
    </w:p>
    <w:p w14:paraId="18ECAAC8">
      <w:pPr>
        <w:spacing w:line="360" w:lineRule="auto"/>
        <w:ind w:firstLine="420" w:firstLineChars="200"/>
        <w:rPr>
          <w:rFonts w:hint="eastAsia" w:ascii="宋体" w:hAnsi="宋体" w:cs="宋体"/>
          <w:szCs w:val="21"/>
        </w:rPr>
      </w:pPr>
      <w:r>
        <w:rPr>
          <w:rFonts w:hint="eastAsia" w:ascii="宋体" w:hAnsi="宋体" w:cs="宋体"/>
          <w:szCs w:val="21"/>
        </w:rPr>
        <w:t>1）响应文件未按采购文件要求签署、盖章；</w:t>
      </w:r>
    </w:p>
    <w:p w14:paraId="4CD1BECB">
      <w:pPr>
        <w:spacing w:line="360" w:lineRule="auto"/>
        <w:ind w:firstLine="420" w:firstLineChars="200"/>
        <w:rPr>
          <w:rFonts w:hint="eastAsia" w:ascii="宋体" w:hAnsi="宋体" w:cs="宋体"/>
          <w:szCs w:val="21"/>
        </w:rPr>
      </w:pPr>
      <w:r>
        <w:rPr>
          <w:rFonts w:hint="eastAsia" w:ascii="宋体" w:hAnsi="宋体" w:cs="宋体"/>
          <w:szCs w:val="21"/>
        </w:rPr>
        <w:t xml:space="preserve">2）委托代理人未能出具有效身份证或者出具的身份证与授权委托书中的信息不符的； </w:t>
      </w:r>
    </w:p>
    <w:p w14:paraId="5FAEB971">
      <w:pPr>
        <w:spacing w:line="360" w:lineRule="auto"/>
        <w:ind w:firstLine="420" w:firstLineChars="200"/>
        <w:rPr>
          <w:rFonts w:hint="eastAsia" w:ascii="宋体" w:hAnsi="宋体" w:cs="宋体"/>
          <w:szCs w:val="21"/>
        </w:rPr>
      </w:pPr>
      <w:r>
        <w:rPr>
          <w:rFonts w:hint="eastAsia" w:ascii="宋体" w:hAnsi="宋体" w:cs="宋体"/>
          <w:szCs w:val="21"/>
        </w:rPr>
        <w:t>3）响应文件的实质性内容未使用中文表述、使用计量单位不符合采购文件要求；</w:t>
      </w:r>
    </w:p>
    <w:p w14:paraId="71191C54">
      <w:pPr>
        <w:spacing w:line="360" w:lineRule="auto"/>
        <w:ind w:firstLine="420" w:firstLineChars="200"/>
        <w:rPr>
          <w:rFonts w:hint="eastAsia" w:ascii="宋体" w:hAnsi="宋体" w:cs="宋体"/>
          <w:szCs w:val="21"/>
        </w:rPr>
      </w:pPr>
      <w:r>
        <w:rPr>
          <w:rFonts w:hint="eastAsia" w:ascii="宋体" w:hAnsi="宋体" w:cs="宋体"/>
          <w:szCs w:val="21"/>
        </w:rPr>
        <w:t>4）响应文件中的文件资料因填写不齐全或者内容虚假或者出现其他情形而导致被评审小组认定无效；</w:t>
      </w:r>
    </w:p>
    <w:p w14:paraId="5997C857">
      <w:pPr>
        <w:spacing w:line="360" w:lineRule="auto"/>
        <w:ind w:firstLine="420" w:firstLineChars="200"/>
        <w:rPr>
          <w:rFonts w:hint="eastAsia" w:ascii="宋体" w:hAnsi="宋体" w:cs="宋体"/>
          <w:szCs w:val="21"/>
        </w:rPr>
      </w:pPr>
      <w:r>
        <w:rPr>
          <w:rFonts w:hint="eastAsia" w:ascii="宋体" w:hAnsi="宋体" w:cs="宋体"/>
          <w:szCs w:val="21"/>
        </w:rPr>
        <w:t>5）响应文件含有采购人不能接受的附加条件；</w:t>
      </w:r>
    </w:p>
    <w:p w14:paraId="6EB953A2">
      <w:pPr>
        <w:spacing w:line="360" w:lineRule="auto"/>
        <w:ind w:firstLine="420" w:firstLineChars="200"/>
        <w:rPr>
          <w:rFonts w:hint="eastAsia" w:ascii="宋体" w:hAnsi="宋体" w:cs="宋体"/>
          <w:szCs w:val="21"/>
        </w:rPr>
      </w:pPr>
      <w:r>
        <w:rPr>
          <w:rFonts w:hint="eastAsia" w:ascii="宋体" w:hAnsi="宋体" w:cs="宋体"/>
          <w:szCs w:val="21"/>
        </w:rPr>
        <w:t>6）虚假竞标，或者出现其他情形而导致被评审小组认定无效；</w:t>
      </w:r>
    </w:p>
    <w:p w14:paraId="1B8AF58A">
      <w:pPr>
        <w:spacing w:line="360" w:lineRule="auto"/>
        <w:ind w:firstLine="420" w:firstLineChars="200"/>
        <w:rPr>
          <w:rFonts w:hint="eastAsia" w:ascii="宋体" w:hAnsi="宋体" w:cs="宋体"/>
          <w:szCs w:val="21"/>
        </w:rPr>
      </w:pPr>
      <w:r>
        <w:rPr>
          <w:rFonts w:hint="eastAsia" w:ascii="宋体" w:hAnsi="宋体" w:cs="宋体"/>
          <w:szCs w:val="21"/>
        </w:rPr>
        <w:t>7）</w:t>
      </w:r>
      <w:bookmarkStart w:id="28" w:name="_Hlk71704147"/>
      <w:r>
        <w:rPr>
          <w:rFonts w:hint="eastAsia" w:ascii="宋体" w:hAnsi="宋体" w:cs="宋体"/>
          <w:szCs w:val="21"/>
        </w:rPr>
        <w:t>采购文件未载明允许提供备选（替代）竞标方案或明确不允许提供备选（替代）竞标方案时，供应商提供了备选（替代）竞标方案的；</w:t>
      </w:r>
      <w:bookmarkEnd w:id="28"/>
    </w:p>
    <w:p w14:paraId="18C9DB0A">
      <w:pPr>
        <w:spacing w:line="360" w:lineRule="auto"/>
        <w:ind w:firstLine="420" w:firstLineChars="200"/>
        <w:rPr>
          <w:rFonts w:hint="eastAsia" w:ascii="宋体" w:hAnsi="宋体" w:cs="宋体"/>
          <w:szCs w:val="21"/>
        </w:rPr>
      </w:pPr>
      <w:r>
        <w:rPr>
          <w:rFonts w:hint="eastAsia" w:ascii="宋体" w:hAnsi="宋体" w:cs="宋体"/>
          <w:szCs w:val="21"/>
        </w:rPr>
        <w:t>8）响应文件标注的项目名称或者项目编号与采购文件标注的项目名称或者项目编号不一致的；</w:t>
      </w:r>
    </w:p>
    <w:p w14:paraId="2DED79AC">
      <w:pPr>
        <w:spacing w:line="360" w:lineRule="auto"/>
        <w:ind w:firstLine="420" w:firstLineChars="200"/>
        <w:rPr>
          <w:rFonts w:hint="eastAsia" w:ascii="宋体" w:hAnsi="宋体" w:cs="宋体"/>
          <w:szCs w:val="21"/>
        </w:rPr>
      </w:pPr>
      <w:r>
        <w:rPr>
          <w:rFonts w:hint="eastAsia" w:ascii="宋体" w:hAnsi="宋体" w:cs="宋体"/>
          <w:szCs w:val="21"/>
        </w:rPr>
        <w:t>9）</w:t>
      </w:r>
      <w:r>
        <w:rPr>
          <w:rFonts w:hint="eastAsia" w:ascii="宋体" w:hAnsi="宋体"/>
          <w:szCs w:val="21"/>
        </w:rPr>
        <w:t>采购文件明确不允许分包，响应文件拟分包的；</w:t>
      </w:r>
    </w:p>
    <w:p w14:paraId="1F54D338">
      <w:pPr>
        <w:spacing w:line="360" w:lineRule="auto"/>
        <w:ind w:firstLine="420" w:firstLineChars="200"/>
        <w:rPr>
          <w:rFonts w:hint="eastAsia" w:ascii="宋体" w:hAnsi="宋体" w:cs="宋体"/>
          <w:szCs w:val="21"/>
        </w:rPr>
      </w:pPr>
      <w:r>
        <w:rPr>
          <w:rFonts w:ascii="宋体" w:hAnsi="宋体" w:cs="宋体"/>
          <w:szCs w:val="21"/>
        </w:rPr>
        <w:t>1</w:t>
      </w:r>
      <w:r>
        <w:rPr>
          <w:rFonts w:hint="eastAsia" w:ascii="宋体" w:hAnsi="宋体" w:cs="宋体"/>
          <w:szCs w:val="21"/>
        </w:rPr>
        <w:t>0）未响应采购文件实质性要求；</w:t>
      </w:r>
    </w:p>
    <w:p w14:paraId="26FEEC70">
      <w:pPr>
        <w:spacing w:line="360" w:lineRule="auto"/>
        <w:ind w:firstLine="420" w:firstLineChars="200"/>
        <w:rPr>
          <w:rFonts w:hint="eastAsia" w:ascii="宋体" w:hAnsi="宋体" w:cs="宋体"/>
          <w:szCs w:val="21"/>
        </w:rPr>
      </w:pPr>
      <w:r>
        <w:rPr>
          <w:rFonts w:hint="eastAsia" w:ascii="宋体" w:hAnsi="宋体" w:cs="宋体"/>
          <w:szCs w:val="21"/>
        </w:rPr>
        <w:t>11）法律、法规和采购文件规定的其他无效情形。</w:t>
      </w:r>
    </w:p>
    <w:p w14:paraId="4748AAC1">
      <w:pPr>
        <w:spacing w:line="360" w:lineRule="auto"/>
        <w:ind w:firstLine="420" w:firstLineChars="200"/>
        <w:rPr>
          <w:rFonts w:hint="eastAsia" w:ascii="宋体" w:hAnsi="宋体" w:cs="宋体"/>
          <w:szCs w:val="21"/>
        </w:rPr>
      </w:pPr>
      <w:r>
        <w:rPr>
          <w:rFonts w:hint="eastAsia" w:ascii="宋体" w:hAnsi="宋体" w:cs="宋体"/>
          <w:szCs w:val="21"/>
        </w:rPr>
        <w:t>2.报价评审</w:t>
      </w:r>
    </w:p>
    <w:p w14:paraId="17A7B85D">
      <w:pPr>
        <w:spacing w:line="360" w:lineRule="auto"/>
        <w:ind w:firstLine="420" w:firstLineChars="200"/>
        <w:rPr>
          <w:rFonts w:hint="eastAsia" w:ascii="宋体" w:hAnsi="宋体" w:cs="宋体"/>
          <w:szCs w:val="21"/>
        </w:rPr>
      </w:pPr>
      <w:r>
        <w:rPr>
          <w:rFonts w:hint="eastAsia" w:ascii="宋体" w:hAnsi="宋体" w:cs="宋体"/>
          <w:szCs w:val="21"/>
        </w:rPr>
        <w:t>1）</w:t>
      </w:r>
      <w:r>
        <w:rPr>
          <w:rFonts w:ascii="宋体" w:hAnsi="宋体" w:cs="宋体"/>
          <w:szCs w:val="21"/>
        </w:rPr>
        <w:t xml:space="preserve"> </w:t>
      </w:r>
      <w:r>
        <w:rPr>
          <w:rFonts w:hint="eastAsia" w:ascii="宋体" w:hAnsi="宋体" w:cs="宋体"/>
          <w:szCs w:val="21"/>
        </w:rPr>
        <w:t>响应文件未提供采购文件中规定的“竞标报价表”；</w:t>
      </w:r>
    </w:p>
    <w:p w14:paraId="5EE8274C">
      <w:pPr>
        <w:spacing w:line="360" w:lineRule="auto"/>
        <w:ind w:firstLine="420" w:firstLineChars="200"/>
        <w:rPr>
          <w:rFonts w:hint="eastAsia" w:ascii="宋体" w:hAnsi="宋体" w:cs="宋体"/>
          <w:szCs w:val="21"/>
        </w:rPr>
      </w:pPr>
      <w:r>
        <w:rPr>
          <w:rFonts w:hint="eastAsia" w:ascii="宋体" w:hAnsi="宋体" w:cs="宋体"/>
          <w:szCs w:val="21"/>
        </w:rPr>
        <w:t>2）未采用人民币报价或者未按照采购文件标明的币种报价；</w:t>
      </w:r>
    </w:p>
    <w:p w14:paraId="1C340D8A">
      <w:pPr>
        <w:spacing w:line="360" w:lineRule="auto"/>
        <w:ind w:firstLine="420" w:firstLineChars="200"/>
        <w:rPr>
          <w:rFonts w:hint="eastAsia" w:ascii="宋体" w:hAnsi="宋体" w:cs="宋体"/>
          <w:szCs w:val="21"/>
        </w:rPr>
      </w:pPr>
      <w:r>
        <w:rPr>
          <w:rFonts w:hint="eastAsia" w:ascii="宋体" w:hAnsi="宋体" w:cs="宋体"/>
          <w:szCs w:val="21"/>
        </w:rPr>
        <w:t>3）供应商未就所竞标分标进行报价或者存在漏项报价；供应商未就所竞标分标的单项内容作唯一报价；供应商未就所竞标分标的全部内容作完整唯一总价报价；供应商响应文件中存在有选择、有条件报价的（采购文件允许有备选方案或者其他约定的除外）；</w:t>
      </w:r>
    </w:p>
    <w:p w14:paraId="65FBC8E1">
      <w:pPr>
        <w:spacing w:line="360" w:lineRule="auto"/>
        <w:ind w:firstLine="420" w:firstLineChars="200"/>
        <w:rPr>
          <w:rFonts w:hint="eastAsia" w:ascii="宋体" w:hAnsi="宋体" w:cs="宋体"/>
          <w:szCs w:val="21"/>
        </w:rPr>
      </w:pPr>
      <w:r>
        <w:rPr>
          <w:rFonts w:hint="eastAsia" w:ascii="宋体" w:hAnsi="宋体" w:cs="宋体"/>
          <w:szCs w:val="21"/>
        </w:rPr>
        <w:t>4）报价超过最高限价的（如本项目公布了最高限价）；</w:t>
      </w:r>
      <w:bookmarkStart w:id="29" w:name="_Hlk42596405"/>
      <w:r>
        <w:rPr>
          <w:rFonts w:hint="eastAsia" w:ascii="宋体" w:hAnsi="宋体" w:cs="宋体"/>
          <w:szCs w:val="21"/>
        </w:rPr>
        <w:t xml:space="preserve"> </w:t>
      </w:r>
      <w:bookmarkEnd w:id="29"/>
    </w:p>
    <w:p w14:paraId="667E1CE7">
      <w:pPr>
        <w:spacing w:line="360" w:lineRule="auto"/>
        <w:ind w:firstLine="420" w:firstLineChars="200"/>
        <w:rPr>
          <w:rFonts w:hint="eastAsia" w:ascii="宋体" w:hAnsi="宋体" w:cs="宋体"/>
          <w:szCs w:val="21"/>
        </w:rPr>
      </w:pPr>
      <w:r>
        <w:rPr>
          <w:rFonts w:hint="eastAsia" w:ascii="宋体" w:hAnsi="宋体" w:cs="宋体"/>
          <w:szCs w:val="21"/>
        </w:rPr>
        <w:t>5）修正后的报价，供应商不确认的；或者经供应商确认修正后的最后报价超过最高限价（如本项目公布了最高限价）；</w:t>
      </w:r>
    </w:p>
    <w:p w14:paraId="61C839F1">
      <w:pPr>
        <w:spacing w:line="360" w:lineRule="auto"/>
        <w:ind w:firstLine="420" w:firstLineChars="200"/>
        <w:rPr>
          <w:rFonts w:hint="eastAsia" w:ascii="宋体" w:hAnsi="宋体" w:cs="宋体"/>
          <w:szCs w:val="21"/>
        </w:rPr>
      </w:pPr>
      <w:r>
        <w:rPr>
          <w:rFonts w:hint="eastAsia" w:ascii="宋体" w:hAnsi="宋体" w:cs="宋体"/>
          <w:szCs w:val="21"/>
        </w:rPr>
        <w:t>6）</w:t>
      </w:r>
      <w:r>
        <w:rPr>
          <w:rFonts w:hint="eastAsia" w:ascii="宋体" w:hAnsi="宋体"/>
          <w:szCs w:val="21"/>
        </w:rPr>
        <w:t>响应文件响应的标的数量及单位与采购文件要求实质性不一致的。</w:t>
      </w:r>
    </w:p>
    <w:p w14:paraId="3F88750D">
      <w:pPr>
        <w:spacing w:line="360" w:lineRule="auto"/>
        <w:ind w:firstLine="482" w:firstLineChars="200"/>
        <w:rPr>
          <w:rFonts w:hint="eastAsia" w:ascii="黑体" w:hAnsi="黑体" w:eastAsia="黑体" w:cs="宋体"/>
          <w:b/>
          <w:bCs/>
          <w:sz w:val="24"/>
        </w:rPr>
      </w:pPr>
      <w:r>
        <w:rPr>
          <w:rFonts w:hint="eastAsia" w:ascii="黑体" w:hAnsi="黑体" w:eastAsia="黑体" w:cs="宋体"/>
          <w:b/>
          <w:bCs/>
          <w:sz w:val="24"/>
        </w:rPr>
        <w:t>三、比较与评价</w:t>
      </w:r>
    </w:p>
    <w:p w14:paraId="65C1551E">
      <w:pPr>
        <w:spacing w:line="360" w:lineRule="auto"/>
        <w:ind w:firstLine="420" w:firstLineChars="200"/>
        <w:rPr>
          <w:rFonts w:hint="eastAsia" w:ascii="宋体" w:hAnsi="宋体" w:cs="宋体"/>
          <w:szCs w:val="21"/>
        </w:rPr>
      </w:pPr>
      <w:r>
        <w:rPr>
          <w:rFonts w:hint="eastAsia" w:ascii="宋体" w:hAnsi="宋体" w:cs="宋体"/>
          <w:szCs w:val="21"/>
        </w:rPr>
        <w:t>（一）评审方法：综合评分法。</w:t>
      </w:r>
    </w:p>
    <w:p w14:paraId="26F669CB">
      <w:pPr>
        <w:spacing w:line="360" w:lineRule="auto"/>
        <w:ind w:firstLine="420" w:firstLineChars="200"/>
        <w:rPr>
          <w:rFonts w:hint="eastAsia" w:ascii="宋体" w:hAnsi="宋体" w:cs="宋体"/>
          <w:szCs w:val="21"/>
        </w:rPr>
      </w:pPr>
      <w:r>
        <w:rPr>
          <w:rFonts w:hint="eastAsia" w:ascii="宋体" w:hAnsi="宋体" w:cs="宋体"/>
          <w:szCs w:val="21"/>
        </w:rPr>
        <w:t>（二）由评审小组采用综合评分法对有效响应文件进行综合评分。</w:t>
      </w:r>
    </w:p>
    <w:p w14:paraId="2ACBFA8F">
      <w:pPr>
        <w:spacing w:line="360" w:lineRule="auto"/>
        <w:ind w:firstLine="420" w:firstLineChars="200"/>
        <w:rPr>
          <w:rFonts w:hint="eastAsia" w:ascii="宋体" w:hAnsi="宋体" w:cs="宋体"/>
          <w:szCs w:val="21"/>
        </w:rPr>
      </w:pPr>
      <w:r>
        <w:rPr>
          <w:rFonts w:hint="eastAsia" w:ascii="宋体" w:hAnsi="宋体" w:cs="宋体"/>
          <w:szCs w:val="21"/>
        </w:rPr>
        <w:t>（三）评审时，评审小组各成员应当对每个有效响应的文件进行评价、打分，然后汇总每个供应商每项评分因素的得分。</w:t>
      </w:r>
    </w:p>
    <w:p w14:paraId="4F904D41">
      <w:pPr>
        <w:spacing w:line="360" w:lineRule="auto"/>
        <w:ind w:firstLine="420" w:firstLineChars="200"/>
        <w:rPr>
          <w:rFonts w:hint="eastAsia" w:ascii="宋体" w:hAnsi="宋体" w:cs="宋体"/>
          <w:szCs w:val="21"/>
        </w:rPr>
      </w:pPr>
      <w:r>
        <w:rPr>
          <w:rFonts w:hint="eastAsia" w:ascii="宋体" w:hAnsi="宋体" w:cs="宋体"/>
          <w:szCs w:val="21"/>
        </w:rPr>
        <w:t>1.评审小组按照采购文件中规定的评审标准计算各供应商的报价得分。项目评审过程中，不得去掉最后报价中的最高报价和最低报价。</w:t>
      </w:r>
    </w:p>
    <w:p w14:paraId="5AE001F8">
      <w:pPr>
        <w:spacing w:line="360" w:lineRule="auto"/>
        <w:ind w:firstLine="420" w:firstLineChars="200"/>
        <w:rPr>
          <w:rFonts w:hint="eastAsia" w:ascii="宋体" w:hAnsi="宋体" w:cs="宋体"/>
          <w:szCs w:val="21"/>
        </w:rPr>
      </w:pPr>
      <w:r>
        <w:rPr>
          <w:rFonts w:hint="eastAsia" w:ascii="宋体" w:hAnsi="宋体" w:cs="宋体"/>
          <w:szCs w:val="21"/>
        </w:rPr>
        <w:t>2.以投标人的有效报价的算术平均值为基准价，报价与基准价的差取绝对值。</w:t>
      </w:r>
    </w:p>
    <w:p w14:paraId="6EE37C37">
      <w:pPr>
        <w:spacing w:line="360" w:lineRule="auto"/>
        <w:ind w:firstLine="420" w:firstLineChars="200"/>
        <w:rPr>
          <w:rFonts w:hint="eastAsia" w:ascii="宋体" w:hAnsi="宋体"/>
          <w:kern w:val="0"/>
          <w:szCs w:val="21"/>
        </w:rPr>
      </w:pPr>
      <w:r>
        <w:rPr>
          <w:rFonts w:hint="eastAsia" w:ascii="宋体" w:hAnsi="宋体" w:cs="宋体"/>
          <w:szCs w:val="21"/>
        </w:rPr>
        <w:t>（四）由评审小组根据综合评分情况，按照评审得分由高到低顺序推荐3名成交候选供应商，并编写评</w:t>
      </w:r>
      <w:r>
        <w:rPr>
          <w:rFonts w:hint="eastAsia" w:ascii="宋体" w:hAnsi="宋体"/>
          <w:kern w:val="0"/>
          <w:szCs w:val="21"/>
        </w:rPr>
        <w:t>审报告。评审得分相同的，按照最后报价由低到高的顺序推荐。</w:t>
      </w:r>
    </w:p>
    <w:p w14:paraId="3C130F51">
      <w:pPr>
        <w:spacing w:line="360" w:lineRule="auto"/>
        <w:ind w:firstLine="420" w:firstLineChars="200"/>
        <w:rPr>
          <w:rFonts w:hint="eastAsia" w:ascii="宋体" w:hAnsi="宋体" w:cs="宋体"/>
          <w:szCs w:val="21"/>
        </w:rPr>
      </w:pPr>
      <w:r>
        <w:rPr>
          <w:rFonts w:hint="eastAsia" w:ascii="宋体" w:hAnsi="宋体"/>
          <w:kern w:val="0"/>
          <w:szCs w:val="21"/>
        </w:rPr>
        <w:t>（五）评审报告应当由评审小组全体人员签字认可。评审小组成员对评审报告有异议的，评审小组按照少数服从多数的原则推荐成交候选供应商，采购程序继续进行。对评审报告有异议的评审小组成员，应当在报告上签署不同意见并说明理由，由评审小组书面记录相关情况。评审小组成员拒绝在报告上签字又不书面说明其不同意见和理由的，视为同意评审报告。</w:t>
      </w:r>
    </w:p>
    <w:p w14:paraId="4B228AB3">
      <w:pPr>
        <w:widowControl/>
        <w:spacing w:line="360" w:lineRule="auto"/>
        <w:jc w:val="center"/>
        <w:outlineLvl w:val="1"/>
        <w:rPr>
          <w:rFonts w:hint="eastAsia" w:ascii="宋体" w:hAnsi="宋体"/>
          <w:b/>
          <w:sz w:val="24"/>
        </w:rPr>
      </w:pPr>
      <w:r>
        <w:rPr>
          <w:rFonts w:ascii="宋体" w:hAnsi="宋体"/>
          <w:b/>
          <w:sz w:val="32"/>
          <w:szCs w:val="32"/>
        </w:rPr>
        <w:br w:type="page"/>
      </w:r>
      <w:bookmarkStart w:id="30" w:name="_Toc2435"/>
      <w:bookmarkStart w:id="31" w:name="_Toc7508"/>
      <w:bookmarkStart w:id="32" w:name="_Toc8537"/>
      <w:r>
        <w:rPr>
          <w:rFonts w:hint="eastAsia" w:ascii="宋体" w:hAnsi="宋体"/>
          <w:b/>
          <w:sz w:val="24"/>
        </w:rPr>
        <w:t>第二节  评审标准</w:t>
      </w:r>
      <w:bookmarkEnd w:id="30"/>
      <w:bookmarkEnd w:id="31"/>
      <w:bookmarkEnd w:id="32"/>
    </w:p>
    <w:p w14:paraId="53E2344D">
      <w:pPr>
        <w:spacing w:line="360" w:lineRule="auto"/>
        <w:ind w:firstLine="420" w:firstLineChars="200"/>
        <w:rPr>
          <w:rFonts w:hint="eastAsia" w:ascii="宋体" w:hAnsi="宋体"/>
          <w:bCs/>
          <w:szCs w:val="21"/>
        </w:rPr>
      </w:pPr>
      <w:r>
        <w:rPr>
          <w:rFonts w:hint="eastAsia" w:ascii="宋体" w:hAnsi="宋体"/>
          <w:bCs/>
          <w:szCs w:val="21"/>
        </w:rPr>
        <w:t>评审小组将以采购文件为评审依据，对供应商的报价、技术、商务等方面内容按百分制打分。（计分方法按四舍五入取至百分位）</w:t>
      </w:r>
    </w:p>
    <w:tbl>
      <w:tblPr>
        <w:tblStyle w:val="25"/>
        <w:tblW w:w="9118" w:type="dxa"/>
        <w:jc w:val="center"/>
        <w:tblLayout w:type="fixed"/>
        <w:tblCellMar>
          <w:top w:w="28" w:type="dxa"/>
          <w:left w:w="28" w:type="dxa"/>
          <w:bottom w:w="28" w:type="dxa"/>
          <w:right w:w="28" w:type="dxa"/>
        </w:tblCellMar>
      </w:tblPr>
      <w:tblGrid>
        <w:gridCol w:w="592"/>
        <w:gridCol w:w="1671"/>
        <w:gridCol w:w="6855"/>
      </w:tblGrid>
      <w:tr w14:paraId="57C83916">
        <w:tblPrEx>
          <w:tblCellMar>
            <w:top w:w="28" w:type="dxa"/>
            <w:left w:w="28" w:type="dxa"/>
            <w:bottom w:w="28" w:type="dxa"/>
            <w:right w:w="28" w:type="dxa"/>
          </w:tblCellMar>
        </w:tblPrEx>
        <w:trPr>
          <w:trHeight w:val="461" w:hRule="atLeast"/>
          <w:jc w:val="center"/>
        </w:trPr>
        <w:tc>
          <w:tcPr>
            <w:tcW w:w="592" w:type="dxa"/>
            <w:tcBorders>
              <w:top w:val="single" w:color="000000" w:sz="4" w:space="0"/>
              <w:left w:val="single" w:color="000000" w:sz="4" w:space="0"/>
              <w:bottom w:val="single" w:color="000000" w:sz="4" w:space="0"/>
              <w:right w:val="single" w:color="000000" w:sz="4" w:space="0"/>
            </w:tcBorders>
            <w:vAlign w:val="center"/>
          </w:tcPr>
          <w:p w14:paraId="2D5A6263">
            <w:pPr>
              <w:spacing w:line="240" w:lineRule="atLeast"/>
              <w:jc w:val="center"/>
              <w:rPr>
                <w:rFonts w:hint="eastAsia" w:ascii="宋体" w:hAnsi="宋体" w:cs="宋体"/>
                <w:b/>
                <w:bCs/>
                <w:szCs w:val="21"/>
              </w:rPr>
            </w:pPr>
            <w:r>
              <w:rPr>
                <w:rFonts w:hint="eastAsia" w:ascii="宋体" w:hAnsi="宋体" w:cs="宋体"/>
                <w:b/>
                <w:bCs/>
                <w:szCs w:val="21"/>
              </w:rPr>
              <w:t>序号</w:t>
            </w:r>
          </w:p>
        </w:tc>
        <w:tc>
          <w:tcPr>
            <w:tcW w:w="1671" w:type="dxa"/>
            <w:tcBorders>
              <w:top w:val="single" w:color="000000" w:sz="4" w:space="0"/>
              <w:left w:val="single" w:color="000000" w:sz="4" w:space="0"/>
              <w:bottom w:val="single" w:color="000000" w:sz="4" w:space="0"/>
              <w:right w:val="single" w:color="000000" w:sz="4" w:space="0"/>
            </w:tcBorders>
            <w:vAlign w:val="center"/>
          </w:tcPr>
          <w:p w14:paraId="2DEE208A">
            <w:pPr>
              <w:widowControl/>
              <w:spacing w:line="240" w:lineRule="atLeast"/>
              <w:jc w:val="center"/>
              <w:textAlignment w:val="center"/>
              <w:rPr>
                <w:rFonts w:hint="eastAsia" w:ascii="宋体" w:hAnsi="宋体" w:cs="宋体"/>
                <w:b/>
                <w:bCs/>
                <w:szCs w:val="21"/>
              </w:rPr>
            </w:pPr>
            <w:r>
              <w:rPr>
                <w:rFonts w:hint="eastAsia" w:ascii="宋体" w:hAnsi="宋体" w:cs="宋体"/>
                <w:b/>
                <w:bCs/>
                <w:szCs w:val="21"/>
              </w:rPr>
              <w:t>评审因素</w:t>
            </w:r>
          </w:p>
        </w:tc>
        <w:tc>
          <w:tcPr>
            <w:tcW w:w="6855" w:type="dxa"/>
            <w:tcBorders>
              <w:top w:val="single" w:color="000000" w:sz="4" w:space="0"/>
              <w:left w:val="single" w:color="000000" w:sz="4" w:space="0"/>
              <w:bottom w:val="single" w:color="000000" w:sz="4" w:space="0"/>
              <w:right w:val="single" w:color="000000" w:sz="4" w:space="0"/>
            </w:tcBorders>
            <w:vAlign w:val="center"/>
          </w:tcPr>
          <w:p w14:paraId="06B3B197">
            <w:pPr>
              <w:widowControl/>
              <w:spacing w:line="240" w:lineRule="atLeast"/>
              <w:jc w:val="center"/>
              <w:textAlignment w:val="center"/>
              <w:rPr>
                <w:rFonts w:hint="eastAsia" w:ascii="宋体" w:hAnsi="宋体" w:cs="宋体"/>
                <w:b/>
                <w:bCs/>
                <w:szCs w:val="21"/>
              </w:rPr>
            </w:pPr>
            <w:r>
              <w:rPr>
                <w:rFonts w:hint="eastAsia" w:ascii="宋体" w:hAnsi="宋体" w:cs="宋体"/>
                <w:b/>
                <w:bCs/>
                <w:szCs w:val="21"/>
              </w:rPr>
              <w:t>评审标准</w:t>
            </w:r>
          </w:p>
        </w:tc>
      </w:tr>
      <w:tr w14:paraId="6DC9C990">
        <w:tblPrEx>
          <w:tblCellMar>
            <w:top w:w="28" w:type="dxa"/>
            <w:left w:w="28" w:type="dxa"/>
            <w:bottom w:w="28" w:type="dxa"/>
            <w:right w:w="28" w:type="dxa"/>
          </w:tblCellMar>
        </w:tblPrEx>
        <w:trPr>
          <w:trHeight w:val="1647" w:hRule="atLeast"/>
          <w:jc w:val="center"/>
        </w:trPr>
        <w:tc>
          <w:tcPr>
            <w:tcW w:w="592" w:type="dxa"/>
            <w:tcBorders>
              <w:top w:val="single" w:color="000000" w:sz="4" w:space="0"/>
              <w:left w:val="single" w:color="000000" w:sz="4" w:space="0"/>
              <w:bottom w:val="single" w:color="000000" w:sz="4" w:space="0"/>
              <w:right w:val="single" w:color="000000" w:sz="4" w:space="0"/>
            </w:tcBorders>
            <w:vAlign w:val="center"/>
          </w:tcPr>
          <w:p w14:paraId="46581955">
            <w:pPr>
              <w:spacing w:line="240" w:lineRule="atLeast"/>
              <w:jc w:val="center"/>
              <w:rPr>
                <w:rFonts w:hint="eastAsia" w:ascii="宋体" w:hAnsi="宋体" w:cs="宋体"/>
                <w:szCs w:val="21"/>
              </w:rPr>
            </w:pPr>
            <w:r>
              <w:rPr>
                <w:rFonts w:hint="eastAsia" w:ascii="宋体" w:hAnsi="宋体" w:cs="宋体"/>
                <w:szCs w:val="21"/>
              </w:rPr>
              <w:t>一</w:t>
            </w:r>
          </w:p>
        </w:tc>
        <w:tc>
          <w:tcPr>
            <w:tcW w:w="1671" w:type="dxa"/>
            <w:tcBorders>
              <w:top w:val="single" w:color="000000" w:sz="4" w:space="0"/>
              <w:left w:val="single" w:color="000000" w:sz="4" w:space="0"/>
              <w:bottom w:val="single" w:color="000000" w:sz="4" w:space="0"/>
              <w:right w:val="single" w:color="000000" w:sz="4" w:space="0"/>
            </w:tcBorders>
            <w:vAlign w:val="center"/>
          </w:tcPr>
          <w:p w14:paraId="0FD95011">
            <w:pPr>
              <w:widowControl/>
              <w:spacing w:line="240" w:lineRule="atLeast"/>
              <w:jc w:val="center"/>
              <w:textAlignment w:val="center"/>
              <w:rPr>
                <w:rFonts w:hint="eastAsia" w:ascii="宋体" w:hAnsi="宋体" w:cs="宋体"/>
                <w:szCs w:val="21"/>
              </w:rPr>
            </w:pPr>
            <w:r>
              <w:rPr>
                <w:rFonts w:hint="eastAsia" w:ascii="宋体" w:hAnsi="宋体" w:cs="宋体"/>
                <w:szCs w:val="21"/>
              </w:rPr>
              <w:t>价格</w:t>
            </w:r>
          </w:p>
          <w:p w14:paraId="2348163E">
            <w:pPr>
              <w:widowControl/>
              <w:spacing w:line="240" w:lineRule="atLeast"/>
              <w:jc w:val="center"/>
              <w:textAlignment w:val="center"/>
              <w:rPr>
                <w:rFonts w:hint="eastAsia" w:ascii="宋体" w:hAnsi="宋体" w:cs="宋体"/>
                <w:szCs w:val="21"/>
              </w:rPr>
            </w:pPr>
            <w:r>
              <w:rPr>
                <w:rFonts w:hint="eastAsia" w:ascii="宋体" w:hAnsi="宋体" w:cs="宋体"/>
                <w:szCs w:val="21"/>
              </w:rPr>
              <w:t>（满分</w:t>
            </w:r>
            <w:r>
              <w:rPr>
                <w:rFonts w:hint="eastAsia" w:ascii="宋体" w:hAnsi="宋体" w:cs="宋体"/>
                <w:szCs w:val="21"/>
                <w:lang w:val="en-US" w:eastAsia="zh-CN"/>
              </w:rPr>
              <w:t>15</w:t>
            </w:r>
            <w:r>
              <w:rPr>
                <w:rFonts w:hint="eastAsia" w:ascii="宋体" w:hAnsi="宋体" w:cs="宋体"/>
                <w:szCs w:val="21"/>
              </w:rPr>
              <w:t>分）</w:t>
            </w:r>
          </w:p>
        </w:tc>
        <w:tc>
          <w:tcPr>
            <w:tcW w:w="6855" w:type="dxa"/>
            <w:tcBorders>
              <w:top w:val="single" w:color="000000" w:sz="4" w:space="0"/>
              <w:left w:val="single" w:color="000000" w:sz="4" w:space="0"/>
              <w:bottom w:val="single" w:color="000000" w:sz="4" w:space="0"/>
              <w:right w:val="single" w:color="000000" w:sz="4" w:space="0"/>
            </w:tcBorders>
            <w:vAlign w:val="center"/>
          </w:tcPr>
          <w:p w14:paraId="0239A424">
            <w:pPr>
              <w:widowControl/>
              <w:spacing w:line="240" w:lineRule="atLeast"/>
              <w:ind w:firstLine="420" w:firstLineChars="200"/>
              <w:textAlignment w:val="center"/>
              <w:rPr>
                <w:rFonts w:hint="eastAsia" w:ascii="宋体" w:hAnsi="宋体" w:cs="宋体"/>
                <w:szCs w:val="21"/>
              </w:rPr>
            </w:pPr>
            <w:r>
              <w:rPr>
                <w:rFonts w:hint="eastAsia" w:ascii="宋体" w:hAnsi="宋体" w:cs="宋体"/>
                <w:szCs w:val="21"/>
              </w:rPr>
              <w:t>有效报价为：供应商的报价未超出最高限价，且供应商符合参与条件要求。</w:t>
            </w:r>
          </w:p>
          <w:p w14:paraId="22B64D86">
            <w:pPr>
              <w:widowControl/>
              <w:spacing w:line="240" w:lineRule="atLeast"/>
              <w:ind w:firstLine="420" w:firstLineChars="200"/>
              <w:textAlignment w:val="center"/>
              <w:rPr>
                <w:rFonts w:hint="eastAsia" w:ascii="宋体" w:hAnsi="宋体" w:cs="宋体"/>
                <w:szCs w:val="21"/>
              </w:rPr>
            </w:pPr>
            <w:r>
              <w:rPr>
                <w:rFonts w:hint="eastAsia" w:ascii="宋体" w:hAnsi="宋体" w:cs="宋体"/>
                <w:szCs w:val="21"/>
              </w:rPr>
              <w:t>价格分计算公式：所有有效报价中的最低价为评标基准价，各供应商报价得分=评标基准价/投标人投标报价×15。</w:t>
            </w:r>
          </w:p>
          <w:p w14:paraId="4CDECBBD">
            <w:pPr>
              <w:widowControl/>
              <w:spacing w:line="240" w:lineRule="atLeast"/>
              <w:ind w:firstLine="420" w:firstLineChars="200"/>
              <w:textAlignment w:val="center"/>
              <w:rPr>
                <w:rFonts w:hint="eastAsia" w:ascii="宋体" w:hAnsi="宋体" w:cs="宋体"/>
                <w:szCs w:val="21"/>
              </w:rPr>
            </w:pPr>
            <w:r>
              <w:rPr>
                <w:rFonts w:hint="eastAsia" w:ascii="宋体" w:hAnsi="宋体" w:cs="宋体"/>
                <w:szCs w:val="21"/>
              </w:rPr>
              <w:t>注：分数取小数点后两位。</w:t>
            </w:r>
          </w:p>
        </w:tc>
      </w:tr>
      <w:tr w14:paraId="003FDCA8">
        <w:tblPrEx>
          <w:tblCellMar>
            <w:top w:w="28" w:type="dxa"/>
            <w:left w:w="28" w:type="dxa"/>
            <w:bottom w:w="28" w:type="dxa"/>
            <w:right w:w="28" w:type="dxa"/>
          </w:tblCellMar>
        </w:tblPrEx>
        <w:trPr>
          <w:trHeight w:val="1508" w:hRule="atLeast"/>
          <w:jc w:val="center"/>
        </w:trPr>
        <w:tc>
          <w:tcPr>
            <w:tcW w:w="592" w:type="dxa"/>
            <w:tcBorders>
              <w:top w:val="single" w:color="000000" w:sz="4" w:space="0"/>
              <w:left w:val="single" w:color="000000" w:sz="4" w:space="0"/>
              <w:bottom w:val="single" w:color="auto" w:sz="4" w:space="0"/>
              <w:right w:val="single" w:color="auto" w:sz="4" w:space="0"/>
            </w:tcBorders>
            <w:vAlign w:val="center"/>
          </w:tcPr>
          <w:p w14:paraId="3AE3DE5D">
            <w:pPr>
              <w:widowControl/>
              <w:spacing w:line="240" w:lineRule="atLeast"/>
              <w:jc w:val="center"/>
              <w:textAlignment w:val="center"/>
              <w:rPr>
                <w:rFonts w:hint="eastAsia" w:ascii="宋体" w:hAnsi="宋体" w:cs="宋体"/>
                <w:szCs w:val="21"/>
              </w:rPr>
            </w:pPr>
            <w:r>
              <w:rPr>
                <w:rFonts w:hint="eastAsia" w:ascii="宋体" w:hAnsi="宋体" w:cs="宋体"/>
                <w:szCs w:val="21"/>
              </w:rPr>
              <w:t>二</w:t>
            </w:r>
          </w:p>
        </w:tc>
        <w:tc>
          <w:tcPr>
            <w:tcW w:w="1671" w:type="dxa"/>
            <w:tcBorders>
              <w:top w:val="single" w:color="000000" w:sz="4" w:space="0"/>
              <w:left w:val="single" w:color="auto" w:sz="4" w:space="0"/>
              <w:bottom w:val="single" w:color="000000" w:sz="4" w:space="0"/>
              <w:right w:val="single" w:color="000000" w:sz="4" w:space="0"/>
            </w:tcBorders>
            <w:vAlign w:val="center"/>
          </w:tcPr>
          <w:p w14:paraId="7A5A8038">
            <w:pPr>
              <w:widowControl/>
              <w:spacing w:line="240" w:lineRule="atLeast"/>
              <w:jc w:val="center"/>
              <w:textAlignment w:val="center"/>
              <w:rPr>
                <w:rFonts w:hint="eastAsia" w:ascii="宋体" w:hAnsi="宋体" w:cs="宋体"/>
                <w:szCs w:val="21"/>
              </w:rPr>
            </w:pPr>
            <w:r>
              <w:rPr>
                <w:rFonts w:hint="eastAsia" w:ascii="宋体" w:hAnsi="宋体" w:cs="宋体"/>
                <w:szCs w:val="21"/>
              </w:rPr>
              <w:t>资信业绩</w:t>
            </w:r>
          </w:p>
          <w:p w14:paraId="79FA1545">
            <w:pPr>
              <w:widowControl/>
              <w:spacing w:line="240" w:lineRule="atLeast"/>
              <w:jc w:val="center"/>
              <w:textAlignment w:val="center"/>
              <w:rPr>
                <w:rFonts w:hint="eastAsia" w:ascii="宋体" w:hAnsi="宋体" w:cs="宋体"/>
                <w:szCs w:val="21"/>
              </w:rPr>
            </w:pPr>
            <w:r>
              <w:rPr>
                <w:rFonts w:hint="eastAsia" w:ascii="宋体" w:hAnsi="宋体" w:cs="宋体"/>
                <w:szCs w:val="21"/>
              </w:rPr>
              <w:t>（满分</w:t>
            </w:r>
            <w:r>
              <w:rPr>
                <w:rFonts w:ascii="宋体" w:hAnsi="宋体" w:cs="宋体"/>
                <w:szCs w:val="21"/>
              </w:rPr>
              <w:t>2</w:t>
            </w:r>
            <w:r>
              <w:rPr>
                <w:rFonts w:hint="eastAsia" w:ascii="宋体" w:hAnsi="宋体" w:cs="宋体"/>
                <w:szCs w:val="21"/>
                <w:lang w:val="en-US" w:eastAsia="zh-CN"/>
              </w:rPr>
              <w:t>5</w:t>
            </w:r>
            <w:r>
              <w:rPr>
                <w:rFonts w:hint="eastAsia" w:ascii="宋体" w:hAnsi="宋体" w:cs="宋体"/>
                <w:szCs w:val="21"/>
              </w:rPr>
              <w:t>分）</w:t>
            </w:r>
          </w:p>
        </w:tc>
        <w:tc>
          <w:tcPr>
            <w:tcW w:w="6855" w:type="dxa"/>
            <w:tcBorders>
              <w:top w:val="nil"/>
              <w:left w:val="single" w:color="000000" w:sz="4" w:space="0"/>
              <w:bottom w:val="single" w:color="000000" w:sz="4" w:space="0"/>
              <w:right w:val="single" w:color="000000" w:sz="4" w:space="0"/>
            </w:tcBorders>
            <w:vAlign w:val="center"/>
          </w:tcPr>
          <w:p w14:paraId="3EE05891">
            <w:pPr>
              <w:pStyle w:val="4"/>
              <w:ind w:firstLine="210"/>
              <w:rPr>
                <w:kern w:val="2"/>
                <w:sz w:val="21"/>
                <w:szCs w:val="21"/>
              </w:rPr>
            </w:pPr>
            <w:r>
              <w:rPr>
                <w:rFonts w:hint="eastAsia"/>
                <w:kern w:val="2"/>
                <w:sz w:val="21"/>
                <w:szCs w:val="21"/>
              </w:rPr>
              <w:t>1.（1）2021年1月1日至今投标人</w:t>
            </w:r>
            <w:bookmarkStart w:id="33" w:name="OLE_LINK1"/>
            <w:r>
              <w:rPr>
                <w:rFonts w:hint="eastAsia"/>
                <w:kern w:val="2"/>
                <w:sz w:val="21"/>
                <w:szCs w:val="21"/>
              </w:rPr>
              <w:t>承担过</w:t>
            </w:r>
            <w:bookmarkEnd w:id="33"/>
            <w:r>
              <w:rPr>
                <w:rFonts w:hint="eastAsia"/>
                <w:kern w:val="2"/>
                <w:sz w:val="21"/>
                <w:szCs w:val="21"/>
              </w:rPr>
              <w:t>类似项目（1000吨级及以上内河航道工程的测量业绩）的，每项得1分，最多分4分。</w:t>
            </w:r>
            <w:bookmarkStart w:id="34" w:name="OLE_LINK5"/>
            <w:r>
              <w:rPr>
                <w:rFonts w:hint="eastAsia"/>
                <w:kern w:val="2"/>
                <w:sz w:val="21"/>
                <w:szCs w:val="21"/>
              </w:rPr>
              <w:t>（注：同一项目的不同阶段的地形测量业绩仅计一次，不重复计分；附有效合同复印件（或彩色扫描件）、</w:t>
            </w:r>
            <w:bookmarkStart w:id="35" w:name="OLE_LINK3"/>
            <w:r>
              <w:rPr>
                <w:rFonts w:hint="eastAsia"/>
                <w:kern w:val="2"/>
                <w:sz w:val="21"/>
                <w:szCs w:val="21"/>
              </w:rPr>
              <w:t>成果验收会议纪要</w:t>
            </w:r>
            <w:bookmarkStart w:id="36" w:name="OLE_LINK4"/>
            <w:r>
              <w:rPr>
                <w:rFonts w:hint="eastAsia"/>
                <w:kern w:val="2"/>
                <w:sz w:val="21"/>
                <w:szCs w:val="21"/>
              </w:rPr>
              <w:t>（或成果验收专家组意见</w:t>
            </w:r>
            <w:bookmarkEnd w:id="35"/>
            <w:r>
              <w:rPr>
                <w:rFonts w:hint="eastAsia"/>
                <w:kern w:val="2"/>
                <w:sz w:val="21"/>
                <w:szCs w:val="21"/>
              </w:rPr>
              <w:t>）</w:t>
            </w:r>
            <w:bookmarkEnd w:id="36"/>
            <w:r>
              <w:rPr>
                <w:rFonts w:hint="eastAsia"/>
                <w:kern w:val="2"/>
                <w:sz w:val="21"/>
                <w:szCs w:val="21"/>
              </w:rPr>
              <w:t>，业绩的规模认定以合同或批复为准，业绩时间以成果验收会议纪要或勘察成果验收专家组意见时间为准。业绩需提供合同和测量成果验收会议纪要（或成果验收专家组意见）复印件作为评审依据，证明材料均加盖公章。）</w:t>
            </w:r>
          </w:p>
          <w:bookmarkEnd w:id="34"/>
          <w:p w14:paraId="68916545">
            <w:pPr>
              <w:pStyle w:val="4"/>
              <w:ind w:firstLine="210"/>
              <w:rPr>
                <w:kern w:val="2"/>
                <w:sz w:val="21"/>
                <w:szCs w:val="21"/>
              </w:rPr>
            </w:pPr>
            <w:r>
              <w:rPr>
                <w:rFonts w:hint="eastAsia"/>
                <w:kern w:val="2"/>
                <w:sz w:val="21"/>
                <w:szCs w:val="21"/>
              </w:rPr>
              <w:t>（2）2021年1月1日至今投标人承担过类似项目（内河航道工程工可或设计业绩）的，每项得1.5分，最高分6分。（注：同一项目的不同阶段的工可或设计仅计一次，不重复计分；附有效合同复印件</w:t>
            </w:r>
            <w:bookmarkStart w:id="37" w:name="OLE_LINK6"/>
            <w:r>
              <w:rPr>
                <w:rFonts w:hint="eastAsia"/>
                <w:kern w:val="2"/>
                <w:sz w:val="21"/>
                <w:szCs w:val="21"/>
              </w:rPr>
              <w:t>（或彩色扫描件）</w:t>
            </w:r>
            <w:bookmarkEnd w:id="37"/>
            <w:r>
              <w:rPr>
                <w:rFonts w:hint="eastAsia"/>
                <w:kern w:val="2"/>
                <w:sz w:val="21"/>
                <w:szCs w:val="21"/>
              </w:rPr>
              <w:t>、工可或设计批复，业绩的规模认定以合同或批复为准，业绩时间以批复时间为准。业绩需提供合同和批复复印件（或彩色扫描件）作为评审依据，证明材料均加盖公章。）</w:t>
            </w:r>
          </w:p>
          <w:p w14:paraId="70A5107E">
            <w:pPr>
              <w:pStyle w:val="4"/>
              <w:ind w:firstLine="210"/>
              <w:rPr>
                <w:kern w:val="2"/>
                <w:sz w:val="21"/>
                <w:szCs w:val="21"/>
              </w:rPr>
            </w:pPr>
            <w:r>
              <w:rPr>
                <w:rFonts w:hint="eastAsia"/>
                <w:kern w:val="2"/>
                <w:sz w:val="21"/>
                <w:szCs w:val="21"/>
              </w:rPr>
              <w:t>2. 投标人</w:t>
            </w:r>
            <w:r>
              <w:rPr>
                <w:rFonts w:hint="eastAsia"/>
                <w:kern w:val="2"/>
                <w:sz w:val="21"/>
                <w:szCs w:val="21"/>
                <w:lang w:eastAsia="zh-CN"/>
              </w:rPr>
              <w:t>仅</w:t>
            </w:r>
            <w:r>
              <w:rPr>
                <w:rFonts w:hint="eastAsia"/>
                <w:kern w:val="2"/>
                <w:sz w:val="21"/>
                <w:szCs w:val="21"/>
              </w:rPr>
              <w:t>具有有效的工程勘察综合甲级资质证书</w:t>
            </w:r>
            <w:r>
              <w:rPr>
                <w:rFonts w:hint="eastAsia"/>
                <w:kern w:val="2"/>
                <w:sz w:val="21"/>
                <w:szCs w:val="21"/>
                <w:lang w:eastAsia="zh-CN"/>
              </w:rPr>
              <w:t>或仅</w:t>
            </w:r>
            <w:r>
              <w:rPr>
                <w:rFonts w:hint="eastAsia"/>
                <w:kern w:val="2"/>
                <w:sz w:val="21"/>
                <w:szCs w:val="21"/>
              </w:rPr>
              <w:t>具有自然资源部颁发的海洋测绘甲级资质证书的，得</w:t>
            </w:r>
            <w:r>
              <w:rPr>
                <w:rFonts w:hint="eastAsia"/>
                <w:kern w:val="2"/>
                <w:sz w:val="21"/>
                <w:szCs w:val="21"/>
                <w:lang w:val="en-US" w:eastAsia="zh-CN"/>
              </w:rPr>
              <w:t>1</w:t>
            </w:r>
            <w:r>
              <w:rPr>
                <w:rFonts w:hint="eastAsia"/>
                <w:kern w:val="2"/>
                <w:sz w:val="21"/>
                <w:szCs w:val="21"/>
              </w:rPr>
              <w:t>分</w:t>
            </w:r>
            <w:r>
              <w:rPr>
                <w:rFonts w:hint="eastAsia"/>
                <w:kern w:val="2"/>
                <w:sz w:val="21"/>
                <w:szCs w:val="21"/>
                <w:lang w:eastAsia="zh-CN"/>
              </w:rPr>
              <w:t>；</w:t>
            </w:r>
            <w:r>
              <w:rPr>
                <w:rFonts w:hint="eastAsia"/>
                <w:kern w:val="2"/>
                <w:sz w:val="21"/>
                <w:szCs w:val="21"/>
              </w:rPr>
              <w:t xml:space="preserve">投标人同时具有有效的工程勘察综合甲级资质证书和自然资源部颁发的海洋测绘甲级资质证书的，得2分 </w:t>
            </w:r>
            <w:r>
              <w:rPr>
                <w:rFonts w:hint="eastAsia"/>
                <w:kern w:val="2"/>
                <w:sz w:val="21"/>
                <w:szCs w:val="21"/>
                <w:lang w:eastAsia="zh-CN"/>
              </w:rPr>
              <w:t>。本项</w:t>
            </w:r>
            <w:r>
              <w:rPr>
                <w:rFonts w:hint="eastAsia"/>
                <w:kern w:val="2"/>
                <w:sz w:val="21"/>
                <w:szCs w:val="21"/>
              </w:rPr>
              <w:t>满分2分。</w:t>
            </w:r>
          </w:p>
          <w:p w14:paraId="2BE15806">
            <w:pPr>
              <w:pStyle w:val="4"/>
              <w:ind w:firstLine="210"/>
              <w:rPr>
                <w:kern w:val="2"/>
                <w:sz w:val="21"/>
                <w:szCs w:val="21"/>
              </w:rPr>
            </w:pPr>
            <w:r>
              <w:rPr>
                <w:rFonts w:hint="eastAsia"/>
                <w:kern w:val="2"/>
                <w:sz w:val="21"/>
                <w:szCs w:val="21"/>
              </w:rPr>
              <w:t>3. 投标人自2021年1月1日以来承担过的内河航道工程项目</w:t>
            </w:r>
            <w:r>
              <w:rPr>
                <w:rFonts w:hint="eastAsia"/>
                <w:kern w:val="2"/>
                <w:sz w:val="21"/>
                <w:szCs w:val="21"/>
                <w:lang w:eastAsia="zh-CN"/>
              </w:rPr>
              <w:t>，</w:t>
            </w:r>
            <w:r>
              <w:rPr>
                <w:rFonts w:hint="eastAsia"/>
                <w:kern w:val="2"/>
                <w:sz w:val="21"/>
                <w:szCs w:val="21"/>
              </w:rPr>
              <w:t>每获得一项省部级以上优秀勘察或咨询或设计成果奖项的，得0.5分，最多得3分。（奖项时间认定以获奖时间为准，须提供获奖证书或证明材料复印件（或彩色扫描件），未按要求提供相关证明材料的不得分。）</w:t>
            </w:r>
          </w:p>
          <w:p w14:paraId="510F7BE3">
            <w:pPr>
              <w:pStyle w:val="4"/>
              <w:ind w:firstLine="0" w:firstLineChars="0"/>
              <w:rPr>
                <w:rFonts w:hint="eastAsia"/>
                <w:kern w:val="2"/>
                <w:sz w:val="21"/>
                <w:szCs w:val="21"/>
              </w:rPr>
            </w:pPr>
            <w:r>
              <w:rPr>
                <w:rFonts w:hint="eastAsia"/>
                <w:kern w:val="2"/>
                <w:sz w:val="21"/>
                <w:szCs w:val="21"/>
              </w:rPr>
              <w:t>4. 投标人2024年度获得水运建设市场设计企业信用评价为A级</w:t>
            </w:r>
            <w:r>
              <w:rPr>
                <w:rFonts w:hint="eastAsia"/>
                <w:kern w:val="2"/>
                <w:sz w:val="21"/>
                <w:szCs w:val="21"/>
                <w:lang w:eastAsia="zh-CN"/>
              </w:rPr>
              <w:t>的</w:t>
            </w:r>
            <w:r>
              <w:rPr>
                <w:rFonts w:hint="eastAsia"/>
                <w:kern w:val="2"/>
                <w:sz w:val="21"/>
                <w:szCs w:val="21"/>
              </w:rPr>
              <w:t>，得2分</w:t>
            </w:r>
            <w:r>
              <w:rPr>
                <w:rFonts w:hint="eastAsia"/>
                <w:kern w:val="2"/>
                <w:sz w:val="21"/>
                <w:szCs w:val="21"/>
                <w:lang w:eastAsia="zh-CN"/>
              </w:rPr>
              <w:t>；</w:t>
            </w:r>
            <w:r>
              <w:rPr>
                <w:rFonts w:hint="eastAsia"/>
                <w:kern w:val="2"/>
                <w:sz w:val="21"/>
                <w:szCs w:val="21"/>
              </w:rPr>
              <w:t>信用评AA级，得4分；其他等级或无等级，得0分。本项满分4分。</w:t>
            </w:r>
          </w:p>
          <w:p w14:paraId="09D8CD4D">
            <w:pPr>
              <w:pStyle w:val="4"/>
              <w:ind w:firstLine="0" w:firstLineChars="0"/>
            </w:pPr>
            <w:r>
              <w:rPr>
                <w:rFonts w:hint="eastAsia"/>
                <w:kern w:val="2"/>
                <w:sz w:val="21"/>
                <w:szCs w:val="21"/>
                <w:lang w:eastAsia="zh-CN"/>
              </w:rPr>
              <w:t>注：</w:t>
            </w:r>
            <w:r>
              <w:rPr>
                <w:rFonts w:hint="eastAsia"/>
                <w:kern w:val="2"/>
                <w:sz w:val="21"/>
                <w:szCs w:val="21"/>
              </w:rPr>
              <w:t>投标人的设计企业信用等级优先顺序：（1）2024年度广西壮族自治区交通运输厅公布的广西水运建设市场设计企业信用评价结果的等级；（2）2024年度交通运输部公布的广西水运建设市场设计企业信用评价结果的等级；（3）2024年度广西壮族自治区交通运输厅公布的全国水运工程设计企业信用评价结果的等级；（4）2024年度交通运输部公布的全国水运工程设计企业信用评价结果的等级。</w:t>
            </w:r>
          </w:p>
        </w:tc>
      </w:tr>
      <w:tr w14:paraId="0A0819F7">
        <w:tblPrEx>
          <w:tblCellMar>
            <w:top w:w="28" w:type="dxa"/>
            <w:left w:w="28" w:type="dxa"/>
            <w:bottom w:w="28" w:type="dxa"/>
            <w:right w:w="28" w:type="dxa"/>
          </w:tblCellMar>
        </w:tblPrEx>
        <w:trPr>
          <w:trHeight w:val="1372" w:hRule="atLeast"/>
          <w:jc w:val="center"/>
        </w:trPr>
        <w:tc>
          <w:tcPr>
            <w:tcW w:w="592" w:type="dxa"/>
            <w:tcBorders>
              <w:top w:val="single" w:color="auto" w:sz="4" w:space="0"/>
              <w:left w:val="single" w:color="000000" w:sz="4" w:space="0"/>
              <w:bottom w:val="single" w:color="auto" w:sz="4" w:space="0"/>
              <w:right w:val="single" w:color="auto" w:sz="4" w:space="0"/>
            </w:tcBorders>
            <w:vAlign w:val="center"/>
          </w:tcPr>
          <w:p w14:paraId="48722F02">
            <w:pPr>
              <w:spacing w:line="240" w:lineRule="atLeast"/>
              <w:jc w:val="center"/>
              <w:textAlignment w:val="center"/>
              <w:rPr>
                <w:rFonts w:hint="eastAsia" w:ascii="宋体" w:hAnsi="宋体" w:cs="宋体"/>
                <w:szCs w:val="21"/>
              </w:rPr>
            </w:pPr>
            <w:r>
              <w:rPr>
                <w:rFonts w:hint="eastAsia" w:ascii="宋体" w:hAnsi="宋体" w:cs="宋体"/>
                <w:szCs w:val="21"/>
              </w:rPr>
              <w:t>三</w:t>
            </w:r>
          </w:p>
        </w:tc>
        <w:tc>
          <w:tcPr>
            <w:tcW w:w="1671" w:type="dxa"/>
            <w:tcBorders>
              <w:top w:val="single" w:color="000000" w:sz="4" w:space="0"/>
              <w:left w:val="single" w:color="auto" w:sz="4" w:space="0"/>
              <w:bottom w:val="single" w:color="000000" w:sz="4" w:space="0"/>
              <w:right w:val="single" w:color="000000" w:sz="4" w:space="0"/>
            </w:tcBorders>
            <w:vAlign w:val="center"/>
          </w:tcPr>
          <w:p w14:paraId="60191DD1">
            <w:pPr>
              <w:widowControl/>
              <w:spacing w:line="240" w:lineRule="atLeast"/>
              <w:jc w:val="center"/>
              <w:textAlignment w:val="center"/>
              <w:rPr>
                <w:rFonts w:hint="eastAsia" w:ascii="宋体" w:hAnsi="宋体" w:cs="宋体"/>
                <w:szCs w:val="21"/>
              </w:rPr>
            </w:pPr>
            <w:r>
              <w:rPr>
                <w:rFonts w:hint="eastAsia" w:ascii="宋体" w:hAnsi="宋体" w:cs="宋体"/>
                <w:szCs w:val="21"/>
              </w:rPr>
              <w:t>人员配置</w:t>
            </w:r>
          </w:p>
          <w:p w14:paraId="451D72D4">
            <w:pPr>
              <w:widowControl/>
              <w:spacing w:line="240" w:lineRule="atLeast"/>
              <w:jc w:val="center"/>
              <w:textAlignment w:val="center"/>
              <w:rPr>
                <w:rFonts w:hint="eastAsia" w:ascii="宋体" w:hAnsi="宋体" w:cs="宋体"/>
                <w:szCs w:val="21"/>
              </w:rPr>
            </w:pPr>
            <w:r>
              <w:rPr>
                <w:rFonts w:hint="eastAsia" w:ascii="宋体" w:hAnsi="宋体" w:cs="宋体"/>
                <w:szCs w:val="21"/>
              </w:rPr>
              <w:t>（满分</w:t>
            </w:r>
            <w:r>
              <w:rPr>
                <w:rFonts w:ascii="宋体" w:hAnsi="宋体" w:cs="宋体"/>
                <w:szCs w:val="21"/>
              </w:rPr>
              <w:t>2</w:t>
            </w:r>
            <w:r>
              <w:rPr>
                <w:rFonts w:hint="eastAsia" w:ascii="宋体" w:hAnsi="宋体" w:cs="宋体"/>
                <w:szCs w:val="21"/>
              </w:rPr>
              <w:t>0分）</w:t>
            </w:r>
          </w:p>
        </w:tc>
        <w:tc>
          <w:tcPr>
            <w:tcW w:w="6855" w:type="dxa"/>
            <w:tcBorders>
              <w:top w:val="single" w:color="000000" w:sz="4" w:space="0"/>
              <w:left w:val="single" w:color="000000" w:sz="4" w:space="0"/>
              <w:bottom w:val="single" w:color="000000" w:sz="4" w:space="0"/>
              <w:right w:val="single" w:color="000000" w:sz="4" w:space="0"/>
            </w:tcBorders>
            <w:vAlign w:val="center"/>
          </w:tcPr>
          <w:p w14:paraId="205CEA92">
            <w:pPr>
              <w:pStyle w:val="31"/>
            </w:pPr>
            <w:r>
              <w:rPr>
                <w:rFonts w:hint="eastAsia"/>
                <w:bCs w:val="0"/>
                <w:spacing w:val="0"/>
                <w:kern w:val="2"/>
                <w:sz w:val="21"/>
                <w:szCs w:val="21"/>
                <w:lang w:eastAsia="zh-CN"/>
              </w:rPr>
              <w:t>除</w:t>
            </w:r>
            <w:r>
              <w:rPr>
                <w:rFonts w:hint="eastAsia"/>
                <w:bCs w:val="0"/>
                <w:spacing w:val="0"/>
                <w:kern w:val="2"/>
                <w:sz w:val="21"/>
                <w:szCs w:val="21"/>
              </w:rPr>
              <w:t>测量负责人和项目负责人之外拟投入</w:t>
            </w:r>
            <w:r>
              <w:rPr>
                <w:rFonts w:hint="eastAsia"/>
                <w:bCs w:val="0"/>
                <w:spacing w:val="0"/>
                <w:kern w:val="2"/>
                <w:sz w:val="21"/>
                <w:szCs w:val="21"/>
                <w:lang w:eastAsia="zh-CN"/>
              </w:rPr>
              <w:t>的</w:t>
            </w:r>
            <w:r>
              <w:rPr>
                <w:rFonts w:hint="eastAsia"/>
                <w:bCs w:val="0"/>
                <w:spacing w:val="0"/>
                <w:kern w:val="2"/>
                <w:sz w:val="21"/>
                <w:szCs w:val="21"/>
              </w:rPr>
              <w:t>人员中具有高级职称且注册土木工程师（岩土）或注册测绘师或注册土木工程师（港口与航道工程）执业证书的每人得3分，具有中级职称且注册土木工程师（岩土）或注册测绘师或注册土木工程师（港口与航道工程）执业证书的每人得1分，满分20分。（注：同一人员不重复计分。）注：提供职称证书复印件、人员工作经历表作为评审依据，证明材料均需加盖公章。</w:t>
            </w:r>
          </w:p>
        </w:tc>
      </w:tr>
      <w:tr w14:paraId="59C02BF0">
        <w:tblPrEx>
          <w:tblCellMar>
            <w:top w:w="28" w:type="dxa"/>
            <w:left w:w="28" w:type="dxa"/>
            <w:bottom w:w="28" w:type="dxa"/>
            <w:right w:w="28" w:type="dxa"/>
          </w:tblCellMar>
        </w:tblPrEx>
        <w:trPr>
          <w:trHeight w:val="2893" w:hRule="atLeast"/>
          <w:jc w:val="center"/>
        </w:trPr>
        <w:tc>
          <w:tcPr>
            <w:tcW w:w="592" w:type="dxa"/>
            <w:tcBorders>
              <w:top w:val="single" w:color="auto" w:sz="4" w:space="0"/>
              <w:left w:val="single" w:color="000000" w:sz="4" w:space="0"/>
              <w:bottom w:val="single" w:color="auto" w:sz="4" w:space="0"/>
              <w:right w:val="single" w:color="auto" w:sz="4" w:space="0"/>
            </w:tcBorders>
            <w:vAlign w:val="center"/>
          </w:tcPr>
          <w:p w14:paraId="7B70887C">
            <w:pPr>
              <w:spacing w:line="240" w:lineRule="atLeast"/>
              <w:jc w:val="center"/>
              <w:rPr>
                <w:rFonts w:hint="eastAsia" w:ascii="宋体" w:hAnsi="宋体" w:cs="宋体"/>
                <w:szCs w:val="21"/>
              </w:rPr>
            </w:pPr>
            <w:r>
              <w:rPr>
                <w:rFonts w:hint="eastAsia" w:ascii="宋体" w:hAnsi="宋体" w:cs="宋体"/>
                <w:szCs w:val="21"/>
              </w:rPr>
              <w:t>四</w:t>
            </w:r>
          </w:p>
        </w:tc>
        <w:tc>
          <w:tcPr>
            <w:tcW w:w="1671" w:type="dxa"/>
            <w:tcBorders>
              <w:top w:val="single" w:color="000000" w:sz="4" w:space="0"/>
              <w:left w:val="single" w:color="auto" w:sz="4" w:space="0"/>
              <w:bottom w:val="single" w:color="000000" w:sz="4" w:space="0"/>
              <w:right w:val="single" w:color="000000" w:sz="4" w:space="0"/>
            </w:tcBorders>
            <w:vAlign w:val="center"/>
          </w:tcPr>
          <w:p w14:paraId="6CC9F2E9">
            <w:pPr>
              <w:widowControl/>
              <w:spacing w:line="240" w:lineRule="atLeast"/>
              <w:jc w:val="center"/>
              <w:textAlignment w:val="center"/>
              <w:rPr>
                <w:rFonts w:hint="eastAsia" w:ascii="宋体" w:hAnsi="宋体" w:cs="宋体"/>
                <w:szCs w:val="21"/>
              </w:rPr>
            </w:pPr>
            <w:r>
              <w:rPr>
                <w:rFonts w:hint="eastAsia" w:ascii="宋体" w:hAnsi="宋体" w:cs="宋体"/>
                <w:szCs w:val="21"/>
              </w:rPr>
              <w:t>服务方案</w:t>
            </w:r>
          </w:p>
          <w:p w14:paraId="069416DE">
            <w:pPr>
              <w:widowControl/>
              <w:spacing w:line="240" w:lineRule="atLeast"/>
              <w:jc w:val="center"/>
              <w:textAlignment w:val="center"/>
              <w:rPr>
                <w:rFonts w:hint="eastAsia" w:ascii="宋体" w:hAnsi="宋体" w:cs="宋体"/>
                <w:szCs w:val="21"/>
              </w:rPr>
            </w:pPr>
            <w:r>
              <w:rPr>
                <w:rFonts w:hint="eastAsia" w:ascii="宋体" w:hAnsi="宋体" w:cs="宋体"/>
                <w:szCs w:val="21"/>
              </w:rPr>
              <w:t>（满分4</w:t>
            </w:r>
            <w:r>
              <w:rPr>
                <w:rFonts w:hint="eastAsia" w:ascii="宋体" w:hAnsi="宋体" w:cs="宋体"/>
                <w:szCs w:val="21"/>
                <w:lang w:val="en-US" w:eastAsia="zh-CN"/>
              </w:rPr>
              <w:t>0</w:t>
            </w:r>
            <w:r>
              <w:rPr>
                <w:rFonts w:hint="eastAsia" w:ascii="宋体" w:hAnsi="宋体" w:cs="宋体"/>
                <w:szCs w:val="21"/>
              </w:rPr>
              <w:t>分）</w:t>
            </w:r>
          </w:p>
        </w:tc>
        <w:tc>
          <w:tcPr>
            <w:tcW w:w="6855" w:type="dxa"/>
            <w:tcBorders>
              <w:top w:val="single" w:color="000000" w:sz="4" w:space="0"/>
              <w:left w:val="single" w:color="000000" w:sz="4" w:space="0"/>
              <w:bottom w:val="single" w:color="000000" w:sz="4" w:space="0"/>
              <w:right w:val="single" w:color="000000" w:sz="4" w:space="0"/>
            </w:tcBorders>
            <w:vAlign w:val="center"/>
          </w:tcPr>
          <w:p w14:paraId="498E7440">
            <w:pPr>
              <w:widowControl/>
              <w:spacing w:line="240" w:lineRule="atLeast"/>
              <w:textAlignment w:val="center"/>
              <w:rPr>
                <w:rFonts w:hint="eastAsia" w:ascii="宋体" w:hAnsi="宋体" w:cs="宋体"/>
                <w:b/>
                <w:szCs w:val="21"/>
              </w:rPr>
            </w:pPr>
            <w:r>
              <w:rPr>
                <w:rFonts w:hint="eastAsia" w:ascii="宋体" w:hAnsi="宋体" w:cs="宋体"/>
                <w:b/>
                <w:szCs w:val="21"/>
              </w:rPr>
              <w:t>优：</w:t>
            </w:r>
            <w:bookmarkStart w:id="38" w:name="OLE_LINK26"/>
            <w:r>
              <w:rPr>
                <w:rFonts w:hint="eastAsia" w:ascii="宋体" w:hAnsi="宋体" w:cs="宋体"/>
                <w:bCs/>
                <w:szCs w:val="21"/>
              </w:rPr>
              <w:t>工作思路清晰，内容详实，对本项目重点要点分析准确到位，进度计划安排合理，各阶段工作安排得当，进度控制措施合理、可行，提出的工作保障措施可行、针对性强，能很好地满足采购需求</w:t>
            </w:r>
            <w:bookmarkEnd w:id="38"/>
            <w:r>
              <w:rPr>
                <w:rFonts w:hint="eastAsia" w:ascii="宋体" w:hAnsi="宋体" w:cs="宋体"/>
                <w:bCs/>
                <w:szCs w:val="21"/>
              </w:rPr>
              <w:t>（</w:t>
            </w:r>
            <w:r>
              <w:rPr>
                <w:rFonts w:hint="eastAsia" w:ascii="宋体" w:hAnsi="宋体" w:cs="宋体"/>
                <w:bCs/>
                <w:szCs w:val="21"/>
                <w:lang w:val="en-US" w:eastAsia="zh-CN"/>
              </w:rPr>
              <w:t>39.1</w:t>
            </w:r>
            <w:r>
              <w:rPr>
                <w:rFonts w:hint="eastAsia" w:ascii="宋体" w:hAnsi="宋体" w:cs="宋体"/>
                <w:bCs/>
                <w:szCs w:val="21"/>
              </w:rPr>
              <w:t>-4</w:t>
            </w:r>
            <w:r>
              <w:rPr>
                <w:rFonts w:hint="eastAsia" w:ascii="宋体" w:hAnsi="宋体" w:cs="宋体"/>
                <w:bCs/>
                <w:szCs w:val="21"/>
                <w:lang w:val="en-US" w:eastAsia="zh-CN"/>
              </w:rPr>
              <w:t>0</w:t>
            </w:r>
            <w:r>
              <w:rPr>
                <w:rFonts w:hint="eastAsia" w:ascii="宋体" w:hAnsi="宋体" w:cs="宋体"/>
                <w:bCs/>
                <w:szCs w:val="21"/>
              </w:rPr>
              <w:t>分）；</w:t>
            </w:r>
          </w:p>
          <w:p w14:paraId="7E121F9E">
            <w:pPr>
              <w:widowControl/>
              <w:spacing w:line="240" w:lineRule="atLeast"/>
              <w:textAlignment w:val="center"/>
              <w:rPr>
                <w:rFonts w:hint="eastAsia" w:ascii="宋体" w:hAnsi="宋体" w:cs="宋体"/>
                <w:b/>
                <w:szCs w:val="21"/>
              </w:rPr>
            </w:pPr>
            <w:r>
              <w:rPr>
                <w:rFonts w:hint="eastAsia" w:ascii="宋体" w:hAnsi="宋体" w:cs="宋体"/>
                <w:b/>
                <w:szCs w:val="21"/>
              </w:rPr>
              <w:t>良：</w:t>
            </w:r>
            <w:r>
              <w:rPr>
                <w:rFonts w:hint="eastAsia" w:ascii="宋体" w:hAnsi="宋体" w:cs="宋体"/>
                <w:bCs/>
                <w:szCs w:val="21"/>
              </w:rPr>
              <w:t>工作思路较清晰，内容较详实，对本项目重点要点分析比较准确到位，进度计划安排较合理，提出的工作保障措施可行、针对性较强，满足采购需求（</w:t>
            </w:r>
            <w:r>
              <w:rPr>
                <w:rFonts w:hint="eastAsia" w:ascii="宋体" w:hAnsi="宋体" w:cs="宋体"/>
                <w:bCs/>
                <w:szCs w:val="21"/>
                <w:lang w:val="en-US" w:eastAsia="zh-CN"/>
              </w:rPr>
              <w:t>29.1</w:t>
            </w:r>
            <w:r>
              <w:rPr>
                <w:rFonts w:hint="eastAsia" w:ascii="宋体" w:hAnsi="宋体" w:cs="宋体"/>
                <w:bCs/>
                <w:szCs w:val="21"/>
              </w:rPr>
              <w:t>.</w:t>
            </w:r>
            <w:r>
              <w:rPr>
                <w:rFonts w:hint="eastAsia" w:ascii="宋体" w:hAnsi="宋体" w:cs="宋体"/>
                <w:bCs/>
                <w:szCs w:val="21"/>
                <w:lang w:val="en-US" w:eastAsia="zh-CN"/>
              </w:rPr>
              <w:t>1</w:t>
            </w:r>
            <w:r>
              <w:rPr>
                <w:rFonts w:hint="eastAsia" w:ascii="宋体" w:hAnsi="宋体" w:cs="宋体"/>
                <w:bCs/>
                <w:szCs w:val="21"/>
              </w:rPr>
              <w:t>-</w:t>
            </w:r>
            <w:r>
              <w:rPr>
                <w:rFonts w:hint="eastAsia" w:ascii="宋体" w:hAnsi="宋体" w:cs="宋体"/>
                <w:bCs/>
                <w:szCs w:val="21"/>
                <w:lang w:val="en-US" w:eastAsia="zh-CN"/>
              </w:rPr>
              <w:t>39</w:t>
            </w:r>
            <w:r>
              <w:rPr>
                <w:rFonts w:hint="eastAsia" w:ascii="宋体" w:hAnsi="宋体" w:cs="宋体"/>
                <w:bCs/>
                <w:szCs w:val="21"/>
              </w:rPr>
              <w:t>分）；</w:t>
            </w:r>
          </w:p>
          <w:p w14:paraId="009F7DBC">
            <w:pPr>
              <w:widowControl/>
              <w:spacing w:line="240" w:lineRule="atLeast"/>
              <w:textAlignment w:val="center"/>
              <w:rPr>
                <w:rFonts w:hint="eastAsia" w:ascii="宋体" w:hAnsi="宋体" w:cs="宋体"/>
                <w:b/>
                <w:szCs w:val="21"/>
              </w:rPr>
            </w:pPr>
            <w:r>
              <w:rPr>
                <w:rFonts w:hint="eastAsia" w:ascii="宋体" w:hAnsi="宋体" w:cs="宋体"/>
                <w:b/>
                <w:szCs w:val="21"/>
              </w:rPr>
              <w:t>中：</w:t>
            </w:r>
            <w:r>
              <w:rPr>
                <w:rFonts w:hint="eastAsia" w:ascii="宋体" w:hAnsi="宋体" w:cs="宋体"/>
                <w:bCs/>
                <w:szCs w:val="21"/>
              </w:rPr>
              <w:t>工作思路基本清晰，内容基本详实，对本项目重点要点分析基本准确到位，进度计划工期安排一般，提出的工作保障措施基本可行、针对性一般，基本满足采购需求（2</w:t>
            </w:r>
            <w:r>
              <w:rPr>
                <w:rFonts w:hint="eastAsia" w:ascii="宋体" w:hAnsi="宋体" w:cs="宋体"/>
                <w:bCs/>
                <w:szCs w:val="21"/>
                <w:lang w:val="en-US" w:eastAsia="zh-CN"/>
              </w:rPr>
              <w:t>4</w:t>
            </w:r>
            <w:r>
              <w:rPr>
                <w:rFonts w:hint="eastAsia" w:ascii="宋体" w:hAnsi="宋体" w:cs="宋体"/>
                <w:bCs/>
                <w:szCs w:val="21"/>
              </w:rPr>
              <w:t>-</w:t>
            </w:r>
            <w:r>
              <w:rPr>
                <w:rFonts w:hint="eastAsia" w:ascii="宋体" w:hAnsi="宋体" w:cs="宋体"/>
                <w:bCs/>
                <w:szCs w:val="21"/>
                <w:lang w:val="en-US" w:eastAsia="zh-CN"/>
              </w:rPr>
              <w:t>29</w:t>
            </w:r>
            <w:r>
              <w:rPr>
                <w:rFonts w:hint="eastAsia" w:ascii="宋体" w:hAnsi="宋体" w:cs="宋体"/>
                <w:bCs/>
                <w:szCs w:val="21"/>
              </w:rPr>
              <w:t>分）；</w:t>
            </w:r>
          </w:p>
          <w:p w14:paraId="7DFB82D0">
            <w:pPr>
              <w:widowControl/>
              <w:spacing w:line="240" w:lineRule="atLeast"/>
              <w:textAlignment w:val="center"/>
              <w:rPr>
                <w:rFonts w:hint="eastAsia" w:ascii="宋体" w:hAnsi="宋体" w:cs="宋体"/>
                <w:b/>
                <w:szCs w:val="21"/>
              </w:rPr>
            </w:pPr>
            <w:r>
              <w:rPr>
                <w:rFonts w:hint="eastAsia" w:ascii="宋体" w:hAnsi="宋体" w:cs="宋体"/>
                <w:b/>
                <w:szCs w:val="21"/>
              </w:rPr>
              <w:t>差：</w:t>
            </w:r>
            <w:r>
              <w:rPr>
                <w:rFonts w:hint="eastAsia" w:ascii="宋体" w:hAnsi="宋体" w:cs="宋体"/>
                <w:bCs/>
                <w:szCs w:val="21"/>
              </w:rPr>
              <w:t>工作思路</w:t>
            </w:r>
            <w:r>
              <w:rPr>
                <w:rFonts w:hint="eastAsia" w:ascii="宋体" w:hAnsi="宋体" w:cs="宋体"/>
                <w:bCs/>
                <w:szCs w:val="21"/>
                <w:lang w:eastAsia="zh-CN"/>
              </w:rPr>
              <w:t>不</w:t>
            </w:r>
            <w:r>
              <w:rPr>
                <w:rFonts w:hint="eastAsia" w:ascii="宋体" w:hAnsi="宋体" w:cs="宋体"/>
                <w:bCs/>
                <w:szCs w:val="21"/>
              </w:rPr>
              <w:t>清晰，内容</w:t>
            </w:r>
            <w:r>
              <w:rPr>
                <w:rFonts w:hint="eastAsia" w:ascii="宋体" w:hAnsi="宋体" w:cs="宋体"/>
                <w:bCs/>
                <w:szCs w:val="21"/>
                <w:lang w:eastAsia="zh-CN"/>
              </w:rPr>
              <w:t>不</w:t>
            </w:r>
            <w:r>
              <w:rPr>
                <w:rFonts w:hint="eastAsia" w:ascii="宋体" w:hAnsi="宋体" w:cs="宋体"/>
                <w:bCs/>
                <w:szCs w:val="21"/>
              </w:rPr>
              <w:t>详实，对本项目重点要点分析</w:t>
            </w:r>
            <w:r>
              <w:rPr>
                <w:rFonts w:hint="eastAsia" w:ascii="宋体" w:hAnsi="宋体" w:cs="宋体"/>
                <w:bCs/>
                <w:szCs w:val="21"/>
                <w:lang w:eastAsia="zh-CN"/>
              </w:rPr>
              <w:t>不</w:t>
            </w:r>
            <w:r>
              <w:rPr>
                <w:rFonts w:hint="eastAsia" w:ascii="宋体" w:hAnsi="宋体" w:cs="宋体"/>
                <w:bCs/>
                <w:szCs w:val="21"/>
              </w:rPr>
              <w:t>到位，进度计划工期</w:t>
            </w:r>
            <w:r>
              <w:rPr>
                <w:rFonts w:hint="eastAsia" w:ascii="宋体" w:hAnsi="宋体" w:cs="宋体"/>
                <w:bCs/>
                <w:szCs w:val="21"/>
                <w:lang w:eastAsia="zh-CN"/>
              </w:rPr>
              <w:t>不合理</w:t>
            </w:r>
            <w:r>
              <w:rPr>
                <w:rFonts w:hint="eastAsia" w:ascii="宋体" w:hAnsi="宋体" w:cs="宋体"/>
                <w:bCs/>
                <w:szCs w:val="21"/>
              </w:rPr>
              <w:t>，提出的工作保障措施</w:t>
            </w:r>
            <w:r>
              <w:rPr>
                <w:rFonts w:hint="eastAsia" w:ascii="宋体" w:hAnsi="宋体" w:cs="宋体"/>
                <w:bCs/>
                <w:szCs w:val="21"/>
                <w:lang w:eastAsia="zh-CN"/>
              </w:rPr>
              <w:t>不明确</w:t>
            </w:r>
            <w:r>
              <w:rPr>
                <w:rFonts w:hint="eastAsia" w:ascii="宋体" w:hAnsi="宋体" w:cs="宋体"/>
                <w:bCs/>
                <w:szCs w:val="21"/>
              </w:rPr>
              <w:t>，</w:t>
            </w:r>
            <w:r>
              <w:rPr>
                <w:rFonts w:hint="eastAsia" w:ascii="宋体" w:hAnsi="宋体" w:cs="宋体"/>
                <w:b w:val="0"/>
                <w:bCs/>
                <w:szCs w:val="21"/>
              </w:rPr>
              <w:t>服务方案不能满足采购需求（0-2</w:t>
            </w:r>
            <w:r>
              <w:rPr>
                <w:rFonts w:hint="eastAsia" w:ascii="宋体" w:hAnsi="宋体" w:cs="宋体"/>
                <w:b w:val="0"/>
                <w:bCs/>
                <w:szCs w:val="21"/>
                <w:lang w:val="en-US" w:eastAsia="zh-CN"/>
              </w:rPr>
              <w:t>3.9</w:t>
            </w:r>
            <w:r>
              <w:rPr>
                <w:rFonts w:hint="eastAsia" w:ascii="宋体" w:hAnsi="宋体" w:cs="宋体"/>
                <w:b w:val="0"/>
                <w:bCs/>
                <w:szCs w:val="21"/>
              </w:rPr>
              <w:t>分）</w:t>
            </w:r>
            <w:r>
              <w:rPr>
                <w:rFonts w:hint="eastAsia" w:ascii="宋体" w:hAnsi="宋体" w:cs="宋体"/>
                <w:b/>
                <w:szCs w:val="21"/>
              </w:rPr>
              <w:t>。</w:t>
            </w:r>
          </w:p>
        </w:tc>
      </w:tr>
      <w:tr w14:paraId="2D8B4209">
        <w:tblPrEx>
          <w:tblCellMar>
            <w:top w:w="28" w:type="dxa"/>
            <w:left w:w="28" w:type="dxa"/>
            <w:bottom w:w="28" w:type="dxa"/>
            <w:right w:w="28" w:type="dxa"/>
          </w:tblCellMar>
        </w:tblPrEx>
        <w:trPr>
          <w:trHeight w:val="777" w:hRule="atLeast"/>
          <w:jc w:val="center"/>
        </w:trPr>
        <w:tc>
          <w:tcPr>
            <w:tcW w:w="592" w:type="dxa"/>
            <w:tcBorders>
              <w:top w:val="single" w:color="auto" w:sz="4" w:space="0"/>
              <w:left w:val="single" w:color="000000" w:sz="4" w:space="0"/>
              <w:bottom w:val="single" w:color="auto" w:sz="4" w:space="0"/>
              <w:right w:val="single" w:color="auto" w:sz="4" w:space="0"/>
            </w:tcBorders>
            <w:vAlign w:val="center"/>
          </w:tcPr>
          <w:p w14:paraId="5AD86981">
            <w:pPr>
              <w:widowControl/>
              <w:spacing w:line="240" w:lineRule="atLeast"/>
              <w:jc w:val="center"/>
              <w:textAlignment w:val="center"/>
              <w:rPr>
                <w:rFonts w:hint="eastAsia" w:ascii="宋体" w:hAnsi="宋体" w:cs="宋体"/>
                <w:szCs w:val="21"/>
              </w:rPr>
            </w:pPr>
            <w:r>
              <w:rPr>
                <w:rFonts w:hint="eastAsia" w:ascii="宋体" w:hAnsi="宋体" w:cs="宋体"/>
                <w:szCs w:val="21"/>
              </w:rPr>
              <w:t>五</w:t>
            </w:r>
          </w:p>
        </w:tc>
        <w:tc>
          <w:tcPr>
            <w:tcW w:w="8526" w:type="dxa"/>
            <w:gridSpan w:val="2"/>
            <w:tcBorders>
              <w:top w:val="single" w:color="000000" w:sz="4" w:space="0"/>
              <w:left w:val="single" w:color="auto" w:sz="4" w:space="0"/>
              <w:bottom w:val="single" w:color="000000" w:sz="4" w:space="0"/>
              <w:right w:val="single" w:color="000000" w:sz="4" w:space="0"/>
            </w:tcBorders>
            <w:vAlign w:val="center"/>
          </w:tcPr>
          <w:p w14:paraId="1453F496">
            <w:pPr>
              <w:widowControl/>
              <w:spacing w:line="240" w:lineRule="atLeast"/>
              <w:textAlignment w:val="center"/>
              <w:rPr>
                <w:rFonts w:hint="eastAsia" w:ascii="宋体" w:hAnsi="宋体" w:cs="宋体"/>
                <w:szCs w:val="21"/>
              </w:rPr>
            </w:pPr>
            <w:r>
              <w:rPr>
                <w:rFonts w:hint="eastAsia" w:ascii="宋体" w:hAnsi="宋体" w:cs="宋体"/>
                <w:szCs w:val="21"/>
              </w:rPr>
              <w:t>总分=价格分+业绩分+人员配置分+服务方案分</w:t>
            </w:r>
          </w:p>
        </w:tc>
      </w:tr>
    </w:tbl>
    <w:p w14:paraId="64062267">
      <w:pPr>
        <w:spacing w:line="360" w:lineRule="auto"/>
        <w:ind w:firstLine="420" w:firstLineChars="200"/>
        <w:rPr>
          <w:rFonts w:hint="eastAsia" w:ascii="宋体" w:hAnsi="宋体"/>
          <w:bCs/>
          <w:szCs w:val="21"/>
        </w:rPr>
      </w:pPr>
    </w:p>
    <w:p w14:paraId="2534122B">
      <w:r>
        <w:rPr>
          <w:rFonts w:hint="eastAsia"/>
        </w:rPr>
        <w:br w:type="page"/>
      </w:r>
    </w:p>
    <w:p w14:paraId="3E97ED64">
      <w:pPr>
        <w:pStyle w:val="3"/>
      </w:pPr>
    </w:p>
    <w:p w14:paraId="1E825478"/>
    <w:p w14:paraId="494D40E4">
      <w:pPr>
        <w:pStyle w:val="6"/>
        <w:spacing w:before="0" w:after="0" w:line="579" w:lineRule="auto"/>
        <w:jc w:val="center"/>
        <w:rPr>
          <w:sz w:val="28"/>
          <w:szCs w:val="28"/>
        </w:rPr>
      </w:pPr>
      <w:bookmarkStart w:id="39" w:name="_Toc29925"/>
      <w:bookmarkStart w:id="40" w:name="_Toc5116"/>
      <w:r>
        <w:rPr>
          <w:rFonts w:hint="eastAsia"/>
          <w:sz w:val="28"/>
          <w:szCs w:val="28"/>
        </w:rPr>
        <w:t>第五章 响应文件格式</w:t>
      </w:r>
      <w:bookmarkEnd w:id="39"/>
      <w:bookmarkEnd w:id="40"/>
    </w:p>
    <w:p w14:paraId="398BE94D">
      <w:pPr>
        <w:spacing w:line="240" w:lineRule="atLeast"/>
        <w:rPr>
          <w:rFonts w:hint="eastAsia" w:ascii="宋体" w:hAnsi="宋体"/>
          <w:b/>
          <w:sz w:val="32"/>
          <w:szCs w:val="32"/>
        </w:rPr>
      </w:pPr>
    </w:p>
    <w:p w14:paraId="45E09D0F">
      <w:pPr>
        <w:spacing w:line="240" w:lineRule="atLeast"/>
        <w:rPr>
          <w:rFonts w:hint="eastAsia" w:ascii="宋体" w:hAnsi="宋体"/>
          <w:b/>
          <w:sz w:val="32"/>
          <w:szCs w:val="32"/>
        </w:rPr>
      </w:pPr>
    </w:p>
    <w:p w14:paraId="1EE53C2D">
      <w:pPr>
        <w:spacing w:line="240" w:lineRule="atLeast"/>
        <w:rPr>
          <w:rFonts w:hint="eastAsia" w:ascii="宋体" w:hAnsi="宋体"/>
          <w:b/>
          <w:sz w:val="32"/>
          <w:szCs w:val="32"/>
        </w:rPr>
      </w:pPr>
    </w:p>
    <w:p w14:paraId="79420865">
      <w:pPr>
        <w:spacing w:line="240" w:lineRule="atLeast"/>
        <w:rPr>
          <w:rFonts w:hint="eastAsia" w:ascii="宋体" w:hAnsi="宋体"/>
          <w:b/>
          <w:sz w:val="32"/>
          <w:szCs w:val="32"/>
        </w:rPr>
      </w:pPr>
    </w:p>
    <w:p w14:paraId="30FBF256">
      <w:pPr>
        <w:spacing w:line="240" w:lineRule="atLeast"/>
        <w:rPr>
          <w:rFonts w:hint="eastAsia" w:ascii="宋体" w:hAnsi="宋体"/>
          <w:b/>
          <w:sz w:val="32"/>
          <w:szCs w:val="32"/>
        </w:rPr>
      </w:pPr>
    </w:p>
    <w:p w14:paraId="0307056C">
      <w:pPr>
        <w:spacing w:line="240" w:lineRule="atLeast"/>
        <w:rPr>
          <w:rFonts w:hint="eastAsia" w:ascii="宋体" w:hAnsi="宋体"/>
          <w:b/>
          <w:sz w:val="32"/>
          <w:szCs w:val="32"/>
        </w:rPr>
      </w:pPr>
    </w:p>
    <w:p w14:paraId="3E4B6C1B">
      <w:pPr>
        <w:spacing w:line="240" w:lineRule="atLeast"/>
        <w:rPr>
          <w:rFonts w:hint="eastAsia" w:ascii="宋体" w:hAnsi="宋体"/>
          <w:b/>
          <w:sz w:val="32"/>
          <w:szCs w:val="32"/>
        </w:rPr>
      </w:pPr>
    </w:p>
    <w:p w14:paraId="1F2E5365">
      <w:pPr>
        <w:spacing w:line="240" w:lineRule="atLeast"/>
        <w:rPr>
          <w:rFonts w:hint="eastAsia" w:ascii="宋体" w:hAnsi="宋体"/>
          <w:b/>
          <w:sz w:val="32"/>
          <w:szCs w:val="32"/>
        </w:rPr>
      </w:pPr>
    </w:p>
    <w:p w14:paraId="7AE6BF74">
      <w:pPr>
        <w:spacing w:line="240" w:lineRule="atLeast"/>
        <w:rPr>
          <w:rFonts w:hint="eastAsia" w:ascii="宋体" w:hAnsi="宋体"/>
          <w:b/>
          <w:sz w:val="32"/>
          <w:szCs w:val="32"/>
        </w:rPr>
      </w:pPr>
    </w:p>
    <w:p w14:paraId="5A8F522F">
      <w:pPr>
        <w:spacing w:line="240" w:lineRule="atLeast"/>
        <w:rPr>
          <w:rFonts w:hint="eastAsia" w:ascii="仿宋_GB2312" w:hAnsi="仿宋_GB2312" w:eastAsia="仿宋_GB2312" w:cs="仿宋_GB2312"/>
          <w:bCs/>
          <w:sz w:val="32"/>
          <w:szCs w:val="32"/>
        </w:rPr>
      </w:pPr>
    </w:p>
    <w:p w14:paraId="4F645E58">
      <w:pPr>
        <w:snapToGrid w:val="0"/>
        <w:spacing w:before="120" w:beforeLines="50" w:after="50" w:line="360" w:lineRule="auto"/>
        <w:jc w:val="left"/>
        <w:rPr>
          <w:rFonts w:hint="eastAsia" w:ascii="宋体" w:hAnsi="宋体"/>
          <w:b/>
          <w:sz w:val="24"/>
        </w:rPr>
      </w:pPr>
      <w:bookmarkStart w:id="41" w:name="_Toc35611438"/>
      <w:bookmarkStart w:id="42" w:name="_Toc44229899"/>
      <w:bookmarkStart w:id="43" w:name="_Toc35611516"/>
      <w:bookmarkStart w:id="44" w:name="_Toc71365925"/>
      <w:bookmarkStart w:id="45" w:name="_Toc31728084"/>
      <w:bookmarkStart w:id="46" w:name="_Toc31723070"/>
      <w:r>
        <w:rPr>
          <w:b/>
          <w:sz w:val="32"/>
          <w:szCs w:val="32"/>
        </w:rPr>
        <w:br w:type="page"/>
      </w:r>
      <w:bookmarkEnd w:id="41"/>
      <w:bookmarkEnd w:id="42"/>
      <w:bookmarkEnd w:id="43"/>
      <w:bookmarkEnd w:id="44"/>
      <w:bookmarkEnd w:id="45"/>
      <w:bookmarkEnd w:id="46"/>
    </w:p>
    <w:p w14:paraId="0593EACF">
      <w:pPr>
        <w:snapToGrid w:val="0"/>
        <w:spacing w:before="120" w:beforeLines="50" w:after="50"/>
        <w:rPr>
          <w:rFonts w:hint="eastAsia" w:ascii="宋体" w:hAnsi="宋体"/>
          <w:bCs/>
          <w:sz w:val="32"/>
          <w:szCs w:val="20"/>
        </w:rPr>
      </w:pPr>
      <w:r>
        <w:rPr>
          <w:rFonts w:hint="eastAsia" w:ascii="宋体" w:hAnsi="宋体"/>
          <w:sz w:val="24"/>
        </w:rPr>
        <w:t xml:space="preserve">                                                    </w:t>
      </w:r>
    </w:p>
    <w:p w14:paraId="1563C50B">
      <w:pPr>
        <w:snapToGrid w:val="0"/>
        <w:spacing w:before="120" w:beforeLines="50" w:after="50"/>
        <w:rPr>
          <w:rFonts w:hint="eastAsia" w:ascii="宋体" w:hAnsi="宋体"/>
          <w:sz w:val="24"/>
          <w:szCs w:val="20"/>
        </w:rPr>
      </w:pPr>
    </w:p>
    <w:p w14:paraId="73CD3A12">
      <w:pPr>
        <w:adjustRightInd w:val="0"/>
        <w:snapToGrid w:val="0"/>
        <w:jc w:val="center"/>
        <w:rPr>
          <w:rFonts w:hint="eastAsia" w:ascii="宋体" w:hAnsi="宋体" w:cs="宋体"/>
          <w:sz w:val="36"/>
          <w:szCs w:val="36"/>
        </w:rPr>
      </w:pPr>
      <w:r>
        <w:rPr>
          <w:rFonts w:hint="eastAsia" w:ascii="宋体" w:hAnsi="宋体" w:cs="宋体"/>
          <w:sz w:val="36"/>
          <w:szCs w:val="36"/>
          <w:lang w:eastAsia="zh-CN"/>
        </w:rPr>
        <w:t>新增内河航道</w:t>
      </w:r>
      <w:r>
        <w:rPr>
          <w:rFonts w:hint="eastAsia" w:ascii="宋体" w:hAnsi="宋体" w:cs="宋体"/>
          <w:sz w:val="36"/>
          <w:szCs w:val="36"/>
        </w:rPr>
        <w:t>普查工作</w:t>
      </w:r>
    </w:p>
    <w:p w14:paraId="0A604636">
      <w:pPr>
        <w:snapToGrid w:val="0"/>
        <w:spacing w:before="120" w:beforeLines="50" w:after="50"/>
        <w:jc w:val="center"/>
        <w:rPr>
          <w:rFonts w:hint="eastAsia" w:ascii="宋体" w:hAnsi="宋体" w:cs="宋体"/>
          <w:bCs/>
          <w:sz w:val="36"/>
          <w:szCs w:val="36"/>
        </w:rPr>
      </w:pPr>
    </w:p>
    <w:p w14:paraId="26B4C4F6">
      <w:pPr>
        <w:snapToGrid w:val="0"/>
        <w:spacing w:before="120" w:beforeLines="50" w:after="50"/>
        <w:jc w:val="center"/>
        <w:rPr>
          <w:rFonts w:hint="eastAsia" w:ascii="黑体" w:hAnsi="黑体" w:eastAsia="黑体" w:cs="黑体"/>
          <w:bCs/>
          <w:sz w:val="84"/>
          <w:szCs w:val="84"/>
        </w:rPr>
      </w:pPr>
      <w:r>
        <w:rPr>
          <w:rFonts w:hint="eastAsia" w:ascii="黑体" w:hAnsi="黑体" w:eastAsia="黑体" w:cs="黑体"/>
          <w:bCs/>
          <w:sz w:val="84"/>
          <w:szCs w:val="84"/>
        </w:rPr>
        <w:t>响 应 文 件</w:t>
      </w:r>
    </w:p>
    <w:p w14:paraId="243B2238">
      <w:pPr>
        <w:snapToGrid w:val="0"/>
        <w:spacing w:before="120" w:beforeLines="50" w:after="50"/>
        <w:jc w:val="center"/>
        <w:rPr>
          <w:rFonts w:hint="eastAsia" w:ascii="方正小标宋简体" w:hAnsi="方正小标宋简体" w:eastAsia="方正小标宋简体" w:cs="方正小标宋简体"/>
          <w:bCs/>
          <w:sz w:val="44"/>
          <w:szCs w:val="44"/>
        </w:rPr>
      </w:pPr>
    </w:p>
    <w:p w14:paraId="0BFB61DD">
      <w:pPr>
        <w:snapToGrid w:val="0"/>
        <w:spacing w:before="120" w:beforeLines="50" w:after="50"/>
        <w:jc w:val="center"/>
        <w:rPr>
          <w:rFonts w:hint="eastAsia" w:ascii="方正小标宋简体" w:hAnsi="方正小标宋简体" w:eastAsia="方正小标宋简体" w:cs="方正小标宋简体"/>
          <w:bCs/>
          <w:sz w:val="32"/>
          <w:szCs w:val="32"/>
        </w:rPr>
      </w:pPr>
    </w:p>
    <w:p w14:paraId="65174731">
      <w:pPr>
        <w:snapToGrid w:val="0"/>
        <w:spacing w:before="120" w:beforeLines="50" w:after="50"/>
        <w:rPr>
          <w:rFonts w:hint="eastAsia" w:ascii="宋体" w:hAnsi="宋体"/>
          <w:bCs/>
          <w:sz w:val="24"/>
          <w:szCs w:val="20"/>
        </w:rPr>
      </w:pPr>
    </w:p>
    <w:p w14:paraId="1CA6FCB6">
      <w:pPr>
        <w:snapToGrid w:val="0"/>
        <w:spacing w:before="120" w:beforeLines="50" w:after="50"/>
        <w:rPr>
          <w:rFonts w:hint="eastAsia" w:ascii="宋体" w:hAnsi="宋体"/>
          <w:bCs/>
          <w:sz w:val="24"/>
          <w:szCs w:val="20"/>
        </w:rPr>
      </w:pPr>
    </w:p>
    <w:p w14:paraId="01B5DE32">
      <w:pPr>
        <w:snapToGrid w:val="0"/>
        <w:spacing w:before="120" w:beforeLines="50" w:after="50"/>
        <w:rPr>
          <w:rFonts w:hint="eastAsia" w:ascii="宋体" w:hAnsi="宋体"/>
          <w:bCs/>
          <w:sz w:val="24"/>
          <w:szCs w:val="20"/>
        </w:rPr>
      </w:pPr>
    </w:p>
    <w:p w14:paraId="0A4965D0">
      <w:pPr>
        <w:snapToGrid w:val="0"/>
        <w:spacing w:before="120" w:beforeLines="50" w:after="50"/>
        <w:ind w:firstLine="640" w:firstLineChars="200"/>
        <w:rPr>
          <w:rFonts w:hint="eastAsia" w:ascii="宋体" w:hAnsi="宋体" w:cs="仿宋_GB2312"/>
          <w:bCs/>
          <w:sz w:val="32"/>
          <w:szCs w:val="32"/>
        </w:rPr>
      </w:pPr>
    </w:p>
    <w:p w14:paraId="22397E24">
      <w:pPr>
        <w:snapToGrid w:val="0"/>
        <w:spacing w:before="120" w:beforeLines="50" w:after="50"/>
        <w:ind w:firstLine="720" w:firstLineChars="225"/>
        <w:rPr>
          <w:rFonts w:hint="eastAsia" w:ascii="宋体" w:hAnsi="宋体" w:cs="仿宋_GB2312"/>
          <w:bCs/>
          <w:sz w:val="32"/>
          <w:szCs w:val="32"/>
        </w:rPr>
      </w:pPr>
    </w:p>
    <w:p w14:paraId="20FF5840">
      <w:pPr>
        <w:snapToGrid w:val="0"/>
        <w:spacing w:before="120" w:beforeLines="50" w:after="50"/>
        <w:ind w:firstLine="720" w:firstLineChars="225"/>
        <w:rPr>
          <w:rFonts w:hint="eastAsia" w:ascii="宋体" w:hAnsi="宋体" w:cs="仿宋_GB2312"/>
          <w:bCs/>
          <w:sz w:val="32"/>
          <w:szCs w:val="32"/>
        </w:rPr>
      </w:pPr>
      <w:r>
        <w:rPr>
          <w:rFonts w:hint="eastAsia" w:ascii="宋体" w:hAnsi="宋体" w:cs="仿宋_GB2312"/>
          <w:bCs/>
          <w:sz w:val="32"/>
          <w:szCs w:val="32"/>
        </w:rPr>
        <w:t>供应商名称：</w:t>
      </w:r>
      <w:r>
        <w:rPr>
          <w:rFonts w:hint="eastAsia" w:ascii="宋体" w:hAnsi="宋体" w:cs="仿宋_GB2312"/>
          <w:bCs/>
          <w:sz w:val="32"/>
          <w:szCs w:val="32"/>
          <w:u w:val="single"/>
        </w:rPr>
        <w:t xml:space="preserve">                         </w:t>
      </w:r>
      <w:r>
        <w:rPr>
          <w:rFonts w:hint="eastAsia" w:ascii="宋体" w:hAnsi="宋体" w:cs="仿宋_GB2312"/>
          <w:bCs/>
          <w:sz w:val="32"/>
          <w:szCs w:val="32"/>
        </w:rPr>
        <w:t>（盖单位公章）</w:t>
      </w:r>
    </w:p>
    <w:p w14:paraId="0CA714A8">
      <w:pPr>
        <w:snapToGrid w:val="0"/>
        <w:spacing w:before="120" w:beforeLines="50" w:after="50"/>
        <w:ind w:firstLine="720" w:firstLineChars="225"/>
        <w:rPr>
          <w:rFonts w:hint="eastAsia" w:ascii="宋体" w:hAnsi="宋体" w:cs="仿宋_GB2312"/>
          <w:bCs/>
          <w:sz w:val="32"/>
          <w:szCs w:val="32"/>
        </w:rPr>
      </w:pPr>
      <w:r>
        <w:rPr>
          <w:rFonts w:hint="eastAsia" w:ascii="宋体" w:hAnsi="宋体" w:cs="仿宋_GB2312"/>
          <w:bCs/>
          <w:sz w:val="32"/>
          <w:szCs w:val="32"/>
        </w:rPr>
        <w:t>法定代表人或其委托代理人：</w:t>
      </w:r>
      <w:r>
        <w:rPr>
          <w:rFonts w:hint="eastAsia" w:ascii="宋体" w:hAnsi="宋体" w:cs="仿宋_GB2312"/>
          <w:bCs/>
          <w:sz w:val="32"/>
          <w:szCs w:val="32"/>
          <w:u w:val="single"/>
        </w:rPr>
        <w:t xml:space="preserve">           </w:t>
      </w:r>
      <w:r>
        <w:rPr>
          <w:rFonts w:hint="eastAsia" w:ascii="宋体" w:hAnsi="宋体" w:cs="仿宋_GB2312"/>
          <w:bCs/>
          <w:sz w:val="32"/>
          <w:szCs w:val="32"/>
        </w:rPr>
        <w:t>（签字）</w:t>
      </w:r>
    </w:p>
    <w:p w14:paraId="5E408EFD">
      <w:pPr>
        <w:snapToGrid w:val="0"/>
        <w:spacing w:before="120" w:beforeLines="50" w:after="50"/>
        <w:ind w:firstLine="720" w:firstLineChars="225"/>
        <w:rPr>
          <w:rFonts w:hint="eastAsia" w:ascii="宋体" w:hAnsi="宋体" w:cs="仿宋_GB2312"/>
          <w:bCs/>
          <w:sz w:val="32"/>
          <w:szCs w:val="32"/>
        </w:rPr>
      </w:pPr>
    </w:p>
    <w:p w14:paraId="5C4098B9">
      <w:pPr>
        <w:pStyle w:val="9"/>
        <w:snapToGrid w:val="0"/>
        <w:spacing w:before="50" w:after="50"/>
        <w:ind w:firstLine="720" w:firstLineChars="225"/>
        <w:rPr>
          <w:rFonts w:hint="eastAsia" w:ascii="宋体" w:hAnsi="宋体" w:cs="仿宋_GB2312"/>
          <w:bCs/>
          <w:sz w:val="32"/>
          <w:szCs w:val="32"/>
        </w:rPr>
      </w:pPr>
    </w:p>
    <w:p w14:paraId="62183A4D">
      <w:pPr>
        <w:pStyle w:val="9"/>
        <w:snapToGrid w:val="0"/>
        <w:spacing w:before="50" w:after="50"/>
        <w:ind w:firstLine="720" w:firstLineChars="225"/>
        <w:rPr>
          <w:rFonts w:hint="eastAsia" w:ascii="宋体" w:hAnsi="宋体" w:cs="仿宋_GB2312"/>
          <w:bCs/>
          <w:sz w:val="32"/>
          <w:szCs w:val="32"/>
        </w:rPr>
      </w:pPr>
    </w:p>
    <w:p w14:paraId="4B0C7D93">
      <w:pPr>
        <w:pStyle w:val="9"/>
        <w:snapToGrid w:val="0"/>
        <w:spacing w:before="50" w:after="50"/>
        <w:ind w:firstLine="720" w:firstLineChars="225"/>
        <w:rPr>
          <w:rFonts w:hint="eastAsia" w:ascii="宋体" w:hAnsi="宋体" w:cs="仿宋_GB2312"/>
          <w:bCs/>
          <w:sz w:val="32"/>
          <w:szCs w:val="32"/>
        </w:rPr>
      </w:pPr>
    </w:p>
    <w:p w14:paraId="44B380F3">
      <w:pPr>
        <w:pStyle w:val="9"/>
        <w:snapToGrid w:val="0"/>
        <w:spacing w:before="50" w:after="50"/>
        <w:ind w:firstLine="1280" w:firstLineChars="400"/>
        <w:rPr>
          <w:rFonts w:hint="eastAsia" w:ascii="宋体" w:hAnsi="宋体" w:cs="仿宋_GB2312"/>
          <w:bCs/>
          <w:sz w:val="32"/>
          <w:szCs w:val="32"/>
        </w:rPr>
      </w:pPr>
    </w:p>
    <w:p w14:paraId="6295FDF9">
      <w:pPr>
        <w:snapToGrid w:val="0"/>
        <w:spacing w:before="120" w:beforeLines="50" w:after="50"/>
        <w:jc w:val="center"/>
        <w:rPr>
          <w:rFonts w:hint="eastAsia" w:ascii="宋体" w:hAnsi="宋体" w:cs="仿宋_GB2312"/>
          <w:sz w:val="32"/>
          <w:szCs w:val="32"/>
        </w:rPr>
      </w:pPr>
      <w:r>
        <w:rPr>
          <w:rFonts w:hint="eastAsia" w:ascii="宋体" w:hAnsi="宋体" w:cs="仿宋_GB2312"/>
          <w:sz w:val="32"/>
          <w:szCs w:val="32"/>
          <w:u w:val="single"/>
        </w:rPr>
        <w:t xml:space="preserve">      </w:t>
      </w:r>
      <w:r>
        <w:rPr>
          <w:rFonts w:hint="eastAsia" w:ascii="宋体" w:hAnsi="宋体" w:cs="仿宋_GB2312"/>
          <w:sz w:val="32"/>
          <w:szCs w:val="32"/>
        </w:rPr>
        <w:t>年</w:t>
      </w:r>
      <w:r>
        <w:rPr>
          <w:rFonts w:hint="eastAsia" w:ascii="宋体" w:hAnsi="宋体" w:cs="仿宋_GB2312"/>
          <w:sz w:val="32"/>
          <w:szCs w:val="32"/>
          <w:u w:val="single"/>
        </w:rPr>
        <w:t xml:space="preserve">    </w:t>
      </w:r>
      <w:r>
        <w:rPr>
          <w:rFonts w:hint="eastAsia" w:ascii="宋体" w:hAnsi="宋体" w:cs="仿宋_GB2312"/>
          <w:sz w:val="32"/>
          <w:szCs w:val="32"/>
        </w:rPr>
        <w:t>月</w:t>
      </w:r>
      <w:r>
        <w:rPr>
          <w:rFonts w:hint="eastAsia" w:ascii="宋体" w:hAnsi="宋体" w:cs="仿宋_GB2312"/>
          <w:sz w:val="32"/>
          <w:szCs w:val="32"/>
          <w:u w:val="single"/>
        </w:rPr>
        <w:t xml:space="preserve">    </w:t>
      </w:r>
      <w:r>
        <w:rPr>
          <w:rFonts w:hint="eastAsia" w:ascii="宋体" w:hAnsi="宋体" w:cs="仿宋_GB2312"/>
          <w:sz w:val="32"/>
          <w:szCs w:val="32"/>
        </w:rPr>
        <w:t>日</w:t>
      </w:r>
    </w:p>
    <w:p w14:paraId="7879C1C7">
      <w:pPr>
        <w:snapToGrid w:val="0"/>
        <w:spacing w:before="120" w:beforeLines="50" w:after="50" w:line="360" w:lineRule="auto"/>
        <w:jc w:val="center"/>
        <w:outlineLvl w:val="1"/>
        <w:rPr>
          <w:rFonts w:hint="eastAsia" w:ascii="宋体" w:hAnsi="宋体"/>
          <w:b/>
          <w:bCs/>
          <w:sz w:val="36"/>
          <w:szCs w:val="36"/>
        </w:rPr>
      </w:pPr>
      <w:r>
        <w:rPr>
          <w:rFonts w:ascii="宋体" w:hAnsi="宋体"/>
          <w:sz w:val="24"/>
        </w:rPr>
        <w:br w:type="page"/>
      </w:r>
      <w:bookmarkStart w:id="47" w:name="_Toc5241"/>
      <w:bookmarkStart w:id="48" w:name="_Toc14424"/>
      <w:r>
        <w:rPr>
          <w:rFonts w:hint="eastAsia" w:ascii="宋体" w:hAnsi="宋体"/>
          <w:b/>
          <w:bCs/>
          <w:sz w:val="36"/>
          <w:szCs w:val="36"/>
        </w:rPr>
        <w:t>目录</w:t>
      </w:r>
      <w:bookmarkEnd w:id="47"/>
      <w:bookmarkEnd w:id="48"/>
    </w:p>
    <w:p w14:paraId="17971262">
      <w:pPr>
        <w:snapToGrid w:val="0"/>
        <w:spacing w:before="120" w:beforeLines="50" w:after="50"/>
        <w:rPr>
          <w:rFonts w:hint="eastAsia" w:ascii="宋体" w:hAnsi="宋体"/>
          <w:sz w:val="24"/>
          <w:szCs w:val="20"/>
        </w:rPr>
      </w:pPr>
    </w:p>
    <w:p w14:paraId="73F7448A">
      <w:pPr>
        <w:snapToGrid w:val="0"/>
        <w:spacing w:before="120" w:beforeLines="50" w:after="50"/>
        <w:ind w:firstLine="480" w:firstLineChars="200"/>
        <w:rPr>
          <w:rFonts w:hint="eastAsia" w:ascii="宋体" w:hAnsi="宋体"/>
          <w:sz w:val="24"/>
          <w:szCs w:val="20"/>
        </w:rPr>
      </w:pPr>
      <w:r>
        <w:rPr>
          <w:rFonts w:hint="eastAsia" w:ascii="宋体" w:hAnsi="宋体"/>
          <w:sz w:val="24"/>
          <w:szCs w:val="20"/>
        </w:rPr>
        <w:t>一、竞标函</w:t>
      </w:r>
    </w:p>
    <w:p w14:paraId="44AF2806">
      <w:pPr>
        <w:snapToGrid w:val="0"/>
        <w:spacing w:before="120" w:beforeLines="50" w:after="50"/>
        <w:ind w:firstLine="480" w:firstLineChars="200"/>
        <w:rPr>
          <w:rFonts w:hint="eastAsia" w:ascii="宋体" w:hAnsi="宋体"/>
          <w:sz w:val="24"/>
          <w:szCs w:val="20"/>
        </w:rPr>
      </w:pPr>
      <w:r>
        <w:rPr>
          <w:rFonts w:hint="eastAsia" w:ascii="宋体" w:hAnsi="宋体"/>
          <w:sz w:val="24"/>
          <w:szCs w:val="20"/>
        </w:rPr>
        <w:t>二、法定代表人身份证明（适用于无委托代理人的情况）</w:t>
      </w:r>
    </w:p>
    <w:p w14:paraId="71EDD04E">
      <w:pPr>
        <w:snapToGrid w:val="0"/>
        <w:spacing w:before="120" w:beforeLines="50" w:after="50"/>
        <w:ind w:firstLine="480" w:firstLineChars="200"/>
        <w:rPr>
          <w:rFonts w:hint="eastAsia" w:ascii="宋体" w:hAnsi="宋体"/>
          <w:sz w:val="24"/>
          <w:szCs w:val="20"/>
        </w:rPr>
      </w:pPr>
      <w:r>
        <w:rPr>
          <w:rFonts w:hint="eastAsia" w:ascii="宋体" w:hAnsi="宋体"/>
          <w:sz w:val="24"/>
          <w:szCs w:val="20"/>
        </w:rPr>
        <w:t>二、授权委托书（适用于有委托代理人的情况）</w:t>
      </w:r>
    </w:p>
    <w:p w14:paraId="24611BD6">
      <w:pPr>
        <w:snapToGrid w:val="0"/>
        <w:spacing w:before="120" w:beforeLines="50" w:after="50"/>
        <w:ind w:firstLine="480" w:firstLineChars="200"/>
        <w:rPr>
          <w:rFonts w:hint="eastAsia" w:ascii="宋体" w:hAnsi="宋体"/>
          <w:sz w:val="24"/>
          <w:szCs w:val="20"/>
        </w:rPr>
      </w:pPr>
      <w:r>
        <w:rPr>
          <w:rFonts w:hint="eastAsia" w:ascii="宋体" w:hAnsi="宋体"/>
          <w:sz w:val="24"/>
          <w:szCs w:val="20"/>
        </w:rPr>
        <w:t>三、报价清单</w:t>
      </w:r>
    </w:p>
    <w:p w14:paraId="722138C1">
      <w:pPr>
        <w:snapToGrid w:val="0"/>
        <w:spacing w:before="120" w:beforeLines="50" w:after="50"/>
        <w:ind w:firstLine="480" w:firstLineChars="200"/>
        <w:rPr>
          <w:rFonts w:hint="eastAsia" w:ascii="宋体" w:hAnsi="宋体"/>
          <w:sz w:val="24"/>
          <w:szCs w:val="20"/>
        </w:rPr>
      </w:pPr>
      <w:r>
        <w:rPr>
          <w:rFonts w:hint="eastAsia" w:ascii="宋体" w:hAnsi="宋体"/>
          <w:sz w:val="24"/>
          <w:szCs w:val="20"/>
        </w:rPr>
        <w:t>四、业绩和人员配置资料</w:t>
      </w:r>
    </w:p>
    <w:p w14:paraId="2D15D6F6">
      <w:pPr>
        <w:snapToGrid w:val="0"/>
        <w:spacing w:before="120" w:beforeLines="50" w:after="50"/>
        <w:ind w:firstLine="480" w:firstLineChars="200"/>
        <w:rPr>
          <w:rFonts w:hint="eastAsia" w:ascii="宋体" w:hAnsi="宋体"/>
          <w:sz w:val="24"/>
          <w:szCs w:val="20"/>
        </w:rPr>
      </w:pPr>
      <w:r>
        <w:rPr>
          <w:rFonts w:hint="eastAsia" w:ascii="宋体" w:hAnsi="宋体"/>
          <w:sz w:val="24"/>
          <w:szCs w:val="20"/>
        </w:rPr>
        <w:t>五、服务方案</w:t>
      </w:r>
    </w:p>
    <w:p w14:paraId="3F8B76F1">
      <w:pPr>
        <w:snapToGrid w:val="0"/>
        <w:spacing w:before="120" w:beforeLines="50" w:after="50"/>
        <w:ind w:firstLine="480" w:firstLineChars="200"/>
        <w:rPr>
          <w:rFonts w:hint="eastAsia" w:ascii="宋体" w:hAnsi="宋体"/>
          <w:sz w:val="24"/>
          <w:szCs w:val="20"/>
        </w:rPr>
      </w:pPr>
      <w:r>
        <w:rPr>
          <w:rFonts w:hint="eastAsia" w:ascii="宋体" w:hAnsi="宋体"/>
          <w:sz w:val="24"/>
          <w:szCs w:val="20"/>
        </w:rPr>
        <w:t>六、其他资料</w:t>
      </w:r>
    </w:p>
    <w:p w14:paraId="3EC6599F">
      <w:pPr>
        <w:spacing w:line="300" w:lineRule="auto"/>
        <w:rPr>
          <w:rFonts w:hint="eastAsia" w:ascii="宋体" w:hAnsi="宋体"/>
          <w:szCs w:val="21"/>
        </w:rPr>
      </w:pPr>
    </w:p>
    <w:p w14:paraId="230D9302">
      <w:pPr>
        <w:spacing w:line="300" w:lineRule="auto"/>
        <w:rPr>
          <w:rFonts w:hint="eastAsia" w:ascii="宋体" w:hAnsi="宋体"/>
          <w:szCs w:val="21"/>
        </w:rPr>
      </w:pPr>
    </w:p>
    <w:p w14:paraId="5F13FFC5">
      <w:pPr>
        <w:spacing w:line="300" w:lineRule="auto"/>
        <w:rPr>
          <w:rFonts w:hint="eastAsia" w:ascii="宋体" w:hAnsi="宋体"/>
          <w:szCs w:val="21"/>
        </w:rPr>
      </w:pPr>
    </w:p>
    <w:p w14:paraId="3C3C3503">
      <w:pPr>
        <w:spacing w:line="300" w:lineRule="auto"/>
        <w:rPr>
          <w:rFonts w:hint="eastAsia" w:ascii="宋体" w:hAnsi="宋体"/>
          <w:szCs w:val="21"/>
        </w:rPr>
      </w:pPr>
    </w:p>
    <w:p w14:paraId="277490A2">
      <w:pPr>
        <w:jc w:val="center"/>
        <w:outlineLvl w:val="1"/>
        <w:rPr>
          <w:rFonts w:hint="eastAsia" w:ascii="黑体" w:hAnsi="黑体" w:eastAsia="黑体" w:cs="黑体"/>
          <w:sz w:val="36"/>
          <w:szCs w:val="36"/>
        </w:rPr>
      </w:pPr>
      <w:r>
        <w:rPr>
          <w:rFonts w:ascii="宋体" w:hAnsi="宋体"/>
          <w:szCs w:val="21"/>
        </w:rPr>
        <w:br w:type="page"/>
      </w:r>
      <w:bookmarkStart w:id="49" w:name="_Toc30651"/>
      <w:bookmarkStart w:id="50" w:name="_Toc5505"/>
      <w:r>
        <w:rPr>
          <w:rFonts w:hint="eastAsia" w:ascii="黑体" w:hAnsi="黑体" w:eastAsia="黑体" w:cs="黑体"/>
          <w:sz w:val="36"/>
          <w:szCs w:val="36"/>
        </w:rPr>
        <w:t>一、竞标函</w:t>
      </w:r>
      <w:bookmarkEnd w:id="49"/>
      <w:bookmarkEnd w:id="50"/>
    </w:p>
    <w:p w14:paraId="175D033B">
      <w:pPr>
        <w:spacing w:line="320" w:lineRule="exact"/>
        <w:jc w:val="center"/>
        <w:rPr>
          <w:rFonts w:hint="eastAsia" w:ascii="宋体" w:hAnsi="宋体"/>
          <w:b/>
          <w:sz w:val="32"/>
          <w:szCs w:val="32"/>
        </w:rPr>
      </w:pPr>
    </w:p>
    <w:p w14:paraId="185FDB03">
      <w:pPr>
        <w:spacing w:line="320" w:lineRule="exact"/>
        <w:jc w:val="center"/>
        <w:rPr>
          <w:rFonts w:hint="eastAsia" w:ascii="宋体" w:hAnsi="宋体"/>
          <w:b/>
          <w:sz w:val="32"/>
          <w:szCs w:val="32"/>
        </w:rPr>
      </w:pPr>
      <w:r>
        <w:rPr>
          <w:rFonts w:hint="eastAsia" w:ascii="宋体" w:hAnsi="宋体"/>
          <w:b/>
          <w:sz w:val="32"/>
          <w:szCs w:val="32"/>
        </w:rPr>
        <w:t>竞标函</w:t>
      </w:r>
    </w:p>
    <w:p w14:paraId="0B65164A">
      <w:pPr>
        <w:spacing w:line="320" w:lineRule="exact"/>
        <w:jc w:val="center"/>
        <w:rPr>
          <w:rFonts w:hint="eastAsia" w:ascii="宋体" w:hAnsi="宋体"/>
          <w:sz w:val="24"/>
          <w:szCs w:val="20"/>
        </w:rPr>
      </w:pPr>
    </w:p>
    <w:p w14:paraId="69870D2B">
      <w:pPr>
        <w:spacing w:line="360" w:lineRule="auto"/>
        <w:contextualSpacing/>
        <w:rPr>
          <w:rFonts w:hint="eastAsia" w:ascii="宋体" w:hAnsi="宋体" w:cs="宋体"/>
          <w:sz w:val="24"/>
        </w:rPr>
      </w:pPr>
      <w:r>
        <w:rPr>
          <w:rFonts w:hint="eastAsia" w:ascii="宋体" w:hAnsi="宋体" w:cs="宋体"/>
          <w:sz w:val="24"/>
          <w:u w:val="single"/>
        </w:rPr>
        <w:t>广西壮族自治区</w:t>
      </w:r>
      <w:r>
        <w:rPr>
          <w:rFonts w:hint="eastAsia" w:ascii="宋体" w:hAnsi="宋体" w:cs="宋体"/>
          <w:sz w:val="24"/>
          <w:u w:val="single"/>
          <w:lang w:eastAsia="zh-CN"/>
        </w:rPr>
        <w:t>水运发展中心</w:t>
      </w:r>
      <w:r>
        <w:rPr>
          <w:rFonts w:hint="eastAsia" w:ascii="宋体" w:hAnsi="宋体" w:cs="宋体"/>
          <w:sz w:val="24"/>
          <w:u w:val="single"/>
        </w:rPr>
        <w:t xml:space="preserve"> </w:t>
      </w:r>
      <w:r>
        <w:rPr>
          <w:rFonts w:hint="eastAsia" w:ascii="宋体" w:hAnsi="宋体" w:cs="宋体"/>
          <w:sz w:val="24"/>
        </w:rPr>
        <w:t>：</w:t>
      </w:r>
    </w:p>
    <w:p w14:paraId="3AF6B88A">
      <w:pPr>
        <w:spacing w:line="360" w:lineRule="auto"/>
        <w:ind w:firstLine="480" w:firstLineChars="200"/>
        <w:contextualSpacing/>
        <w:rPr>
          <w:rFonts w:hint="eastAsia" w:ascii="宋体" w:hAnsi="宋体" w:cs="宋体"/>
          <w:sz w:val="24"/>
        </w:rPr>
      </w:pPr>
      <w:r>
        <w:rPr>
          <w:rFonts w:hint="eastAsia" w:ascii="宋体" w:hAnsi="宋体" w:cs="宋体"/>
          <w:sz w:val="24"/>
        </w:rPr>
        <w:t>1.我方已仔细研究了</w:t>
      </w:r>
      <w:r>
        <w:rPr>
          <w:rFonts w:hint="eastAsia" w:ascii="宋体" w:hAnsi="宋体" w:cs="宋体"/>
          <w:sz w:val="24"/>
          <w:u w:val="single"/>
        </w:rPr>
        <w:t xml:space="preserve"> </w:t>
      </w:r>
      <w:r>
        <w:rPr>
          <w:rFonts w:hint="eastAsia" w:ascii="宋体" w:hAnsi="宋体" w:cs="宋体"/>
          <w:sz w:val="24"/>
          <w:u w:val="single"/>
          <w:lang w:eastAsia="zh-CN"/>
        </w:rPr>
        <w:t>新增内河航道</w:t>
      </w:r>
      <w:r>
        <w:rPr>
          <w:rFonts w:hint="eastAsia" w:ascii="宋体" w:hAnsi="宋体" w:cs="宋体"/>
          <w:sz w:val="24"/>
          <w:u w:val="single"/>
        </w:rPr>
        <w:t>普查工作</w:t>
      </w:r>
      <w:r>
        <w:rPr>
          <w:rFonts w:hint="eastAsia" w:ascii="宋体" w:hAnsi="宋体" w:cs="宋体"/>
          <w:sz w:val="24"/>
        </w:rPr>
        <w:t>采购文件的全部内容，愿意以人民币（大写）</w:t>
      </w:r>
      <w:r>
        <w:rPr>
          <w:rFonts w:hint="eastAsia" w:ascii="宋体" w:hAnsi="宋体" w:cs="宋体"/>
          <w:sz w:val="24"/>
          <w:u w:val="single"/>
        </w:rPr>
        <w:t xml:space="preserve">             （¥               ）</w:t>
      </w:r>
      <w:r>
        <w:rPr>
          <w:rFonts w:hint="eastAsia" w:ascii="宋体" w:hAnsi="宋体" w:cs="宋体"/>
          <w:sz w:val="24"/>
        </w:rPr>
        <w:t>的竞标总报价，按合同约定完成</w:t>
      </w:r>
      <w:r>
        <w:rPr>
          <w:rFonts w:hint="eastAsia" w:ascii="宋体" w:hAnsi="宋体" w:cs="宋体"/>
          <w:sz w:val="24"/>
          <w:lang w:eastAsia="zh-CN"/>
        </w:rPr>
        <w:t>新增内河航道</w:t>
      </w:r>
      <w:r>
        <w:rPr>
          <w:rFonts w:hint="eastAsia" w:ascii="宋体" w:hAnsi="宋体" w:cs="宋体"/>
          <w:sz w:val="24"/>
        </w:rPr>
        <w:t>普查工作工作。</w:t>
      </w:r>
    </w:p>
    <w:p w14:paraId="23A87661">
      <w:pPr>
        <w:spacing w:line="360" w:lineRule="auto"/>
        <w:ind w:firstLine="480" w:firstLineChars="200"/>
        <w:contextualSpacing/>
        <w:rPr>
          <w:rFonts w:hint="eastAsia" w:ascii="宋体" w:hAnsi="宋体" w:cs="宋体"/>
          <w:sz w:val="24"/>
        </w:rPr>
      </w:pPr>
      <w:r>
        <w:rPr>
          <w:rFonts w:hint="eastAsia" w:ascii="宋体" w:hAnsi="宋体" w:cs="宋体"/>
          <w:sz w:val="24"/>
        </w:rPr>
        <w:t>2.我方的响应文件包括下列内容：：</w:t>
      </w:r>
    </w:p>
    <w:p w14:paraId="003918F6">
      <w:pPr>
        <w:spacing w:line="360" w:lineRule="auto"/>
        <w:ind w:firstLine="480" w:firstLineChars="200"/>
        <w:contextualSpacing/>
        <w:rPr>
          <w:rFonts w:hint="eastAsia" w:ascii="宋体" w:hAnsi="宋体" w:cs="宋体"/>
          <w:sz w:val="24"/>
        </w:rPr>
      </w:pPr>
      <w:r>
        <w:rPr>
          <w:rFonts w:hint="eastAsia" w:ascii="宋体" w:hAnsi="宋体" w:cs="宋体"/>
          <w:sz w:val="24"/>
        </w:rPr>
        <w:t>（1）竞标函；</w:t>
      </w:r>
    </w:p>
    <w:p w14:paraId="4FE4B453">
      <w:pPr>
        <w:spacing w:line="360" w:lineRule="auto"/>
        <w:ind w:firstLine="480" w:firstLineChars="200"/>
        <w:contextualSpacing/>
        <w:rPr>
          <w:rFonts w:hint="eastAsia" w:ascii="宋体" w:hAnsi="宋体" w:cs="宋体"/>
          <w:sz w:val="24"/>
        </w:rPr>
      </w:pPr>
      <w:r>
        <w:rPr>
          <w:rFonts w:hint="eastAsia" w:ascii="宋体" w:hAnsi="宋体" w:cs="宋体"/>
          <w:sz w:val="24"/>
        </w:rPr>
        <w:t>（2）法定代表人身份证明或授权委托书；</w:t>
      </w:r>
    </w:p>
    <w:p w14:paraId="1BB9A91F">
      <w:pPr>
        <w:spacing w:line="360" w:lineRule="auto"/>
        <w:ind w:firstLine="480" w:firstLineChars="200"/>
        <w:contextualSpacing/>
        <w:rPr>
          <w:rFonts w:hint="eastAsia" w:ascii="宋体" w:hAnsi="宋体" w:cs="宋体"/>
          <w:sz w:val="24"/>
        </w:rPr>
      </w:pPr>
      <w:r>
        <w:rPr>
          <w:rFonts w:hint="eastAsia" w:ascii="宋体" w:hAnsi="宋体" w:cs="宋体"/>
          <w:sz w:val="24"/>
        </w:rPr>
        <w:t>（3）报价清单；</w:t>
      </w:r>
    </w:p>
    <w:p w14:paraId="6E3C2876">
      <w:pPr>
        <w:spacing w:line="360" w:lineRule="auto"/>
        <w:ind w:firstLine="480" w:firstLineChars="200"/>
        <w:contextualSpacing/>
        <w:rPr>
          <w:rFonts w:hint="eastAsia" w:ascii="宋体" w:hAnsi="宋体" w:cs="宋体"/>
          <w:sz w:val="24"/>
        </w:rPr>
      </w:pPr>
      <w:r>
        <w:rPr>
          <w:rFonts w:hint="eastAsia" w:ascii="宋体" w:hAnsi="宋体" w:cs="宋体"/>
          <w:sz w:val="24"/>
        </w:rPr>
        <w:t>（4）资格审查资料；</w:t>
      </w:r>
    </w:p>
    <w:p w14:paraId="5E2F24D7">
      <w:pPr>
        <w:spacing w:line="360" w:lineRule="auto"/>
        <w:ind w:firstLine="480" w:firstLineChars="200"/>
        <w:contextualSpacing/>
        <w:rPr>
          <w:rFonts w:hint="eastAsia" w:ascii="宋体" w:hAnsi="宋体" w:cs="宋体"/>
          <w:sz w:val="24"/>
        </w:rPr>
      </w:pPr>
      <w:r>
        <w:rPr>
          <w:rFonts w:hint="eastAsia" w:ascii="宋体" w:hAnsi="宋体" w:cs="宋体"/>
          <w:sz w:val="24"/>
        </w:rPr>
        <w:t>（5）服务方案。</w:t>
      </w:r>
    </w:p>
    <w:p w14:paraId="1092E300">
      <w:pPr>
        <w:spacing w:line="360" w:lineRule="auto"/>
        <w:ind w:firstLine="480" w:firstLineChars="200"/>
        <w:contextualSpacing/>
        <w:rPr>
          <w:rFonts w:hint="eastAsia" w:ascii="宋体" w:hAnsi="宋体" w:cs="宋体"/>
          <w:sz w:val="24"/>
        </w:rPr>
      </w:pPr>
      <w:r>
        <w:rPr>
          <w:rFonts w:hint="eastAsia" w:ascii="宋体" w:hAnsi="宋体" w:cs="宋体"/>
          <w:sz w:val="24"/>
        </w:rPr>
        <w:t>响应文件的上述组成部分如存在内容不一致的，以竞标函为准。</w:t>
      </w:r>
    </w:p>
    <w:p w14:paraId="7C06149B">
      <w:pPr>
        <w:spacing w:line="360" w:lineRule="auto"/>
        <w:ind w:firstLine="480" w:firstLineChars="200"/>
        <w:contextualSpacing/>
        <w:rPr>
          <w:rFonts w:hint="eastAsia" w:ascii="宋体" w:hAnsi="宋体" w:cs="宋体"/>
          <w:sz w:val="24"/>
        </w:rPr>
      </w:pPr>
      <w:r>
        <w:rPr>
          <w:rFonts w:hint="eastAsia" w:ascii="宋体" w:hAnsi="宋体" w:cs="宋体"/>
          <w:sz w:val="24"/>
        </w:rPr>
        <w:t>3.项目负责人姓名：</w:t>
      </w:r>
      <w:r>
        <w:rPr>
          <w:rFonts w:hint="eastAsia" w:ascii="宋体" w:hAnsi="宋体" w:cs="宋体"/>
          <w:sz w:val="24"/>
          <w:u w:val="single"/>
        </w:rPr>
        <w:t xml:space="preserve">        </w:t>
      </w:r>
      <w:r>
        <w:rPr>
          <w:rFonts w:hint="eastAsia" w:ascii="宋体" w:hAnsi="宋体" w:cs="宋体"/>
          <w:sz w:val="24"/>
        </w:rPr>
        <w:t>年龄：</w:t>
      </w:r>
      <w:r>
        <w:rPr>
          <w:rFonts w:hint="eastAsia" w:ascii="宋体" w:hAnsi="宋体" w:cs="宋体"/>
          <w:sz w:val="24"/>
          <w:u w:val="single"/>
        </w:rPr>
        <w:t xml:space="preserve">    </w:t>
      </w:r>
      <w:r>
        <w:rPr>
          <w:rFonts w:hint="eastAsia" w:ascii="宋体" w:hAnsi="宋体" w:cs="宋体"/>
          <w:sz w:val="24"/>
        </w:rPr>
        <w:t>现任职务：</w:t>
      </w:r>
      <w:r>
        <w:rPr>
          <w:rFonts w:hint="eastAsia" w:ascii="宋体" w:hAnsi="宋体" w:cs="宋体"/>
          <w:sz w:val="24"/>
          <w:u w:val="single"/>
        </w:rPr>
        <w:t xml:space="preserve">      </w:t>
      </w:r>
      <w:r>
        <w:rPr>
          <w:rFonts w:hint="eastAsia" w:ascii="宋体" w:hAnsi="宋体" w:cs="宋体"/>
          <w:sz w:val="24"/>
        </w:rPr>
        <w:t xml:space="preserve"> 职称：</w:t>
      </w:r>
      <w:r>
        <w:rPr>
          <w:rFonts w:hint="eastAsia" w:ascii="宋体" w:hAnsi="宋体" w:cs="宋体"/>
          <w:sz w:val="24"/>
          <w:u w:val="single"/>
        </w:rPr>
        <w:t xml:space="preserve">          </w:t>
      </w:r>
      <w:r>
        <w:rPr>
          <w:rFonts w:hint="eastAsia" w:ascii="宋体" w:hAnsi="宋体" w:cs="宋体"/>
          <w:sz w:val="24"/>
        </w:rPr>
        <w:t>。</w:t>
      </w:r>
    </w:p>
    <w:p w14:paraId="387C4BFF">
      <w:pPr>
        <w:spacing w:line="360" w:lineRule="auto"/>
        <w:ind w:firstLine="480" w:firstLineChars="200"/>
        <w:contextualSpacing/>
        <w:rPr>
          <w:rFonts w:hint="eastAsia" w:ascii="宋体" w:hAnsi="宋体" w:cs="宋体"/>
          <w:sz w:val="24"/>
        </w:rPr>
      </w:pPr>
      <w:r>
        <w:rPr>
          <w:rFonts w:hint="eastAsia" w:ascii="宋体" w:hAnsi="宋体" w:cs="宋体"/>
          <w:sz w:val="24"/>
        </w:rPr>
        <w:t>4.我方承诺在采购文件规定的竞标有效期内不撤销响应文件。</w:t>
      </w:r>
    </w:p>
    <w:p w14:paraId="7F19C5FC">
      <w:pPr>
        <w:spacing w:line="360" w:lineRule="auto"/>
        <w:ind w:firstLine="480" w:firstLineChars="200"/>
        <w:contextualSpacing/>
        <w:rPr>
          <w:rFonts w:hint="eastAsia" w:ascii="宋体" w:hAnsi="宋体" w:cs="宋体"/>
          <w:sz w:val="24"/>
        </w:rPr>
      </w:pPr>
      <w:r>
        <w:rPr>
          <w:rFonts w:hint="eastAsia" w:ascii="宋体" w:hAnsi="宋体" w:cs="宋体"/>
          <w:sz w:val="24"/>
        </w:rPr>
        <w:t>5.如我方中标，我方承诺：</w:t>
      </w:r>
    </w:p>
    <w:p w14:paraId="34DCF980">
      <w:pPr>
        <w:spacing w:line="360" w:lineRule="auto"/>
        <w:ind w:firstLine="480" w:firstLineChars="200"/>
        <w:contextualSpacing/>
        <w:rPr>
          <w:rFonts w:hint="eastAsia" w:ascii="宋体" w:hAnsi="宋体" w:cs="宋体"/>
          <w:sz w:val="24"/>
        </w:rPr>
      </w:pPr>
      <w:r>
        <w:rPr>
          <w:rFonts w:hint="eastAsia" w:ascii="宋体" w:hAnsi="宋体" w:cs="宋体"/>
          <w:sz w:val="24"/>
        </w:rPr>
        <w:t>（1）在收到中标通知书后，在中标通知书规定的期限内与你方签订合同；</w:t>
      </w:r>
    </w:p>
    <w:p w14:paraId="78663368">
      <w:pPr>
        <w:spacing w:line="360" w:lineRule="auto"/>
        <w:ind w:firstLine="480" w:firstLineChars="200"/>
        <w:contextualSpacing/>
        <w:rPr>
          <w:rFonts w:hint="eastAsia" w:ascii="宋体" w:hAnsi="宋体" w:cs="宋体"/>
          <w:sz w:val="24"/>
        </w:rPr>
      </w:pPr>
      <w:r>
        <w:rPr>
          <w:rFonts w:hint="eastAsia" w:ascii="宋体" w:hAnsi="宋体" w:cs="宋体"/>
          <w:sz w:val="24"/>
        </w:rPr>
        <w:t>（2）在签订合同时不向你方提出附加条件；</w:t>
      </w:r>
    </w:p>
    <w:p w14:paraId="4421F537">
      <w:pPr>
        <w:spacing w:line="360" w:lineRule="auto"/>
        <w:ind w:firstLine="480" w:firstLineChars="200"/>
        <w:contextualSpacing/>
        <w:rPr>
          <w:rFonts w:hint="eastAsia" w:ascii="宋体" w:hAnsi="宋体" w:cs="宋体"/>
          <w:sz w:val="24"/>
        </w:rPr>
      </w:pPr>
      <w:r>
        <w:rPr>
          <w:rFonts w:hint="eastAsia" w:ascii="宋体" w:hAnsi="宋体" w:cs="宋体"/>
          <w:sz w:val="24"/>
        </w:rPr>
        <w:t>（3）在合同约定的期限内完成合同规定的全部义务。</w:t>
      </w:r>
    </w:p>
    <w:p w14:paraId="584F5F06">
      <w:pPr>
        <w:spacing w:line="360" w:lineRule="auto"/>
        <w:ind w:firstLine="480" w:firstLineChars="200"/>
        <w:contextualSpacing/>
        <w:rPr>
          <w:rFonts w:hint="eastAsia" w:ascii="宋体" w:hAnsi="宋体" w:cs="宋体"/>
          <w:sz w:val="24"/>
        </w:rPr>
      </w:pPr>
      <w:r>
        <w:rPr>
          <w:rFonts w:hint="eastAsia" w:ascii="宋体" w:hAnsi="宋体" w:cs="宋体"/>
          <w:sz w:val="24"/>
        </w:rPr>
        <w:t>6.我方在此声明，所递交的响应文件及有关资料内容完整、真实和准确。</w:t>
      </w:r>
    </w:p>
    <w:p w14:paraId="007C4536">
      <w:pPr>
        <w:pStyle w:val="15"/>
        <w:tabs>
          <w:tab w:val="left" w:pos="939"/>
        </w:tabs>
        <w:spacing w:line="360" w:lineRule="auto"/>
        <w:ind w:left="0" w:leftChars="0" w:firstLine="480" w:firstLineChars="200"/>
        <w:rPr>
          <w:rFonts w:hint="eastAsia" w:ascii="宋体" w:hAnsi="宋体" w:cs="宋体"/>
          <w:sz w:val="24"/>
        </w:rPr>
      </w:pPr>
    </w:p>
    <w:p w14:paraId="294C66CE">
      <w:pPr>
        <w:pStyle w:val="9"/>
        <w:overflowPunct w:val="0"/>
        <w:spacing w:line="520" w:lineRule="exact"/>
        <w:ind w:firstLine="0"/>
        <w:jc w:val="center"/>
        <w:rPr>
          <w:sz w:val="24"/>
        </w:rPr>
      </w:pPr>
      <w:r>
        <w:rPr>
          <w:rFonts w:hint="eastAsia"/>
          <w:sz w:val="24"/>
        </w:rPr>
        <w:t>供应商名称：</w:t>
      </w:r>
      <w:r>
        <w:rPr>
          <w:rFonts w:hint="eastAsia"/>
          <w:sz w:val="24"/>
          <w:u w:val="single"/>
        </w:rPr>
        <w:t xml:space="preserve">                         </w:t>
      </w:r>
      <w:r>
        <w:rPr>
          <w:rFonts w:hint="eastAsia"/>
          <w:sz w:val="24"/>
        </w:rPr>
        <w:t>（盖单位公章）</w:t>
      </w:r>
    </w:p>
    <w:p w14:paraId="40DDFCC9">
      <w:pPr>
        <w:pStyle w:val="9"/>
        <w:overflowPunct w:val="0"/>
        <w:spacing w:line="520" w:lineRule="exact"/>
        <w:ind w:firstLine="1478" w:firstLineChars="616"/>
        <w:rPr>
          <w:sz w:val="24"/>
        </w:rPr>
      </w:pPr>
      <w:r>
        <w:rPr>
          <w:rFonts w:hint="eastAsia"/>
          <w:sz w:val="24"/>
        </w:rPr>
        <w:t>法定代表人或其委托代理人：</w:t>
      </w:r>
      <w:r>
        <w:rPr>
          <w:rFonts w:hint="eastAsia"/>
          <w:sz w:val="24"/>
          <w:u w:val="single"/>
        </w:rPr>
        <w:t xml:space="preserve">           </w:t>
      </w:r>
      <w:r>
        <w:rPr>
          <w:rFonts w:hint="eastAsia"/>
          <w:sz w:val="24"/>
        </w:rPr>
        <w:t>（签字）</w:t>
      </w:r>
    </w:p>
    <w:p w14:paraId="481728FB">
      <w:pPr>
        <w:pStyle w:val="9"/>
        <w:overflowPunct w:val="0"/>
        <w:spacing w:line="520" w:lineRule="exact"/>
        <w:ind w:firstLine="3998" w:firstLineChars="1666"/>
        <w:rPr>
          <w:sz w:val="24"/>
        </w:rPr>
      </w:pP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w:t>
      </w:r>
    </w:p>
    <w:p w14:paraId="63FBE612">
      <w:pPr>
        <w:rPr>
          <w:rFonts w:hint="eastAsia" w:ascii="宋体" w:hAnsi="宋体" w:cs="仿宋_GB2312"/>
          <w:sz w:val="24"/>
        </w:rPr>
      </w:pPr>
      <w:r>
        <w:rPr>
          <w:rFonts w:hint="eastAsia" w:ascii="宋体" w:hAnsi="宋体" w:cs="仿宋_GB2312"/>
          <w:sz w:val="24"/>
        </w:rPr>
        <w:br w:type="page"/>
      </w:r>
    </w:p>
    <w:p w14:paraId="7A002617">
      <w:pPr>
        <w:snapToGrid w:val="0"/>
        <w:spacing w:line="360" w:lineRule="auto"/>
        <w:jc w:val="center"/>
        <w:outlineLvl w:val="1"/>
        <w:rPr>
          <w:rFonts w:hint="eastAsia" w:ascii="黑体" w:hAnsi="黑体" w:eastAsia="黑体" w:cs="黑体"/>
          <w:sz w:val="36"/>
          <w:szCs w:val="36"/>
        </w:rPr>
      </w:pPr>
      <w:bookmarkStart w:id="51" w:name="_Toc10185"/>
      <w:bookmarkStart w:id="52" w:name="_Toc9179"/>
      <w:r>
        <w:rPr>
          <w:rFonts w:hint="eastAsia" w:ascii="黑体" w:hAnsi="黑体" w:eastAsia="黑体" w:cs="黑体"/>
          <w:sz w:val="36"/>
          <w:szCs w:val="36"/>
        </w:rPr>
        <w:t>二、法定代表人身份证明</w:t>
      </w:r>
      <w:bookmarkEnd w:id="51"/>
      <w:bookmarkEnd w:id="52"/>
    </w:p>
    <w:p w14:paraId="5ADB8462">
      <w:pPr>
        <w:snapToGrid w:val="0"/>
        <w:spacing w:line="360" w:lineRule="auto"/>
        <w:ind w:firstLine="480" w:firstLineChars="200"/>
        <w:rPr>
          <w:rFonts w:hint="eastAsia" w:ascii="宋体" w:hAnsi="宋体" w:cs="仿宋_GB2312"/>
          <w:sz w:val="24"/>
        </w:rPr>
      </w:pPr>
    </w:p>
    <w:p w14:paraId="2D221650">
      <w:pPr>
        <w:pStyle w:val="31"/>
        <w:jc w:val="center"/>
      </w:pPr>
      <w:r>
        <w:rPr>
          <w:rFonts w:hint="eastAsia" w:ascii="宋体" w:hAnsi="宋体"/>
          <w:b/>
          <w:sz w:val="28"/>
          <w:szCs w:val="28"/>
        </w:rPr>
        <w:t>法定代表人身份证明</w:t>
      </w:r>
    </w:p>
    <w:p w14:paraId="573B0E22">
      <w:pPr>
        <w:pStyle w:val="31"/>
        <w:rPr>
          <w:rFonts w:hint="eastAsia" w:ascii="宋体" w:hAnsi="宋体" w:cs="仿宋_GB2312"/>
        </w:rPr>
      </w:pPr>
    </w:p>
    <w:p w14:paraId="7A48E7F8">
      <w:pPr>
        <w:pStyle w:val="3"/>
      </w:pPr>
    </w:p>
    <w:p w14:paraId="69F66207">
      <w:pPr>
        <w:snapToGrid w:val="0"/>
        <w:spacing w:line="360" w:lineRule="auto"/>
        <w:ind w:firstLine="480" w:firstLineChars="200"/>
        <w:rPr>
          <w:rFonts w:hint="eastAsia" w:ascii="宋体" w:hAnsi="宋体" w:cs="仿宋_GB2312"/>
          <w:sz w:val="24"/>
          <w:u w:val="single"/>
        </w:rPr>
      </w:pPr>
      <w:r>
        <w:rPr>
          <w:rFonts w:hint="eastAsia" w:ascii="宋体" w:hAnsi="宋体" w:cs="仿宋_GB2312"/>
          <w:sz w:val="24"/>
        </w:rPr>
        <w:t>供应商名称：</w:t>
      </w:r>
      <w:r>
        <w:rPr>
          <w:rFonts w:hint="eastAsia" w:ascii="宋体" w:hAnsi="宋体" w:cs="仿宋_GB2312"/>
          <w:sz w:val="24"/>
          <w:u w:val="single"/>
        </w:rPr>
        <w:t xml:space="preserve">                                 </w:t>
      </w:r>
    </w:p>
    <w:p w14:paraId="16E74311">
      <w:pPr>
        <w:snapToGrid w:val="0"/>
        <w:spacing w:line="360" w:lineRule="auto"/>
        <w:ind w:firstLine="480" w:firstLineChars="200"/>
        <w:rPr>
          <w:rFonts w:hint="eastAsia" w:ascii="宋体" w:hAnsi="宋体" w:cs="仿宋_GB2312"/>
          <w:sz w:val="24"/>
        </w:rPr>
      </w:pPr>
      <w:r>
        <w:rPr>
          <w:rFonts w:hint="eastAsia" w:ascii="宋体" w:hAnsi="宋体" w:cs="仿宋_GB2312"/>
          <w:sz w:val="24"/>
        </w:rPr>
        <w:t>姓名：</w:t>
      </w:r>
      <w:r>
        <w:rPr>
          <w:rFonts w:hint="eastAsia" w:ascii="宋体" w:hAnsi="宋体" w:cs="仿宋_GB2312"/>
          <w:sz w:val="24"/>
          <w:u w:val="single"/>
        </w:rPr>
        <w:t xml:space="preserve">            </w:t>
      </w:r>
      <w:r>
        <w:rPr>
          <w:rFonts w:hint="eastAsia" w:ascii="宋体" w:hAnsi="宋体" w:cs="仿宋_GB2312"/>
          <w:sz w:val="24"/>
        </w:rPr>
        <w:t>性别：</w:t>
      </w:r>
      <w:r>
        <w:rPr>
          <w:rFonts w:hint="eastAsia" w:ascii="宋体" w:hAnsi="宋体" w:cs="仿宋_GB2312"/>
          <w:sz w:val="24"/>
          <w:u w:val="single"/>
        </w:rPr>
        <w:t xml:space="preserve">     </w:t>
      </w:r>
      <w:r>
        <w:rPr>
          <w:rFonts w:hint="eastAsia" w:ascii="宋体" w:hAnsi="宋体" w:cs="仿宋_GB2312"/>
          <w:sz w:val="24"/>
        </w:rPr>
        <w:t>年龄：</w:t>
      </w:r>
      <w:r>
        <w:rPr>
          <w:rFonts w:hint="eastAsia" w:ascii="宋体" w:hAnsi="宋体" w:cs="仿宋_GB2312"/>
          <w:sz w:val="24"/>
          <w:u w:val="single"/>
        </w:rPr>
        <w:t xml:space="preserve">       </w:t>
      </w:r>
      <w:r>
        <w:rPr>
          <w:rFonts w:hint="eastAsia" w:ascii="宋体" w:hAnsi="宋体" w:cs="仿宋_GB2312"/>
          <w:sz w:val="24"/>
        </w:rPr>
        <w:t>职务：</w:t>
      </w:r>
      <w:r>
        <w:rPr>
          <w:rFonts w:hint="eastAsia" w:ascii="宋体" w:hAnsi="宋体" w:cs="仿宋_GB2312"/>
          <w:sz w:val="24"/>
          <w:u w:val="single"/>
        </w:rPr>
        <w:t xml:space="preserve">         </w:t>
      </w:r>
    </w:p>
    <w:p w14:paraId="2E51483B">
      <w:pPr>
        <w:snapToGrid w:val="0"/>
        <w:spacing w:line="360" w:lineRule="auto"/>
        <w:ind w:firstLine="480" w:firstLineChars="200"/>
        <w:rPr>
          <w:rFonts w:hint="eastAsia" w:ascii="宋体" w:hAnsi="宋体" w:cs="仿宋_GB2312"/>
          <w:sz w:val="24"/>
        </w:rPr>
      </w:pPr>
      <w:r>
        <w:rPr>
          <w:rFonts w:hint="eastAsia" w:ascii="宋体" w:hAnsi="宋体" w:cs="仿宋_GB2312"/>
          <w:sz w:val="24"/>
        </w:rPr>
        <w:t>系</w:t>
      </w:r>
      <w:r>
        <w:rPr>
          <w:rFonts w:hint="eastAsia" w:ascii="宋体" w:hAnsi="宋体" w:cs="仿宋_GB2312"/>
          <w:sz w:val="24"/>
          <w:u w:val="single"/>
        </w:rPr>
        <w:t xml:space="preserve">                            </w:t>
      </w:r>
      <w:r>
        <w:rPr>
          <w:rFonts w:hint="eastAsia" w:ascii="宋体" w:hAnsi="宋体" w:cs="仿宋_GB2312"/>
          <w:sz w:val="24"/>
        </w:rPr>
        <w:t>（供应商名称）的法定代表人。</w:t>
      </w:r>
    </w:p>
    <w:p w14:paraId="202E6A1E">
      <w:pPr>
        <w:pStyle w:val="3"/>
        <w:ind w:firstLine="1200" w:firstLineChars="500"/>
      </w:pPr>
      <w:r>
        <w:rPr>
          <w:rFonts w:hint="eastAsia" w:ascii="宋体" w:hAnsi="宋体" w:cs="仿宋_GB2312"/>
          <w:sz w:val="24"/>
        </w:rPr>
        <w:t>特此证明。</w:t>
      </w:r>
    </w:p>
    <w:p w14:paraId="22AEC540">
      <w:pPr>
        <w:snapToGrid w:val="0"/>
        <w:spacing w:line="360" w:lineRule="auto"/>
        <w:ind w:firstLine="480" w:firstLineChars="200"/>
        <w:rPr>
          <w:rFonts w:hint="eastAsia" w:ascii="宋体" w:hAnsi="宋体" w:cs="仿宋_GB2312"/>
          <w:sz w:val="24"/>
        </w:rPr>
      </w:pPr>
    </w:p>
    <w:p w14:paraId="02ABF9B4">
      <w:pPr>
        <w:snapToGrid w:val="0"/>
        <w:spacing w:line="360" w:lineRule="auto"/>
        <w:ind w:firstLine="480" w:firstLineChars="200"/>
        <w:rPr>
          <w:rFonts w:hint="eastAsia" w:ascii="宋体" w:hAnsi="宋体" w:cs="仿宋_GB2312"/>
          <w:sz w:val="24"/>
        </w:rPr>
      </w:pPr>
      <w:r>
        <w:rPr>
          <w:rFonts w:hint="eastAsia" w:ascii="宋体" w:hAnsi="宋体" w:cs="仿宋_GB2312"/>
          <w:sz w:val="24"/>
        </w:rPr>
        <w:t>附：法定代表人身份证复印件</w:t>
      </w:r>
    </w:p>
    <w:p w14:paraId="4DE9D4B8">
      <w:pPr>
        <w:pStyle w:val="3"/>
      </w:pPr>
    </w:p>
    <w:p w14:paraId="0B354CC9">
      <w:pPr>
        <w:pStyle w:val="3"/>
      </w:pPr>
    </w:p>
    <w:p w14:paraId="6654ADF0">
      <w:pPr>
        <w:pStyle w:val="3"/>
      </w:pPr>
    </w:p>
    <w:p w14:paraId="71C10F71">
      <w:pPr>
        <w:pStyle w:val="9"/>
        <w:overflowPunct w:val="0"/>
        <w:spacing w:line="520" w:lineRule="exact"/>
        <w:ind w:firstLine="0"/>
        <w:jc w:val="center"/>
        <w:rPr>
          <w:sz w:val="24"/>
        </w:rPr>
      </w:pPr>
      <w:r>
        <w:rPr>
          <w:rFonts w:hint="eastAsia"/>
          <w:sz w:val="24"/>
        </w:rPr>
        <w:t xml:space="preserve">             供应商名称：</w:t>
      </w:r>
      <w:r>
        <w:rPr>
          <w:rFonts w:hint="eastAsia"/>
          <w:sz w:val="24"/>
          <w:u w:val="single"/>
        </w:rPr>
        <w:t xml:space="preserve">                         </w:t>
      </w:r>
      <w:r>
        <w:rPr>
          <w:rFonts w:hint="eastAsia"/>
          <w:sz w:val="24"/>
        </w:rPr>
        <w:t>（盖单位公章）</w:t>
      </w:r>
    </w:p>
    <w:p w14:paraId="28F2EA61">
      <w:pPr>
        <w:pStyle w:val="9"/>
        <w:overflowPunct w:val="0"/>
        <w:spacing w:line="520" w:lineRule="exact"/>
        <w:ind w:firstLine="4800" w:firstLineChars="2000"/>
        <w:rPr>
          <w:sz w:val="24"/>
        </w:rPr>
      </w:pP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w:t>
      </w:r>
    </w:p>
    <w:p w14:paraId="580900E7">
      <w:pPr>
        <w:pStyle w:val="3"/>
      </w:pPr>
    </w:p>
    <w:p w14:paraId="65FC9E26">
      <w:r>
        <w:br w:type="page"/>
      </w:r>
    </w:p>
    <w:p w14:paraId="786E90B2">
      <w:pPr>
        <w:snapToGrid w:val="0"/>
        <w:spacing w:line="360" w:lineRule="auto"/>
        <w:jc w:val="center"/>
        <w:outlineLvl w:val="1"/>
        <w:rPr>
          <w:rFonts w:hint="eastAsia" w:ascii="黑体" w:hAnsi="黑体" w:eastAsia="黑体" w:cs="黑体"/>
          <w:sz w:val="36"/>
          <w:szCs w:val="36"/>
        </w:rPr>
      </w:pPr>
      <w:bookmarkStart w:id="53" w:name="_Toc20885"/>
      <w:bookmarkStart w:id="54" w:name="_Toc21187"/>
      <w:r>
        <w:rPr>
          <w:rFonts w:hint="eastAsia" w:ascii="黑体" w:hAnsi="黑体" w:eastAsia="黑体" w:cs="黑体"/>
          <w:sz w:val="36"/>
          <w:szCs w:val="36"/>
        </w:rPr>
        <w:t>二、授权委托书</w:t>
      </w:r>
      <w:bookmarkEnd w:id="53"/>
      <w:bookmarkEnd w:id="54"/>
    </w:p>
    <w:p w14:paraId="1655B15A">
      <w:pPr>
        <w:snapToGrid w:val="0"/>
        <w:spacing w:line="360" w:lineRule="auto"/>
        <w:ind w:firstLine="480" w:firstLineChars="200"/>
        <w:rPr>
          <w:rFonts w:hint="eastAsia" w:ascii="宋体" w:hAnsi="宋体" w:cs="仿宋_GB2312"/>
          <w:sz w:val="24"/>
        </w:rPr>
      </w:pPr>
    </w:p>
    <w:p w14:paraId="1A3CACB5">
      <w:pPr>
        <w:pStyle w:val="31"/>
        <w:jc w:val="center"/>
        <w:rPr>
          <w:rFonts w:hint="eastAsia" w:ascii="宋体" w:hAnsi="宋体" w:cs="仿宋_GB2312"/>
        </w:rPr>
      </w:pPr>
      <w:r>
        <w:rPr>
          <w:rFonts w:hint="eastAsia" w:ascii="宋体" w:hAnsi="宋体"/>
          <w:b/>
          <w:sz w:val="28"/>
          <w:szCs w:val="28"/>
        </w:rPr>
        <w:t>授权委托书</w:t>
      </w:r>
    </w:p>
    <w:p w14:paraId="1F65663C">
      <w:pPr>
        <w:pStyle w:val="3"/>
      </w:pPr>
    </w:p>
    <w:p w14:paraId="6F8F3733">
      <w:pPr>
        <w:spacing w:line="400" w:lineRule="exact"/>
        <w:ind w:firstLine="480" w:firstLineChars="200"/>
        <w:rPr>
          <w:rFonts w:hint="eastAsia" w:ascii="宋体" w:hAnsi="宋体"/>
          <w:sz w:val="24"/>
        </w:rPr>
      </w:pPr>
      <w:r>
        <w:rPr>
          <w:rFonts w:hint="eastAsia" w:ascii="宋体" w:hAnsi="宋体"/>
          <w:sz w:val="24"/>
        </w:rPr>
        <w:t>本人</w:t>
      </w:r>
      <w:r>
        <w:rPr>
          <w:rFonts w:hint="eastAsia" w:ascii="宋体" w:hAnsi="宋体"/>
          <w:sz w:val="24"/>
          <w:u w:val="single"/>
        </w:rPr>
        <w:t xml:space="preserve">             </w:t>
      </w:r>
      <w:r>
        <w:rPr>
          <w:rFonts w:ascii="宋体" w:hAnsi="宋体"/>
          <w:sz w:val="24"/>
        </w:rPr>
        <w:t>(姓名)系</w:t>
      </w:r>
      <w:r>
        <w:rPr>
          <w:rFonts w:hint="eastAsia" w:ascii="宋体" w:hAnsi="宋体"/>
          <w:sz w:val="24"/>
          <w:u w:val="single"/>
        </w:rPr>
        <w:t xml:space="preserve">             </w:t>
      </w:r>
      <w:r>
        <w:rPr>
          <w:rFonts w:ascii="宋体" w:hAnsi="宋体"/>
          <w:sz w:val="24"/>
        </w:rPr>
        <w:t>(</w:t>
      </w:r>
      <w:r>
        <w:rPr>
          <w:rFonts w:hint="eastAsia" w:ascii="宋体" w:hAnsi="宋体"/>
          <w:sz w:val="24"/>
        </w:rPr>
        <w:t>供应商</w:t>
      </w:r>
      <w:r>
        <w:rPr>
          <w:rFonts w:ascii="宋体" w:hAnsi="宋体"/>
          <w:sz w:val="24"/>
        </w:rPr>
        <w:t>名称)的法定代表人，</w:t>
      </w:r>
      <w:r>
        <w:rPr>
          <w:rFonts w:hint="eastAsia" w:ascii="宋体" w:hAnsi="宋体"/>
          <w:sz w:val="24"/>
        </w:rPr>
        <w:t>现委托</w:t>
      </w:r>
      <w:r>
        <w:rPr>
          <w:rFonts w:hint="eastAsia" w:ascii="宋体" w:hAnsi="宋体"/>
          <w:sz w:val="24"/>
          <w:u w:val="single"/>
        </w:rPr>
        <w:t xml:space="preserve">             </w:t>
      </w:r>
      <w:r>
        <w:rPr>
          <w:rFonts w:ascii="宋体" w:hAnsi="宋体"/>
          <w:sz w:val="24"/>
        </w:rPr>
        <w:t xml:space="preserve"> (姓名)</w:t>
      </w:r>
      <w:r>
        <w:rPr>
          <w:rFonts w:hint="eastAsia" w:ascii="宋体" w:hAnsi="宋体"/>
          <w:sz w:val="24"/>
        </w:rPr>
        <w:t>为我方代理人。代理人根据授权，以我方名义签署、澄清确认、递交、撤回、修改响应文件和处理有关事宜，其法律后果由我方承担。</w:t>
      </w:r>
    </w:p>
    <w:p w14:paraId="1988E6E6">
      <w:pPr>
        <w:spacing w:line="400" w:lineRule="exact"/>
        <w:ind w:firstLine="480"/>
        <w:rPr>
          <w:rFonts w:hint="eastAsia" w:ascii="宋体" w:hAnsi="宋体"/>
          <w:sz w:val="24"/>
        </w:rPr>
      </w:pPr>
      <w:r>
        <w:rPr>
          <w:rFonts w:hint="eastAsia" w:ascii="宋体" w:hAnsi="宋体"/>
          <w:sz w:val="24"/>
        </w:rPr>
        <w:t>委托</w:t>
      </w:r>
      <w:r>
        <w:rPr>
          <w:rFonts w:ascii="宋体" w:hAnsi="宋体"/>
          <w:sz w:val="24"/>
        </w:rPr>
        <w:t>期限</w:t>
      </w:r>
      <w:r>
        <w:rPr>
          <w:rFonts w:hint="eastAsia" w:ascii="宋体" w:hAnsi="宋体"/>
          <w:sz w:val="24"/>
        </w:rPr>
        <w:t>：</w:t>
      </w:r>
      <w:r>
        <w:rPr>
          <w:rFonts w:ascii="宋体" w:hAnsi="宋体"/>
          <w:sz w:val="24"/>
        </w:rPr>
        <w:t>自</w:t>
      </w:r>
      <w:r>
        <w:rPr>
          <w:rFonts w:hint="eastAsia" w:ascii="宋体" w:hAnsi="宋体"/>
          <w:sz w:val="24"/>
          <w:u w:val="single"/>
        </w:rPr>
        <w:t xml:space="preserve">    </w:t>
      </w:r>
      <w:r>
        <w:rPr>
          <w:rFonts w:ascii="宋体" w:hAnsi="宋体"/>
          <w:sz w:val="24"/>
        </w:rPr>
        <w:t>年</w:t>
      </w:r>
      <w:r>
        <w:rPr>
          <w:rFonts w:hint="eastAsia" w:ascii="宋体" w:hAnsi="宋体"/>
          <w:sz w:val="24"/>
          <w:u w:val="single"/>
        </w:rPr>
        <w:t xml:space="preserve">    </w:t>
      </w:r>
      <w:r>
        <w:rPr>
          <w:rFonts w:ascii="宋体" w:hAnsi="宋体"/>
          <w:sz w:val="24"/>
        </w:rPr>
        <w:t>月</w:t>
      </w:r>
      <w:r>
        <w:rPr>
          <w:rFonts w:hint="eastAsia" w:ascii="宋体" w:hAnsi="宋体"/>
          <w:sz w:val="24"/>
          <w:u w:val="single"/>
        </w:rPr>
        <w:t xml:space="preserve">    </w:t>
      </w:r>
      <w:r>
        <w:rPr>
          <w:rFonts w:ascii="宋体" w:hAnsi="宋体"/>
          <w:sz w:val="24"/>
        </w:rPr>
        <w:t>日起至</w:t>
      </w:r>
      <w:r>
        <w:rPr>
          <w:rFonts w:hint="eastAsia" w:ascii="宋体" w:hAnsi="宋体"/>
          <w:sz w:val="24"/>
          <w:u w:val="single"/>
        </w:rPr>
        <w:t xml:space="preserve">    </w:t>
      </w:r>
      <w:r>
        <w:rPr>
          <w:rFonts w:ascii="宋体" w:hAnsi="宋体"/>
          <w:sz w:val="24"/>
        </w:rPr>
        <w:t>年</w:t>
      </w:r>
      <w:r>
        <w:rPr>
          <w:rFonts w:hint="eastAsia" w:ascii="宋体" w:hAnsi="宋体"/>
          <w:sz w:val="24"/>
          <w:u w:val="single"/>
        </w:rPr>
        <w:t xml:space="preserve">    </w:t>
      </w:r>
      <w:r>
        <w:rPr>
          <w:rFonts w:ascii="宋体" w:hAnsi="宋体"/>
          <w:sz w:val="24"/>
        </w:rPr>
        <w:t>月</w:t>
      </w:r>
      <w:r>
        <w:rPr>
          <w:rFonts w:hint="eastAsia" w:ascii="宋体" w:hAnsi="宋体"/>
          <w:sz w:val="24"/>
          <w:u w:val="single"/>
        </w:rPr>
        <w:t xml:space="preserve">    </w:t>
      </w:r>
      <w:r>
        <w:rPr>
          <w:rFonts w:ascii="宋体" w:hAnsi="宋体"/>
          <w:sz w:val="24"/>
        </w:rPr>
        <w:t>日止。</w:t>
      </w:r>
    </w:p>
    <w:p w14:paraId="30F8A235">
      <w:pPr>
        <w:spacing w:line="400" w:lineRule="exact"/>
        <w:ind w:firstLine="480"/>
        <w:rPr>
          <w:rFonts w:hint="eastAsia" w:ascii="宋体" w:hAnsi="宋体"/>
          <w:sz w:val="24"/>
        </w:rPr>
      </w:pPr>
      <w:r>
        <w:rPr>
          <w:rFonts w:hint="eastAsia" w:ascii="宋体" w:hAnsi="宋体"/>
          <w:sz w:val="24"/>
        </w:rPr>
        <w:t>代理人无转委托权。</w:t>
      </w:r>
    </w:p>
    <w:p w14:paraId="7703F3D4">
      <w:pPr>
        <w:spacing w:line="400" w:lineRule="exact"/>
        <w:rPr>
          <w:rFonts w:hint="eastAsia" w:ascii="宋体" w:hAnsi="宋体"/>
          <w:sz w:val="24"/>
        </w:rPr>
      </w:pPr>
    </w:p>
    <w:p w14:paraId="4A98BEE9">
      <w:pPr>
        <w:spacing w:line="400" w:lineRule="exact"/>
        <w:ind w:firstLine="600" w:firstLineChars="250"/>
        <w:rPr>
          <w:rFonts w:hint="eastAsia" w:ascii="宋体" w:hAnsi="宋体"/>
          <w:sz w:val="24"/>
        </w:rPr>
      </w:pPr>
      <w:r>
        <w:rPr>
          <w:rFonts w:hint="eastAsia" w:ascii="宋体" w:hAnsi="宋体"/>
          <w:sz w:val="24"/>
        </w:rPr>
        <w:t>附：</w:t>
      </w:r>
      <w:r>
        <w:rPr>
          <w:rFonts w:hint="eastAsia" w:ascii="宋体" w:hAnsi="宋体" w:cs="仿宋_GB2312"/>
          <w:sz w:val="24"/>
        </w:rPr>
        <w:t>法定代表人身份证复印件及</w:t>
      </w:r>
      <w:r>
        <w:rPr>
          <w:rFonts w:hint="eastAsia" w:ascii="宋体" w:hAnsi="宋体"/>
          <w:snapToGrid w:val="0"/>
          <w:kern w:val="0"/>
          <w:sz w:val="24"/>
        </w:rPr>
        <w:t>委托代理人身份证复印件</w:t>
      </w:r>
    </w:p>
    <w:p w14:paraId="7494DD4D">
      <w:pPr>
        <w:spacing w:line="400" w:lineRule="exact"/>
        <w:ind w:firstLine="480"/>
        <w:rPr>
          <w:rFonts w:hint="eastAsia" w:ascii="宋体" w:hAnsi="宋体"/>
          <w:sz w:val="24"/>
        </w:rPr>
      </w:pPr>
    </w:p>
    <w:p w14:paraId="43D430B9">
      <w:pPr>
        <w:spacing w:line="400" w:lineRule="exact"/>
        <w:rPr>
          <w:rFonts w:hint="eastAsia" w:ascii="宋体" w:hAnsi="宋体"/>
          <w:sz w:val="24"/>
        </w:rPr>
      </w:pPr>
    </w:p>
    <w:p w14:paraId="68C077A1">
      <w:pPr>
        <w:pStyle w:val="31"/>
      </w:pPr>
    </w:p>
    <w:p w14:paraId="337AE16D">
      <w:pPr>
        <w:spacing w:line="400" w:lineRule="exact"/>
        <w:rPr>
          <w:rFonts w:hint="eastAsia" w:ascii="宋体" w:hAnsi="宋体"/>
          <w:sz w:val="24"/>
        </w:rPr>
      </w:pPr>
    </w:p>
    <w:p w14:paraId="5B74BE94">
      <w:pPr>
        <w:spacing w:line="720" w:lineRule="auto"/>
        <w:ind w:firstLine="3480" w:firstLineChars="1450"/>
        <w:rPr>
          <w:rFonts w:hint="eastAsia" w:ascii="宋体" w:hAnsi="宋体"/>
          <w:sz w:val="24"/>
        </w:rPr>
      </w:pPr>
      <w:r>
        <w:rPr>
          <w:rFonts w:hint="eastAsia" w:ascii="宋体" w:hAnsi="宋体"/>
          <w:sz w:val="24"/>
        </w:rPr>
        <w:t>供应商：</w:t>
      </w:r>
      <w:r>
        <w:rPr>
          <w:rFonts w:hint="eastAsia" w:ascii="宋体" w:hAnsi="宋体"/>
          <w:sz w:val="24"/>
          <w:u w:val="single"/>
        </w:rPr>
        <w:t xml:space="preserve">                     </w:t>
      </w:r>
      <w:r>
        <w:rPr>
          <w:rFonts w:hint="eastAsia" w:ascii="宋体" w:hAnsi="宋体"/>
          <w:sz w:val="24"/>
        </w:rPr>
        <w:t>（</w:t>
      </w:r>
      <w:r>
        <w:rPr>
          <w:rFonts w:hint="eastAsia"/>
          <w:sz w:val="24"/>
        </w:rPr>
        <w:t>盖单位公章</w:t>
      </w:r>
      <w:r>
        <w:rPr>
          <w:rFonts w:hint="eastAsia" w:ascii="宋体" w:hAnsi="宋体"/>
          <w:sz w:val="24"/>
        </w:rPr>
        <w:t>）</w:t>
      </w:r>
    </w:p>
    <w:p w14:paraId="627E4CB9">
      <w:pPr>
        <w:spacing w:line="720" w:lineRule="auto"/>
        <w:ind w:firstLine="3480" w:firstLineChars="1450"/>
        <w:rPr>
          <w:rFonts w:hint="eastAsia" w:ascii="宋体" w:hAnsi="宋体"/>
          <w:sz w:val="24"/>
        </w:rPr>
      </w:pPr>
      <w:r>
        <w:rPr>
          <w:rFonts w:hint="eastAsia" w:ascii="宋体" w:hAnsi="宋体"/>
          <w:sz w:val="24"/>
        </w:rPr>
        <w:t>法定代表人：</w:t>
      </w:r>
      <w:r>
        <w:rPr>
          <w:rFonts w:hint="eastAsia" w:ascii="宋体" w:hAnsi="宋体"/>
          <w:sz w:val="24"/>
          <w:u w:val="single"/>
        </w:rPr>
        <w:t xml:space="preserve">                       </w:t>
      </w:r>
      <w:r>
        <w:rPr>
          <w:rFonts w:hint="eastAsia" w:ascii="宋体" w:hAnsi="宋体"/>
          <w:sz w:val="24"/>
        </w:rPr>
        <w:t>（签字）</w:t>
      </w:r>
    </w:p>
    <w:p w14:paraId="07B4DE1B">
      <w:pPr>
        <w:spacing w:line="720" w:lineRule="auto"/>
        <w:ind w:firstLine="3480" w:firstLineChars="1450"/>
        <w:rPr>
          <w:rFonts w:hint="eastAsia" w:ascii="宋体" w:hAnsi="宋体"/>
          <w:sz w:val="24"/>
        </w:rPr>
      </w:pPr>
      <w:r>
        <w:rPr>
          <w:rFonts w:hint="eastAsia" w:ascii="宋体" w:hAnsi="宋体"/>
          <w:sz w:val="24"/>
        </w:rPr>
        <w:t>身份证号码：</w:t>
      </w:r>
      <w:r>
        <w:rPr>
          <w:rFonts w:hint="eastAsia" w:ascii="宋体" w:hAnsi="宋体"/>
          <w:sz w:val="24"/>
          <w:u w:val="single"/>
        </w:rPr>
        <w:t xml:space="preserve">                            </w:t>
      </w:r>
    </w:p>
    <w:p w14:paraId="0C1FF44B">
      <w:pPr>
        <w:spacing w:line="720" w:lineRule="auto"/>
        <w:ind w:firstLine="3480" w:firstLineChars="1450"/>
        <w:rPr>
          <w:rFonts w:hint="eastAsia" w:ascii="宋体" w:hAnsi="宋体"/>
          <w:sz w:val="24"/>
        </w:rPr>
      </w:pPr>
      <w:r>
        <w:rPr>
          <w:rFonts w:hint="eastAsia" w:ascii="宋体" w:hAnsi="宋体"/>
          <w:sz w:val="24"/>
        </w:rPr>
        <w:t>委托代理人：</w:t>
      </w:r>
      <w:r>
        <w:rPr>
          <w:rFonts w:hint="eastAsia" w:ascii="宋体" w:hAnsi="宋体"/>
          <w:sz w:val="24"/>
          <w:u w:val="single"/>
        </w:rPr>
        <w:t xml:space="preserve">                       </w:t>
      </w:r>
      <w:r>
        <w:rPr>
          <w:rFonts w:hint="eastAsia" w:ascii="宋体" w:hAnsi="宋体"/>
          <w:sz w:val="24"/>
        </w:rPr>
        <w:t>（签字）</w:t>
      </w:r>
    </w:p>
    <w:p w14:paraId="297C8588">
      <w:pPr>
        <w:spacing w:line="720" w:lineRule="auto"/>
        <w:ind w:firstLine="3480" w:firstLineChars="1450"/>
        <w:rPr>
          <w:rFonts w:hint="eastAsia" w:ascii="宋体" w:hAnsi="宋体"/>
          <w:sz w:val="24"/>
        </w:rPr>
      </w:pPr>
      <w:r>
        <w:rPr>
          <w:rFonts w:hint="eastAsia" w:ascii="宋体" w:hAnsi="宋体"/>
          <w:sz w:val="24"/>
        </w:rPr>
        <w:t>身份证号码：</w:t>
      </w:r>
      <w:r>
        <w:rPr>
          <w:rFonts w:hint="eastAsia" w:ascii="宋体" w:hAnsi="宋体"/>
          <w:sz w:val="24"/>
          <w:u w:val="single"/>
        </w:rPr>
        <w:t xml:space="preserve">                             </w:t>
      </w:r>
    </w:p>
    <w:p w14:paraId="6265A6D0">
      <w:pPr>
        <w:spacing w:line="720" w:lineRule="auto"/>
        <w:ind w:firstLine="5040" w:firstLineChars="2100"/>
        <w:rPr>
          <w:rFonts w:hint="eastAsia" w:ascii="宋体" w:hAnsi="宋体"/>
          <w:sz w:val="24"/>
        </w:rPr>
      </w:pP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w:t>
      </w:r>
    </w:p>
    <w:p w14:paraId="34DEB70F">
      <w:pPr>
        <w:rPr>
          <w:bCs/>
        </w:rPr>
      </w:pPr>
      <w:r>
        <w:rPr>
          <w:bCs/>
        </w:rPr>
        <w:br w:type="page"/>
      </w:r>
    </w:p>
    <w:p w14:paraId="47AED5B3">
      <w:pPr>
        <w:snapToGrid w:val="0"/>
        <w:spacing w:line="360" w:lineRule="auto"/>
        <w:jc w:val="center"/>
        <w:outlineLvl w:val="1"/>
        <w:rPr>
          <w:rFonts w:hint="eastAsia" w:ascii="黑体" w:hAnsi="黑体" w:eastAsia="黑体" w:cs="黑体"/>
          <w:sz w:val="36"/>
          <w:szCs w:val="36"/>
        </w:rPr>
      </w:pPr>
      <w:bookmarkStart w:id="55" w:name="_Toc8009"/>
      <w:bookmarkStart w:id="56" w:name="_Toc1684"/>
      <w:r>
        <w:rPr>
          <w:rFonts w:hint="eastAsia" w:ascii="黑体" w:hAnsi="黑体" w:eastAsia="黑体" w:cs="黑体"/>
          <w:sz w:val="36"/>
          <w:szCs w:val="36"/>
        </w:rPr>
        <w:t>三、报价清单</w:t>
      </w:r>
      <w:bookmarkEnd w:id="55"/>
      <w:bookmarkEnd w:id="56"/>
    </w:p>
    <w:p w14:paraId="4BFF7F89">
      <w:pPr>
        <w:jc w:val="center"/>
        <w:outlineLvl w:val="2"/>
        <w:rPr>
          <w:rFonts w:hint="eastAsia" w:ascii="黑体" w:hAnsi="宋体" w:eastAsia="方正小标宋简体"/>
          <w:sz w:val="24"/>
        </w:rPr>
      </w:pPr>
      <w:bookmarkStart w:id="57" w:name="_Toc10738"/>
      <w:bookmarkStart w:id="58" w:name="_Toc32344"/>
      <w:r>
        <w:rPr>
          <w:rFonts w:hint="eastAsia" w:ascii="宋体" w:hAnsi="宋体" w:cs="宋体"/>
          <w:b/>
          <w:sz w:val="32"/>
          <w:szCs w:val="32"/>
        </w:rPr>
        <w:t>（一）报价文件说明</w:t>
      </w:r>
      <w:bookmarkEnd w:id="57"/>
      <w:bookmarkEnd w:id="58"/>
    </w:p>
    <w:p w14:paraId="2B5246F0">
      <w:pPr>
        <w:rPr>
          <w:rFonts w:hint="eastAsia" w:ascii="黑体" w:hAnsi="宋体" w:eastAsia="黑体"/>
          <w:sz w:val="24"/>
        </w:rPr>
      </w:pPr>
    </w:p>
    <w:p w14:paraId="503A97FB">
      <w:pPr>
        <w:spacing w:line="400" w:lineRule="exact"/>
        <w:ind w:firstLine="480" w:firstLineChars="200"/>
        <w:rPr>
          <w:rFonts w:hint="eastAsia" w:ascii="宋体" w:hAnsi="宋体"/>
          <w:sz w:val="24"/>
        </w:rPr>
      </w:pPr>
      <w:r>
        <w:rPr>
          <w:rFonts w:hint="eastAsia" w:ascii="宋体" w:hAnsi="宋体"/>
          <w:sz w:val="24"/>
        </w:rPr>
        <w:t>1.“报价清单”应与“供应商须知”“采购内容及要求”“合同条款”等一起使用。</w:t>
      </w:r>
    </w:p>
    <w:p w14:paraId="564817CD">
      <w:pPr>
        <w:spacing w:line="400" w:lineRule="exact"/>
        <w:ind w:firstLine="480" w:firstLineChars="200"/>
        <w:rPr>
          <w:rFonts w:hint="eastAsia" w:ascii="宋体" w:hAnsi="宋体"/>
          <w:sz w:val="24"/>
        </w:rPr>
      </w:pPr>
      <w:r>
        <w:rPr>
          <w:rFonts w:hint="eastAsia" w:ascii="宋体" w:hAnsi="宋体"/>
          <w:sz w:val="24"/>
        </w:rPr>
        <w:t>2.本次采购采用总价包干，报价为完成本项目全过程的所有费用，包含但不限于从前期踏勘、资料收集、水上水下施工许可证办理费用、现场管理费、会议、专家咨询费、调研差旅费、管理费、文印费、设备耗材费、税费及合同包含的所有风险、责任及措施等费用，包含为完成</w:t>
      </w:r>
      <w:r>
        <w:rPr>
          <w:rFonts w:hint="eastAsia" w:ascii="宋体" w:hAnsi="宋体"/>
          <w:sz w:val="24"/>
          <w:lang w:eastAsia="zh-CN"/>
        </w:rPr>
        <w:t>新增内河航道</w:t>
      </w:r>
      <w:r>
        <w:rPr>
          <w:rFonts w:hint="eastAsia" w:ascii="宋体" w:hAnsi="宋体"/>
          <w:sz w:val="24"/>
        </w:rPr>
        <w:t>普查工作的全部工作以及可能发生的各种费用。本项目合同总价在合同执行过程中是固定的，不因情况变化而调整。</w:t>
      </w:r>
    </w:p>
    <w:p w14:paraId="7BE1D01A">
      <w:pPr>
        <w:spacing w:line="400" w:lineRule="exact"/>
        <w:ind w:firstLine="480" w:firstLineChars="200"/>
        <w:rPr>
          <w:rFonts w:hint="eastAsia" w:ascii="宋体" w:hAnsi="宋体"/>
          <w:sz w:val="24"/>
        </w:rPr>
      </w:pPr>
      <w:r>
        <w:rPr>
          <w:rFonts w:hint="eastAsia" w:ascii="宋体" w:hAnsi="宋体"/>
          <w:sz w:val="24"/>
        </w:rPr>
        <w:t>3.竞标报价为一次报价，此次报价即最终报价，不再就价格问题另行协商。</w:t>
      </w:r>
    </w:p>
    <w:p w14:paraId="480D350C">
      <w:pPr>
        <w:spacing w:line="400" w:lineRule="exact"/>
        <w:ind w:firstLine="480" w:firstLineChars="200"/>
        <w:rPr>
          <w:rFonts w:hint="eastAsia" w:ascii="宋体" w:hAnsi="宋体"/>
          <w:sz w:val="24"/>
        </w:rPr>
      </w:pPr>
      <w:r>
        <w:rPr>
          <w:rFonts w:hint="eastAsia" w:ascii="宋体" w:hAnsi="宋体"/>
          <w:sz w:val="24"/>
        </w:rPr>
        <w:t>4.“报价清单”中报价应以人民币为单位。</w:t>
      </w:r>
    </w:p>
    <w:p w14:paraId="31D5F99A">
      <w:pPr>
        <w:spacing w:line="400" w:lineRule="exact"/>
        <w:ind w:firstLine="480" w:firstLineChars="200"/>
        <w:rPr>
          <w:rFonts w:hint="eastAsia" w:ascii="宋体" w:hAnsi="宋体"/>
          <w:sz w:val="24"/>
        </w:rPr>
      </w:pPr>
      <w:r>
        <w:rPr>
          <w:rFonts w:hint="eastAsia" w:ascii="宋体" w:hAnsi="宋体"/>
          <w:sz w:val="24"/>
        </w:rPr>
        <w:t>5.报价应为含税价格，并且能够提供增值税发票。</w:t>
      </w:r>
    </w:p>
    <w:p w14:paraId="3C50879B">
      <w:pPr>
        <w:spacing w:line="400" w:lineRule="exact"/>
        <w:ind w:firstLine="480" w:firstLineChars="200"/>
        <w:rPr>
          <w:rFonts w:hint="eastAsia" w:ascii="宋体" w:hAnsi="宋体"/>
          <w:sz w:val="24"/>
        </w:rPr>
      </w:pPr>
      <w:r>
        <w:rPr>
          <w:rFonts w:hint="eastAsia" w:ascii="宋体" w:hAnsi="宋体"/>
          <w:sz w:val="24"/>
        </w:rPr>
        <w:t>6.供应商应在“报价清单”后附计算说明，包括计算方法、取费依据等，以便采购人对供应商报价的合理性作出判断。</w:t>
      </w:r>
    </w:p>
    <w:p w14:paraId="2F518333">
      <w:pPr>
        <w:rPr>
          <w:b/>
          <w:bCs/>
          <w:sz w:val="24"/>
        </w:rPr>
      </w:pPr>
      <w:r>
        <w:rPr>
          <w:rFonts w:hint="eastAsia"/>
          <w:b/>
          <w:bCs/>
          <w:sz w:val="24"/>
        </w:rPr>
        <w:br w:type="page"/>
      </w:r>
    </w:p>
    <w:p w14:paraId="773CC3F5">
      <w:pPr>
        <w:pStyle w:val="3"/>
        <w:jc w:val="center"/>
        <w:rPr>
          <w:b/>
          <w:bCs/>
          <w:sz w:val="24"/>
        </w:rPr>
      </w:pPr>
    </w:p>
    <w:p w14:paraId="20301A27">
      <w:pPr>
        <w:pStyle w:val="3"/>
        <w:jc w:val="center"/>
        <w:rPr>
          <w:b/>
          <w:bCs/>
          <w:sz w:val="24"/>
        </w:rPr>
      </w:pPr>
    </w:p>
    <w:p w14:paraId="19370A7C">
      <w:pPr>
        <w:pStyle w:val="3"/>
        <w:jc w:val="center"/>
        <w:outlineLvl w:val="2"/>
        <w:rPr>
          <w:b/>
          <w:bCs/>
          <w:sz w:val="32"/>
          <w:szCs w:val="32"/>
        </w:rPr>
      </w:pPr>
      <w:bookmarkStart w:id="59" w:name="_Toc1367"/>
      <w:bookmarkStart w:id="60" w:name="_Toc2327"/>
      <w:r>
        <w:rPr>
          <w:rFonts w:hint="eastAsia"/>
          <w:b/>
          <w:bCs/>
          <w:sz w:val="32"/>
          <w:szCs w:val="32"/>
        </w:rPr>
        <w:t>（二）竞标报价表</w:t>
      </w:r>
      <w:bookmarkEnd w:id="59"/>
      <w:bookmarkEnd w:id="60"/>
    </w:p>
    <w:p w14:paraId="1C4D3052">
      <w:pPr>
        <w:pStyle w:val="3"/>
      </w:pPr>
    </w:p>
    <w:p w14:paraId="550EF6CA">
      <w:pPr>
        <w:spacing w:line="520" w:lineRule="exact"/>
        <w:jc w:val="center"/>
        <w:rPr>
          <w:rFonts w:hint="eastAsia" w:ascii="黑体" w:hAnsi="黑体" w:eastAsia="黑体" w:cs="黑体"/>
          <w:b/>
          <w:sz w:val="32"/>
          <w:szCs w:val="32"/>
        </w:rPr>
      </w:pPr>
      <w:r>
        <w:rPr>
          <w:rFonts w:hint="eastAsia" w:ascii="黑体" w:hAnsi="黑体" w:eastAsia="黑体" w:cs="黑体"/>
          <w:b/>
          <w:sz w:val="44"/>
          <w:szCs w:val="44"/>
        </w:rPr>
        <w:t>竞标报价表</w:t>
      </w:r>
    </w:p>
    <w:p w14:paraId="2A1CD259">
      <w:pPr>
        <w:spacing w:line="440" w:lineRule="exact"/>
        <w:jc w:val="center"/>
        <w:rPr>
          <w:rFonts w:hint="eastAsia" w:ascii="方正小标宋简体" w:hAnsi="方正小标宋简体" w:eastAsia="方正小标宋简体" w:cs="方正小标宋简体"/>
          <w:bCs/>
          <w:sz w:val="32"/>
          <w:szCs w:val="32"/>
        </w:rPr>
      </w:pPr>
    </w:p>
    <w:p w14:paraId="5AEA1D01">
      <w:pPr>
        <w:spacing w:line="360" w:lineRule="auto"/>
        <w:contextualSpacing/>
        <w:rPr>
          <w:rFonts w:hint="eastAsia" w:ascii="宋体" w:hAnsi="宋体" w:cs="仿宋_GB2312"/>
          <w:sz w:val="24"/>
        </w:rPr>
      </w:pPr>
      <w:r>
        <w:rPr>
          <w:rFonts w:hint="eastAsia" w:ascii="宋体" w:hAnsi="宋体" w:cs="仿宋_GB2312"/>
          <w:sz w:val="24"/>
        </w:rPr>
        <w:t>采购项目名称：</w:t>
      </w:r>
      <w:r>
        <w:rPr>
          <w:rFonts w:hint="eastAsia" w:ascii="宋体" w:hAnsi="宋体" w:cs="仿宋_GB2312"/>
          <w:sz w:val="24"/>
          <w:u w:val="single"/>
        </w:rPr>
        <w:t xml:space="preserve"> </w:t>
      </w:r>
      <w:r>
        <w:rPr>
          <w:rFonts w:hint="eastAsia" w:ascii="宋体" w:hAnsi="宋体" w:cs="仿宋_GB2312"/>
          <w:sz w:val="24"/>
          <w:u w:val="single"/>
          <w:lang w:eastAsia="zh-CN"/>
        </w:rPr>
        <w:t>新增内河航道</w:t>
      </w:r>
      <w:r>
        <w:rPr>
          <w:rFonts w:hint="eastAsia" w:ascii="宋体" w:hAnsi="宋体" w:cs="仿宋_GB2312"/>
          <w:sz w:val="24"/>
          <w:u w:val="single"/>
        </w:rPr>
        <w:t>普查工作</w:t>
      </w:r>
    </w:p>
    <w:p w14:paraId="6E4A67A9">
      <w:pPr>
        <w:spacing w:line="360" w:lineRule="auto"/>
        <w:contextualSpacing/>
        <w:rPr>
          <w:rFonts w:hint="eastAsia" w:ascii="宋体" w:hAnsi="宋体" w:cs="仿宋_GB2312"/>
          <w:sz w:val="24"/>
        </w:rPr>
      </w:pPr>
      <w:r>
        <w:rPr>
          <w:rFonts w:hint="eastAsia" w:ascii="宋体" w:hAnsi="宋体" w:cs="仿宋_GB2312"/>
          <w:sz w:val="24"/>
        </w:rPr>
        <w:t xml:space="preserve">                                                       单位：人民币元</w:t>
      </w:r>
    </w:p>
    <w:tbl>
      <w:tblPr>
        <w:tblStyle w:val="25"/>
        <w:tblW w:w="4997" w:type="pct"/>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3311"/>
        <w:gridCol w:w="750"/>
        <w:gridCol w:w="757"/>
        <w:gridCol w:w="1970"/>
        <w:gridCol w:w="1444"/>
      </w:tblGrid>
      <w:tr w14:paraId="042D9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7" w:hRule="atLeast"/>
          <w:jc w:val="right"/>
        </w:trPr>
        <w:tc>
          <w:tcPr>
            <w:tcW w:w="397" w:type="pct"/>
            <w:tcBorders>
              <w:top w:val="single" w:color="auto" w:sz="4" w:space="0"/>
              <w:left w:val="single" w:color="auto" w:sz="4" w:space="0"/>
              <w:bottom w:val="single" w:color="auto" w:sz="4" w:space="0"/>
              <w:right w:val="single" w:color="auto" w:sz="4" w:space="0"/>
            </w:tcBorders>
            <w:vAlign w:val="center"/>
          </w:tcPr>
          <w:p w14:paraId="5BB8C05D">
            <w:pPr>
              <w:contextualSpacing/>
              <w:jc w:val="center"/>
              <w:rPr>
                <w:rFonts w:hint="eastAsia" w:ascii="宋体" w:hAnsi="宋体" w:cs="仿宋_GB2312"/>
                <w:sz w:val="24"/>
              </w:rPr>
            </w:pPr>
            <w:r>
              <w:rPr>
                <w:rFonts w:ascii="宋体" w:hAnsi="宋体" w:cs="仿宋_GB2312"/>
                <w:sz w:val="24"/>
              </w:rPr>
              <w:t>序号</w:t>
            </w:r>
          </w:p>
        </w:tc>
        <w:tc>
          <w:tcPr>
            <w:tcW w:w="1851" w:type="pct"/>
            <w:tcBorders>
              <w:top w:val="single" w:color="auto" w:sz="4" w:space="0"/>
              <w:left w:val="single" w:color="auto" w:sz="4" w:space="0"/>
              <w:bottom w:val="single" w:color="auto" w:sz="4" w:space="0"/>
              <w:right w:val="single" w:color="auto" w:sz="4" w:space="0"/>
            </w:tcBorders>
            <w:vAlign w:val="center"/>
          </w:tcPr>
          <w:p w14:paraId="0C6AE592">
            <w:pPr>
              <w:contextualSpacing/>
              <w:jc w:val="center"/>
              <w:rPr>
                <w:rFonts w:hint="eastAsia" w:ascii="宋体" w:hAnsi="宋体" w:cs="仿宋_GB2312"/>
                <w:sz w:val="24"/>
              </w:rPr>
            </w:pPr>
            <w:r>
              <w:rPr>
                <w:rFonts w:ascii="宋体" w:hAnsi="宋体" w:cs="仿宋_GB2312"/>
                <w:sz w:val="24"/>
              </w:rPr>
              <w:t>服务名称</w:t>
            </w:r>
          </w:p>
        </w:tc>
        <w:tc>
          <w:tcPr>
            <w:tcW w:w="419" w:type="pct"/>
            <w:tcBorders>
              <w:top w:val="single" w:color="auto" w:sz="4" w:space="0"/>
              <w:left w:val="single" w:color="auto" w:sz="4" w:space="0"/>
              <w:bottom w:val="single" w:color="auto" w:sz="4" w:space="0"/>
              <w:right w:val="single" w:color="auto" w:sz="4" w:space="0"/>
            </w:tcBorders>
            <w:vAlign w:val="center"/>
          </w:tcPr>
          <w:p w14:paraId="27897609">
            <w:pPr>
              <w:contextualSpacing/>
              <w:jc w:val="center"/>
              <w:rPr>
                <w:rFonts w:hint="eastAsia" w:ascii="宋体" w:hAnsi="宋体" w:cs="仿宋_GB2312"/>
                <w:sz w:val="24"/>
              </w:rPr>
            </w:pPr>
            <w:r>
              <w:rPr>
                <w:rFonts w:hint="eastAsia" w:ascii="宋体" w:hAnsi="宋体" w:cs="仿宋_GB2312"/>
                <w:sz w:val="24"/>
              </w:rPr>
              <w:t>数量</w:t>
            </w:r>
          </w:p>
        </w:tc>
        <w:tc>
          <w:tcPr>
            <w:tcW w:w="422" w:type="pct"/>
            <w:tcBorders>
              <w:top w:val="single" w:color="auto" w:sz="4" w:space="0"/>
              <w:left w:val="single" w:color="auto" w:sz="4" w:space="0"/>
              <w:bottom w:val="single" w:color="auto" w:sz="4" w:space="0"/>
              <w:right w:val="single" w:color="auto" w:sz="4" w:space="0"/>
            </w:tcBorders>
            <w:vAlign w:val="center"/>
          </w:tcPr>
          <w:p w14:paraId="72D7E40F">
            <w:pPr>
              <w:contextualSpacing/>
              <w:jc w:val="center"/>
              <w:rPr>
                <w:rFonts w:hint="eastAsia" w:ascii="宋体" w:hAnsi="宋体" w:cs="仿宋_GB2312"/>
                <w:sz w:val="24"/>
              </w:rPr>
            </w:pPr>
            <w:r>
              <w:rPr>
                <w:rFonts w:hint="eastAsia" w:ascii="宋体" w:hAnsi="宋体" w:cs="仿宋_GB2312"/>
                <w:sz w:val="24"/>
              </w:rPr>
              <w:t>单位</w:t>
            </w:r>
          </w:p>
        </w:tc>
        <w:tc>
          <w:tcPr>
            <w:tcW w:w="1101" w:type="pct"/>
            <w:tcBorders>
              <w:top w:val="single" w:color="auto" w:sz="4" w:space="0"/>
              <w:left w:val="single" w:color="auto" w:sz="4" w:space="0"/>
              <w:bottom w:val="single" w:color="auto" w:sz="4" w:space="0"/>
              <w:right w:val="single" w:color="auto" w:sz="4" w:space="0"/>
            </w:tcBorders>
            <w:vAlign w:val="center"/>
          </w:tcPr>
          <w:p w14:paraId="4EFC32EC">
            <w:pPr>
              <w:contextualSpacing/>
              <w:jc w:val="center"/>
              <w:rPr>
                <w:rFonts w:hint="eastAsia" w:ascii="宋体" w:hAnsi="宋体" w:cs="仿宋_GB2312"/>
                <w:sz w:val="24"/>
              </w:rPr>
            </w:pPr>
            <w:r>
              <w:rPr>
                <w:rFonts w:hint="eastAsia" w:ascii="宋体" w:hAnsi="宋体" w:cs="仿宋_GB2312"/>
                <w:sz w:val="24"/>
              </w:rPr>
              <w:t>金额</w:t>
            </w:r>
          </w:p>
        </w:tc>
        <w:tc>
          <w:tcPr>
            <w:tcW w:w="807" w:type="pct"/>
            <w:tcBorders>
              <w:top w:val="single" w:color="auto" w:sz="4" w:space="0"/>
              <w:left w:val="single" w:color="auto" w:sz="4" w:space="0"/>
              <w:bottom w:val="single" w:color="auto" w:sz="4" w:space="0"/>
              <w:right w:val="single" w:color="auto" w:sz="4" w:space="0"/>
            </w:tcBorders>
            <w:vAlign w:val="center"/>
          </w:tcPr>
          <w:p w14:paraId="338DCAEB">
            <w:pPr>
              <w:contextualSpacing/>
              <w:jc w:val="center"/>
              <w:rPr>
                <w:rFonts w:hint="eastAsia" w:ascii="宋体" w:hAnsi="宋体" w:cs="仿宋_GB2312"/>
                <w:sz w:val="24"/>
              </w:rPr>
            </w:pPr>
            <w:r>
              <w:rPr>
                <w:rFonts w:ascii="宋体" w:hAnsi="宋体" w:cs="仿宋_GB2312"/>
                <w:sz w:val="24"/>
              </w:rPr>
              <w:t>备注</w:t>
            </w:r>
          </w:p>
        </w:tc>
      </w:tr>
      <w:tr w14:paraId="2D2FF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4" w:hRule="atLeast"/>
          <w:jc w:val="right"/>
        </w:trPr>
        <w:tc>
          <w:tcPr>
            <w:tcW w:w="397" w:type="pct"/>
            <w:tcBorders>
              <w:top w:val="single" w:color="auto" w:sz="4" w:space="0"/>
              <w:left w:val="single" w:color="auto" w:sz="4" w:space="0"/>
              <w:bottom w:val="single" w:color="auto" w:sz="4" w:space="0"/>
              <w:right w:val="single" w:color="auto" w:sz="4" w:space="0"/>
            </w:tcBorders>
            <w:vAlign w:val="center"/>
          </w:tcPr>
          <w:p w14:paraId="5832308C">
            <w:pPr>
              <w:adjustRightInd w:val="0"/>
              <w:snapToGrid w:val="0"/>
              <w:contextualSpacing/>
              <w:jc w:val="center"/>
              <w:rPr>
                <w:rFonts w:hint="eastAsia" w:ascii="宋体" w:hAnsi="宋体" w:cs="仿宋_GB2312"/>
                <w:sz w:val="24"/>
              </w:rPr>
            </w:pPr>
            <w:r>
              <w:rPr>
                <w:rFonts w:ascii="宋体" w:hAnsi="宋体" w:cs="仿宋_GB2312"/>
                <w:sz w:val="24"/>
              </w:rPr>
              <w:t>1</w:t>
            </w:r>
          </w:p>
        </w:tc>
        <w:tc>
          <w:tcPr>
            <w:tcW w:w="1851" w:type="pct"/>
            <w:tcBorders>
              <w:top w:val="single" w:color="auto" w:sz="4" w:space="0"/>
              <w:left w:val="single" w:color="auto" w:sz="4" w:space="0"/>
              <w:bottom w:val="single" w:color="auto" w:sz="4" w:space="0"/>
              <w:right w:val="single" w:color="auto" w:sz="4" w:space="0"/>
            </w:tcBorders>
            <w:vAlign w:val="center"/>
          </w:tcPr>
          <w:p w14:paraId="5794EFED">
            <w:pPr>
              <w:adjustRightInd w:val="0"/>
              <w:snapToGrid w:val="0"/>
              <w:jc w:val="left"/>
              <w:rPr>
                <w:rFonts w:hint="eastAsia" w:ascii="宋体" w:hAnsi="宋体" w:cs="仿宋_GB2312"/>
                <w:sz w:val="24"/>
              </w:rPr>
            </w:pPr>
            <w:r>
              <w:rPr>
                <w:rFonts w:hint="eastAsia" w:ascii="宋体" w:hAnsi="宋体" w:cs="仿宋_GB2312"/>
                <w:sz w:val="24"/>
                <w:lang w:eastAsia="zh-CN"/>
              </w:rPr>
              <w:t>新增内河航道</w:t>
            </w:r>
            <w:r>
              <w:rPr>
                <w:rFonts w:hint="eastAsia" w:ascii="宋体" w:hAnsi="宋体" w:cs="仿宋_GB2312"/>
                <w:sz w:val="24"/>
              </w:rPr>
              <w:t>普查工作</w:t>
            </w:r>
          </w:p>
        </w:tc>
        <w:tc>
          <w:tcPr>
            <w:tcW w:w="419" w:type="pct"/>
            <w:tcBorders>
              <w:top w:val="single" w:color="auto" w:sz="4" w:space="0"/>
              <w:left w:val="single" w:color="auto" w:sz="4" w:space="0"/>
              <w:bottom w:val="single" w:color="auto" w:sz="4" w:space="0"/>
              <w:right w:val="single" w:color="auto" w:sz="4" w:space="0"/>
            </w:tcBorders>
            <w:vAlign w:val="center"/>
          </w:tcPr>
          <w:p w14:paraId="53B524F8">
            <w:pPr>
              <w:adjustRightInd w:val="0"/>
              <w:snapToGrid w:val="0"/>
              <w:contextualSpacing/>
              <w:jc w:val="center"/>
              <w:rPr>
                <w:rFonts w:hint="eastAsia" w:ascii="宋体" w:hAnsi="宋体" w:cs="仿宋_GB2312"/>
                <w:sz w:val="24"/>
              </w:rPr>
            </w:pPr>
            <w:r>
              <w:rPr>
                <w:rFonts w:hint="eastAsia" w:ascii="宋体" w:hAnsi="宋体" w:cs="仿宋_GB2312"/>
                <w:sz w:val="24"/>
              </w:rPr>
              <w:t>1</w:t>
            </w:r>
          </w:p>
        </w:tc>
        <w:tc>
          <w:tcPr>
            <w:tcW w:w="422" w:type="pct"/>
            <w:tcBorders>
              <w:top w:val="single" w:color="auto" w:sz="4" w:space="0"/>
              <w:left w:val="single" w:color="auto" w:sz="4" w:space="0"/>
              <w:bottom w:val="single" w:color="auto" w:sz="4" w:space="0"/>
              <w:right w:val="single" w:color="auto" w:sz="4" w:space="0"/>
            </w:tcBorders>
            <w:vAlign w:val="center"/>
          </w:tcPr>
          <w:p w14:paraId="227A4F32">
            <w:pPr>
              <w:adjustRightInd w:val="0"/>
              <w:snapToGrid w:val="0"/>
              <w:contextualSpacing/>
              <w:jc w:val="center"/>
              <w:rPr>
                <w:rFonts w:hint="eastAsia" w:ascii="宋体" w:hAnsi="宋体" w:cs="仿宋_GB2312"/>
                <w:sz w:val="24"/>
              </w:rPr>
            </w:pPr>
            <w:r>
              <w:rPr>
                <w:rFonts w:hint="eastAsia" w:ascii="宋体" w:hAnsi="宋体" w:cs="仿宋_GB2312"/>
                <w:sz w:val="24"/>
              </w:rPr>
              <w:t>项</w:t>
            </w:r>
          </w:p>
        </w:tc>
        <w:tc>
          <w:tcPr>
            <w:tcW w:w="1101" w:type="pct"/>
            <w:tcBorders>
              <w:top w:val="single" w:color="auto" w:sz="4" w:space="0"/>
              <w:left w:val="single" w:color="auto" w:sz="4" w:space="0"/>
              <w:bottom w:val="single" w:color="auto" w:sz="4" w:space="0"/>
              <w:right w:val="single" w:color="auto" w:sz="4" w:space="0"/>
            </w:tcBorders>
            <w:vAlign w:val="center"/>
          </w:tcPr>
          <w:p w14:paraId="068F5A58">
            <w:pPr>
              <w:adjustRightInd w:val="0"/>
              <w:snapToGrid w:val="0"/>
              <w:contextualSpacing/>
              <w:jc w:val="center"/>
              <w:rPr>
                <w:rFonts w:hint="eastAsia" w:ascii="宋体" w:hAnsi="宋体" w:cs="仿宋_GB2312"/>
                <w:sz w:val="24"/>
              </w:rPr>
            </w:pPr>
          </w:p>
        </w:tc>
        <w:tc>
          <w:tcPr>
            <w:tcW w:w="807" w:type="pct"/>
            <w:tcBorders>
              <w:top w:val="single" w:color="auto" w:sz="4" w:space="0"/>
              <w:left w:val="single" w:color="auto" w:sz="4" w:space="0"/>
              <w:bottom w:val="single" w:color="auto" w:sz="4" w:space="0"/>
              <w:right w:val="single" w:color="auto" w:sz="4" w:space="0"/>
            </w:tcBorders>
            <w:vAlign w:val="center"/>
          </w:tcPr>
          <w:p w14:paraId="6B8AD6E2">
            <w:pPr>
              <w:adjustRightInd w:val="0"/>
              <w:snapToGrid w:val="0"/>
              <w:contextualSpacing/>
              <w:jc w:val="center"/>
              <w:rPr>
                <w:rFonts w:hint="eastAsia" w:ascii="宋体" w:hAnsi="宋体" w:cs="仿宋_GB2312"/>
                <w:sz w:val="24"/>
              </w:rPr>
            </w:pPr>
          </w:p>
        </w:tc>
      </w:tr>
      <w:tr w14:paraId="6F3DD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atLeast"/>
          <w:jc w:val="right"/>
        </w:trPr>
        <w:tc>
          <w:tcPr>
            <w:tcW w:w="397" w:type="pct"/>
            <w:tcBorders>
              <w:top w:val="single" w:color="auto" w:sz="4" w:space="0"/>
              <w:left w:val="single" w:color="auto" w:sz="4" w:space="0"/>
              <w:bottom w:val="single" w:color="auto" w:sz="4" w:space="0"/>
              <w:right w:val="single" w:color="auto" w:sz="4" w:space="0"/>
            </w:tcBorders>
            <w:vAlign w:val="center"/>
          </w:tcPr>
          <w:p w14:paraId="71EDE01E">
            <w:pPr>
              <w:adjustRightInd w:val="0"/>
              <w:snapToGrid w:val="0"/>
              <w:contextualSpacing/>
              <w:jc w:val="center"/>
              <w:rPr>
                <w:rFonts w:hint="eastAsia" w:ascii="宋体" w:hAnsi="宋体" w:cs="仿宋_GB2312"/>
                <w:sz w:val="24"/>
              </w:rPr>
            </w:pPr>
          </w:p>
        </w:tc>
        <w:tc>
          <w:tcPr>
            <w:tcW w:w="1851" w:type="pct"/>
            <w:tcBorders>
              <w:top w:val="single" w:color="auto" w:sz="4" w:space="0"/>
              <w:left w:val="single" w:color="auto" w:sz="4" w:space="0"/>
              <w:bottom w:val="single" w:color="auto" w:sz="4" w:space="0"/>
              <w:right w:val="single" w:color="auto" w:sz="4" w:space="0"/>
            </w:tcBorders>
            <w:vAlign w:val="center"/>
          </w:tcPr>
          <w:p w14:paraId="4B515D58">
            <w:pPr>
              <w:adjustRightInd w:val="0"/>
              <w:snapToGrid w:val="0"/>
              <w:jc w:val="left"/>
              <w:rPr>
                <w:rFonts w:hint="eastAsia" w:ascii="宋体" w:hAnsi="宋体" w:cs="仿宋_GB2312"/>
                <w:sz w:val="24"/>
              </w:rPr>
            </w:pPr>
          </w:p>
        </w:tc>
        <w:tc>
          <w:tcPr>
            <w:tcW w:w="419" w:type="pct"/>
            <w:tcBorders>
              <w:top w:val="single" w:color="auto" w:sz="4" w:space="0"/>
              <w:left w:val="single" w:color="auto" w:sz="4" w:space="0"/>
              <w:bottom w:val="single" w:color="auto" w:sz="4" w:space="0"/>
              <w:right w:val="single" w:color="auto" w:sz="4" w:space="0"/>
            </w:tcBorders>
            <w:vAlign w:val="center"/>
          </w:tcPr>
          <w:p w14:paraId="60E9D126">
            <w:pPr>
              <w:adjustRightInd w:val="0"/>
              <w:snapToGrid w:val="0"/>
              <w:contextualSpacing/>
              <w:jc w:val="center"/>
              <w:rPr>
                <w:rFonts w:hint="eastAsia" w:ascii="宋体" w:hAnsi="宋体" w:cs="仿宋_GB2312"/>
                <w:sz w:val="24"/>
              </w:rPr>
            </w:pPr>
          </w:p>
        </w:tc>
        <w:tc>
          <w:tcPr>
            <w:tcW w:w="422" w:type="pct"/>
            <w:tcBorders>
              <w:top w:val="single" w:color="auto" w:sz="4" w:space="0"/>
              <w:left w:val="single" w:color="auto" w:sz="4" w:space="0"/>
              <w:bottom w:val="single" w:color="auto" w:sz="4" w:space="0"/>
              <w:right w:val="single" w:color="auto" w:sz="4" w:space="0"/>
            </w:tcBorders>
            <w:vAlign w:val="center"/>
          </w:tcPr>
          <w:p w14:paraId="15A0143F">
            <w:pPr>
              <w:adjustRightInd w:val="0"/>
              <w:snapToGrid w:val="0"/>
              <w:contextualSpacing/>
              <w:jc w:val="center"/>
              <w:rPr>
                <w:rFonts w:hint="eastAsia" w:ascii="宋体" w:hAnsi="宋体" w:cs="仿宋_GB2312"/>
                <w:sz w:val="24"/>
              </w:rPr>
            </w:pPr>
          </w:p>
        </w:tc>
        <w:tc>
          <w:tcPr>
            <w:tcW w:w="1101" w:type="pct"/>
            <w:tcBorders>
              <w:top w:val="single" w:color="auto" w:sz="4" w:space="0"/>
              <w:left w:val="single" w:color="auto" w:sz="4" w:space="0"/>
              <w:bottom w:val="single" w:color="auto" w:sz="4" w:space="0"/>
              <w:right w:val="single" w:color="auto" w:sz="4" w:space="0"/>
            </w:tcBorders>
            <w:vAlign w:val="center"/>
          </w:tcPr>
          <w:p w14:paraId="1B7D28D3">
            <w:pPr>
              <w:adjustRightInd w:val="0"/>
              <w:snapToGrid w:val="0"/>
              <w:contextualSpacing/>
              <w:jc w:val="center"/>
              <w:rPr>
                <w:rFonts w:hint="eastAsia" w:ascii="宋体" w:hAnsi="宋体" w:cs="仿宋_GB2312"/>
                <w:sz w:val="24"/>
              </w:rPr>
            </w:pPr>
          </w:p>
        </w:tc>
        <w:tc>
          <w:tcPr>
            <w:tcW w:w="807" w:type="pct"/>
            <w:tcBorders>
              <w:top w:val="single" w:color="auto" w:sz="4" w:space="0"/>
              <w:left w:val="single" w:color="auto" w:sz="4" w:space="0"/>
              <w:bottom w:val="single" w:color="auto" w:sz="4" w:space="0"/>
              <w:right w:val="single" w:color="auto" w:sz="4" w:space="0"/>
            </w:tcBorders>
            <w:vAlign w:val="center"/>
          </w:tcPr>
          <w:p w14:paraId="2557C744">
            <w:pPr>
              <w:adjustRightInd w:val="0"/>
              <w:snapToGrid w:val="0"/>
              <w:contextualSpacing/>
              <w:jc w:val="center"/>
              <w:rPr>
                <w:rFonts w:hint="eastAsia" w:ascii="宋体" w:hAnsi="宋体" w:cs="仿宋_GB2312"/>
                <w:sz w:val="24"/>
              </w:rPr>
            </w:pPr>
          </w:p>
        </w:tc>
      </w:tr>
      <w:tr w14:paraId="6B30C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right"/>
        </w:trPr>
        <w:tc>
          <w:tcPr>
            <w:tcW w:w="3090" w:type="pct"/>
            <w:gridSpan w:val="4"/>
            <w:tcBorders>
              <w:top w:val="single" w:color="auto" w:sz="4" w:space="0"/>
              <w:left w:val="single" w:color="auto" w:sz="4" w:space="0"/>
              <w:bottom w:val="single" w:color="auto" w:sz="4" w:space="0"/>
              <w:right w:val="single" w:color="auto" w:sz="4" w:space="0"/>
            </w:tcBorders>
            <w:vAlign w:val="center"/>
          </w:tcPr>
          <w:p w14:paraId="14A9619A">
            <w:pPr>
              <w:adjustRightInd w:val="0"/>
              <w:snapToGrid w:val="0"/>
              <w:contextualSpacing/>
              <w:jc w:val="center"/>
              <w:rPr>
                <w:rFonts w:hint="eastAsia" w:ascii="宋体" w:hAnsi="宋体" w:cs="仿宋_GB2312"/>
                <w:sz w:val="24"/>
              </w:rPr>
            </w:pPr>
            <w:r>
              <w:rPr>
                <w:rFonts w:hint="eastAsia" w:ascii="宋体" w:hAnsi="宋体" w:cs="仿宋_GB2312"/>
                <w:sz w:val="24"/>
              </w:rPr>
              <w:t>合计报价</w:t>
            </w:r>
          </w:p>
        </w:tc>
        <w:tc>
          <w:tcPr>
            <w:tcW w:w="1101" w:type="pct"/>
            <w:tcBorders>
              <w:top w:val="single" w:color="auto" w:sz="4" w:space="0"/>
              <w:left w:val="single" w:color="auto" w:sz="4" w:space="0"/>
              <w:bottom w:val="single" w:color="auto" w:sz="4" w:space="0"/>
              <w:right w:val="single" w:color="auto" w:sz="4" w:space="0"/>
            </w:tcBorders>
            <w:vAlign w:val="center"/>
          </w:tcPr>
          <w:p w14:paraId="5D807D6E">
            <w:pPr>
              <w:adjustRightInd w:val="0"/>
              <w:snapToGrid w:val="0"/>
              <w:contextualSpacing/>
              <w:jc w:val="center"/>
              <w:rPr>
                <w:rFonts w:hint="eastAsia" w:ascii="宋体" w:hAnsi="宋体" w:cs="仿宋_GB2312"/>
                <w:sz w:val="24"/>
              </w:rPr>
            </w:pPr>
          </w:p>
        </w:tc>
        <w:tc>
          <w:tcPr>
            <w:tcW w:w="807" w:type="pct"/>
            <w:tcBorders>
              <w:top w:val="single" w:color="auto" w:sz="4" w:space="0"/>
              <w:left w:val="single" w:color="auto" w:sz="4" w:space="0"/>
              <w:bottom w:val="single" w:color="auto" w:sz="4" w:space="0"/>
              <w:right w:val="single" w:color="auto" w:sz="4" w:space="0"/>
            </w:tcBorders>
            <w:vAlign w:val="center"/>
          </w:tcPr>
          <w:p w14:paraId="4F17A68F">
            <w:pPr>
              <w:adjustRightInd w:val="0"/>
              <w:snapToGrid w:val="0"/>
              <w:contextualSpacing/>
              <w:jc w:val="center"/>
              <w:rPr>
                <w:rFonts w:hint="eastAsia" w:ascii="宋体" w:hAnsi="宋体" w:cs="仿宋_GB2312"/>
                <w:sz w:val="24"/>
              </w:rPr>
            </w:pPr>
          </w:p>
        </w:tc>
      </w:tr>
    </w:tbl>
    <w:p w14:paraId="4F38ACDC">
      <w:pPr>
        <w:spacing w:line="360" w:lineRule="auto"/>
        <w:contextualSpacing/>
        <w:jc w:val="left"/>
        <w:rPr>
          <w:rFonts w:hint="eastAsia" w:ascii="宋体" w:hAnsi="宋体" w:cs="仿宋_GB2312"/>
          <w:sz w:val="24"/>
        </w:rPr>
      </w:pPr>
      <w:r>
        <w:rPr>
          <w:rFonts w:hint="eastAsia" w:ascii="宋体" w:hAnsi="宋体" w:cs="仿宋_GB2312"/>
          <w:sz w:val="24"/>
        </w:rPr>
        <w:t xml:space="preserve">注: </w:t>
      </w:r>
    </w:p>
    <w:p w14:paraId="6371B145">
      <w:pPr>
        <w:spacing w:line="360" w:lineRule="auto"/>
        <w:ind w:firstLine="480" w:firstLineChars="200"/>
        <w:contextualSpacing/>
        <w:jc w:val="left"/>
        <w:rPr>
          <w:rFonts w:hint="eastAsia" w:ascii="宋体" w:hAnsi="宋体" w:cs="仿宋_GB2312"/>
          <w:sz w:val="24"/>
        </w:rPr>
      </w:pPr>
      <w:r>
        <w:rPr>
          <w:rFonts w:hint="eastAsia" w:ascii="宋体" w:hAnsi="宋体" w:cs="仿宋_GB2312"/>
          <w:sz w:val="24"/>
        </w:rPr>
        <w:t>1.供应商的报价表必须加盖供应商公章并由法定代表人或者委托代理人签字，</w:t>
      </w:r>
      <w:r>
        <w:rPr>
          <w:rFonts w:hint="eastAsia" w:ascii="宋体" w:hAnsi="宋体" w:cs="仿宋_GB2312"/>
          <w:b/>
          <w:sz w:val="24"/>
        </w:rPr>
        <w:t>否则其响应文件按无效响应处理</w:t>
      </w:r>
      <w:r>
        <w:rPr>
          <w:rFonts w:hint="eastAsia" w:ascii="宋体" w:hAnsi="宋体" w:cs="仿宋_GB2312"/>
          <w:sz w:val="24"/>
        </w:rPr>
        <w:t>。</w:t>
      </w:r>
    </w:p>
    <w:p w14:paraId="3AD784D7">
      <w:pPr>
        <w:spacing w:line="360" w:lineRule="auto"/>
        <w:ind w:firstLine="480" w:firstLineChars="200"/>
        <w:contextualSpacing/>
        <w:jc w:val="left"/>
        <w:rPr>
          <w:rFonts w:hint="eastAsia" w:ascii="宋体" w:hAnsi="宋体" w:cs="仿宋_GB2312"/>
          <w:b/>
          <w:sz w:val="24"/>
        </w:rPr>
      </w:pPr>
      <w:r>
        <w:rPr>
          <w:rFonts w:hint="eastAsia" w:ascii="宋体" w:hAnsi="宋体" w:cs="仿宋_GB2312"/>
          <w:bCs/>
          <w:sz w:val="24"/>
        </w:rPr>
        <w:t>2.</w:t>
      </w:r>
      <w:r>
        <w:rPr>
          <w:rFonts w:hint="eastAsia" w:ascii="宋体" w:hAnsi="宋体" w:cs="仿宋_GB2312"/>
          <w:sz w:val="24"/>
        </w:rPr>
        <w:t>报价一经涂改，应在涂改处加盖供应商公章或者由法定代表人或者委托代理人签字或者盖章</w:t>
      </w:r>
      <w:r>
        <w:rPr>
          <w:rFonts w:hint="eastAsia" w:ascii="宋体" w:hAnsi="宋体" w:cs="仿宋_GB2312"/>
          <w:b/>
          <w:sz w:val="24"/>
        </w:rPr>
        <w:t>，否则其响应文件按无效响应处理。</w:t>
      </w:r>
    </w:p>
    <w:p w14:paraId="4BF62F21">
      <w:pPr>
        <w:spacing w:line="360" w:lineRule="auto"/>
        <w:ind w:firstLine="480" w:firstLineChars="200"/>
        <w:contextualSpacing/>
        <w:rPr>
          <w:rFonts w:hint="eastAsia" w:ascii="宋体" w:hAnsi="宋体" w:cs="仿宋_GB2312"/>
          <w:sz w:val="24"/>
        </w:rPr>
      </w:pPr>
    </w:p>
    <w:p w14:paraId="06B85F5E">
      <w:pPr>
        <w:spacing w:line="360" w:lineRule="auto"/>
        <w:ind w:right="-817" w:rightChars="-389" w:firstLine="2640" w:firstLineChars="1100"/>
        <w:contextualSpacing/>
        <w:rPr>
          <w:rFonts w:hint="eastAsia" w:ascii="宋体" w:hAnsi="宋体" w:cs="仿宋_GB2312"/>
          <w:sz w:val="24"/>
        </w:rPr>
      </w:pPr>
    </w:p>
    <w:p w14:paraId="6B962084">
      <w:pPr>
        <w:pStyle w:val="9"/>
        <w:overflowPunct w:val="0"/>
        <w:spacing w:line="520" w:lineRule="exact"/>
        <w:ind w:firstLine="0"/>
        <w:jc w:val="center"/>
        <w:rPr>
          <w:sz w:val="24"/>
        </w:rPr>
      </w:pPr>
      <w:r>
        <w:rPr>
          <w:rFonts w:hint="eastAsia"/>
          <w:sz w:val="24"/>
        </w:rPr>
        <w:t>供应商名称：</w:t>
      </w:r>
      <w:r>
        <w:rPr>
          <w:rFonts w:hint="eastAsia"/>
          <w:sz w:val="24"/>
          <w:u w:val="single"/>
        </w:rPr>
        <w:t xml:space="preserve">                         </w:t>
      </w:r>
      <w:r>
        <w:rPr>
          <w:rFonts w:hint="eastAsia"/>
          <w:sz w:val="24"/>
        </w:rPr>
        <w:t>（盖单位公章）</w:t>
      </w:r>
    </w:p>
    <w:p w14:paraId="50EA8B2F">
      <w:pPr>
        <w:pStyle w:val="9"/>
        <w:overflowPunct w:val="0"/>
        <w:spacing w:line="520" w:lineRule="exact"/>
        <w:ind w:firstLine="1478" w:firstLineChars="616"/>
        <w:rPr>
          <w:sz w:val="24"/>
        </w:rPr>
      </w:pPr>
      <w:r>
        <w:rPr>
          <w:rFonts w:hint="eastAsia"/>
          <w:sz w:val="24"/>
        </w:rPr>
        <w:t>法定代表人或其委托代理人：</w:t>
      </w:r>
      <w:r>
        <w:rPr>
          <w:rFonts w:hint="eastAsia"/>
          <w:sz w:val="24"/>
          <w:u w:val="single"/>
        </w:rPr>
        <w:t xml:space="preserve">           </w:t>
      </w:r>
      <w:r>
        <w:rPr>
          <w:rFonts w:hint="eastAsia"/>
          <w:sz w:val="24"/>
        </w:rPr>
        <w:t>（签字）</w:t>
      </w:r>
    </w:p>
    <w:p w14:paraId="0A1BF4CE">
      <w:pPr>
        <w:pStyle w:val="9"/>
        <w:overflowPunct w:val="0"/>
        <w:spacing w:line="520" w:lineRule="exact"/>
        <w:ind w:firstLine="3998" w:firstLineChars="1666"/>
        <w:rPr>
          <w:sz w:val="24"/>
        </w:rPr>
      </w:pP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w:t>
      </w:r>
    </w:p>
    <w:p w14:paraId="74BED88C">
      <w:pPr>
        <w:spacing w:line="360" w:lineRule="auto"/>
        <w:ind w:firstLine="643" w:firstLineChars="200"/>
        <w:rPr>
          <w:snapToGrid w:val="0"/>
          <w:kern w:val="0"/>
          <w:szCs w:val="21"/>
        </w:rPr>
      </w:pPr>
      <w:r>
        <w:rPr>
          <w:rFonts w:hint="eastAsia" w:ascii="宋体" w:hAnsi="Courier New"/>
          <w:b/>
          <w:sz w:val="32"/>
          <w:szCs w:val="32"/>
        </w:rPr>
        <w:br w:type="page"/>
      </w:r>
    </w:p>
    <w:p w14:paraId="35BBA3E8">
      <w:pPr>
        <w:snapToGrid w:val="0"/>
        <w:spacing w:line="360" w:lineRule="auto"/>
        <w:jc w:val="center"/>
        <w:outlineLvl w:val="1"/>
        <w:rPr>
          <w:rFonts w:hint="eastAsia" w:ascii="黑体" w:hAnsi="黑体" w:eastAsia="黑体" w:cs="黑体"/>
          <w:sz w:val="36"/>
          <w:szCs w:val="36"/>
        </w:rPr>
      </w:pPr>
      <w:bookmarkStart w:id="61" w:name="_Toc15587"/>
      <w:bookmarkStart w:id="62" w:name="_Toc29645"/>
      <w:r>
        <w:rPr>
          <w:rFonts w:hint="eastAsia" w:ascii="黑体" w:hAnsi="黑体" w:eastAsia="黑体" w:cs="黑体"/>
          <w:sz w:val="36"/>
          <w:szCs w:val="36"/>
        </w:rPr>
        <w:t>四、业绩和人员配置资料</w:t>
      </w:r>
    </w:p>
    <w:p w14:paraId="17BE6786">
      <w:pPr>
        <w:snapToGrid w:val="0"/>
        <w:spacing w:before="120" w:beforeLines="50" w:after="50"/>
        <w:jc w:val="center"/>
        <w:outlineLvl w:val="2"/>
        <w:rPr>
          <w:rFonts w:hint="eastAsia" w:ascii="宋体" w:hAnsi="宋体"/>
          <w:b/>
          <w:sz w:val="24"/>
        </w:rPr>
      </w:pPr>
      <w:r>
        <w:rPr>
          <w:rFonts w:hint="eastAsia" w:ascii="宋体" w:hAnsi="宋体"/>
          <w:b/>
          <w:sz w:val="24"/>
        </w:rPr>
        <w:t>（一）近年开展的业绩证明文件</w:t>
      </w:r>
      <w:bookmarkEnd w:id="61"/>
      <w:bookmarkEnd w:id="62"/>
    </w:p>
    <w:p w14:paraId="3F62ACE2">
      <w:pPr>
        <w:pStyle w:val="21"/>
        <w:snapToGrid w:val="0"/>
        <w:ind w:left="482" w:hanging="482"/>
        <w:rPr>
          <w:rFonts w:hint="eastAsia" w:ascii="宋体" w:hAnsi="宋体"/>
          <w:b/>
          <w:bCs/>
          <w:sz w:val="24"/>
        </w:rPr>
      </w:pPr>
    </w:p>
    <w:p w14:paraId="3D880DB1">
      <w:pPr>
        <w:jc w:val="center"/>
        <w:outlineLvl w:val="3"/>
        <w:rPr>
          <w:rFonts w:hint="eastAsia" w:ascii="黑体" w:hAnsi="宋体" w:eastAsia="黑体"/>
          <w:b/>
          <w:bCs/>
          <w:sz w:val="24"/>
        </w:rPr>
      </w:pPr>
      <w:r>
        <w:rPr>
          <w:rFonts w:ascii="黑体" w:hAnsi="宋体" w:eastAsia="黑体"/>
          <w:b/>
          <w:bCs/>
          <w:sz w:val="24"/>
        </w:rPr>
        <w:t>近</w:t>
      </w:r>
      <w:r>
        <w:rPr>
          <w:rFonts w:hint="eastAsia" w:ascii="黑体" w:hAnsi="宋体" w:eastAsia="黑体"/>
          <w:b/>
          <w:bCs/>
          <w:sz w:val="24"/>
          <w:u w:val="single"/>
        </w:rPr>
        <w:t xml:space="preserve"> </w:t>
      </w:r>
      <w:r>
        <w:rPr>
          <w:rFonts w:ascii="黑体" w:hAnsi="宋体" w:eastAsia="黑体"/>
          <w:b/>
          <w:bCs/>
          <w:sz w:val="24"/>
          <w:u w:val="single"/>
        </w:rPr>
        <w:t>3</w:t>
      </w:r>
      <w:r>
        <w:rPr>
          <w:rFonts w:hint="eastAsia" w:ascii="黑体" w:hAnsi="宋体" w:eastAsia="黑体"/>
          <w:b/>
          <w:bCs/>
          <w:sz w:val="24"/>
          <w:u w:val="single"/>
        </w:rPr>
        <w:t xml:space="preserve"> </w:t>
      </w:r>
      <w:r>
        <w:rPr>
          <w:rFonts w:ascii="黑体" w:hAnsi="宋体" w:eastAsia="黑体"/>
          <w:b/>
          <w:bCs/>
          <w:sz w:val="24"/>
        </w:rPr>
        <w:t>年</w:t>
      </w:r>
      <w:r>
        <w:rPr>
          <w:rFonts w:hint="eastAsia" w:ascii="黑体" w:hAnsi="宋体" w:eastAsia="黑体"/>
          <w:b/>
          <w:bCs/>
          <w:sz w:val="24"/>
        </w:rPr>
        <w:t>开展的</w:t>
      </w:r>
      <w:r>
        <w:rPr>
          <w:rFonts w:ascii="黑体" w:hAnsi="宋体" w:eastAsia="黑体"/>
          <w:b/>
          <w:bCs/>
          <w:sz w:val="24"/>
        </w:rPr>
        <w:t>类似项目情况汇总表</w:t>
      </w:r>
    </w:p>
    <w:tbl>
      <w:tblPr>
        <w:tblStyle w:val="25"/>
        <w:tblW w:w="0" w:type="auto"/>
        <w:tblInd w:w="15" w:type="dxa"/>
        <w:tblLayout w:type="fixed"/>
        <w:tblCellMar>
          <w:top w:w="0" w:type="dxa"/>
          <w:left w:w="0" w:type="dxa"/>
          <w:bottom w:w="0" w:type="dxa"/>
          <w:right w:w="0" w:type="dxa"/>
        </w:tblCellMar>
      </w:tblPr>
      <w:tblGrid>
        <w:gridCol w:w="1437"/>
        <w:gridCol w:w="1430"/>
        <w:gridCol w:w="2516"/>
        <w:gridCol w:w="2330"/>
        <w:gridCol w:w="1387"/>
      </w:tblGrid>
      <w:tr w14:paraId="0E174DC9">
        <w:tblPrEx>
          <w:tblCellMar>
            <w:top w:w="0" w:type="dxa"/>
            <w:left w:w="0" w:type="dxa"/>
            <w:bottom w:w="0" w:type="dxa"/>
            <w:right w:w="0" w:type="dxa"/>
          </w:tblCellMar>
        </w:tblPrEx>
        <w:trPr>
          <w:trHeight w:val="561" w:hRule="atLeast"/>
        </w:trPr>
        <w:tc>
          <w:tcPr>
            <w:tcW w:w="1437" w:type="dxa"/>
            <w:tcBorders>
              <w:top w:val="single" w:color="auto" w:sz="12" w:space="0"/>
              <w:left w:val="single" w:color="auto" w:sz="12" w:space="0"/>
              <w:bottom w:val="single" w:color="auto" w:sz="8" w:space="0"/>
              <w:right w:val="single" w:color="auto" w:sz="8" w:space="0"/>
            </w:tcBorders>
            <w:vAlign w:val="center"/>
          </w:tcPr>
          <w:p w14:paraId="2679835F">
            <w:pPr>
              <w:autoSpaceDE w:val="0"/>
              <w:autoSpaceDN w:val="0"/>
              <w:jc w:val="center"/>
              <w:rPr>
                <w:rFonts w:ascii="宋体" w:cs="宋体"/>
                <w:kern w:val="0"/>
                <w:sz w:val="24"/>
              </w:rPr>
            </w:pPr>
            <w:r>
              <w:rPr>
                <w:rFonts w:hint="eastAsia" w:ascii="宋体" w:cs="宋体"/>
                <w:kern w:val="0"/>
                <w:sz w:val="24"/>
              </w:rPr>
              <w:t>项目名称</w:t>
            </w:r>
          </w:p>
        </w:tc>
        <w:tc>
          <w:tcPr>
            <w:tcW w:w="1430" w:type="dxa"/>
            <w:tcBorders>
              <w:top w:val="single" w:color="auto" w:sz="12" w:space="0"/>
              <w:left w:val="single" w:color="auto" w:sz="8" w:space="0"/>
              <w:bottom w:val="single" w:color="auto" w:sz="8" w:space="0"/>
              <w:right w:val="single" w:color="auto" w:sz="8" w:space="0"/>
            </w:tcBorders>
            <w:vAlign w:val="center"/>
          </w:tcPr>
          <w:p w14:paraId="3D4CEF13">
            <w:pPr>
              <w:autoSpaceDE w:val="0"/>
              <w:autoSpaceDN w:val="0"/>
              <w:jc w:val="center"/>
              <w:rPr>
                <w:rFonts w:ascii="宋体" w:cs="宋体"/>
                <w:kern w:val="0"/>
                <w:sz w:val="24"/>
              </w:rPr>
            </w:pPr>
            <w:r>
              <w:rPr>
                <w:rFonts w:hint="eastAsia" w:ascii="宋体" w:cs="宋体"/>
                <w:kern w:val="0"/>
                <w:sz w:val="24"/>
              </w:rPr>
              <w:t>起讫时间</w:t>
            </w:r>
          </w:p>
        </w:tc>
        <w:tc>
          <w:tcPr>
            <w:tcW w:w="2516" w:type="dxa"/>
            <w:tcBorders>
              <w:top w:val="single" w:color="auto" w:sz="12" w:space="0"/>
              <w:left w:val="single" w:color="auto" w:sz="8" w:space="0"/>
              <w:bottom w:val="single" w:color="auto" w:sz="8" w:space="0"/>
              <w:right w:val="single" w:color="auto" w:sz="8" w:space="0"/>
            </w:tcBorders>
            <w:vAlign w:val="center"/>
          </w:tcPr>
          <w:p w14:paraId="66ED5CB7">
            <w:pPr>
              <w:autoSpaceDE w:val="0"/>
              <w:autoSpaceDN w:val="0"/>
              <w:jc w:val="center"/>
              <w:rPr>
                <w:rFonts w:ascii="宋体" w:cs="宋体"/>
                <w:kern w:val="0"/>
                <w:sz w:val="24"/>
              </w:rPr>
            </w:pPr>
            <w:r>
              <w:rPr>
                <w:rFonts w:hint="eastAsia" w:ascii="宋体" w:cs="宋体"/>
                <w:kern w:val="0"/>
                <w:sz w:val="24"/>
              </w:rPr>
              <w:t>发包人</w:t>
            </w:r>
          </w:p>
        </w:tc>
        <w:tc>
          <w:tcPr>
            <w:tcW w:w="2330" w:type="dxa"/>
            <w:tcBorders>
              <w:top w:val="single" w:color="auto" w:sz="12" w:space="0"/>
              <w:left w:val="single" w:color="auto" w:sz="8" w:space="0"/>
              <w:bottom w:val="single" w:color="auto" w:sz="8" w:space="0"/>
              <w:right w:val="single" w:color="auto" w:sz="8" w:space="0"/>
            </w:tcBorders>
            <w:vAlign w:val="center"/>
          </w:tcPr>
          <w:p w14:paraId="1DC09ECA">
            <w:pPr>
              <w:autoSpaceDE w:val="0"/>
              <w:autoSpaceDN w:val="0"/>
              <w:jc w:val="center"/>
              <w:rPr>
                <w:rFonts w:ascii="宋体" w:cs="宋体"/>
                <w:kern w:val="0"/>
                <w:sz w:val="24"/>
              </w:rPr>
            </w:pPr>
            <w:r>
              <w:rPr>
                <w:rFonts w:hint="eastAsia" w:ascii="宋体" w:cs="宋体"/>
                <w:kern w:val="0"/>
                <w:sz w:val="24"/>
              </w:rPr>
              <w:t>完成情况</w:t>
            </w:r>
          </w:p>
        </w:tc>
        <w:tc>
          <w:tcPr>
            <w:tcW w:w="1387" w:type="dxa"/>
            <w:tcBorders>
              <w:top w:val="single" w:color="auto" w:sz="12" w:space="0"/>
              <w:left w:val="single" w:color="auto" w:sz="8" w:space="0"/>
              <w:bottom w:val="single" w:color="auto" w:sz="8" w:space="0"/>
              <w:right w:val="single" w:color="auto" w:sz="12" w:space="0"/>
            </w:tcBorders>
            <w:vAlign w:val="center"/>
          </w:tcPr>
          <w:p w14:paraId="7C0B762C">
            <w:pPr>
              <w:autoSpaceDE w:val="0"/>
              <w:autoSpaceDN w:val="0"/>
              <w:jc w:val="center"/>
              <w:rPr>
                <w:rFonts w:ascii="宋体" w:cs="宋体"/>
                <w:kern w:val="0"/>
                <w:sz w:val="24"/>
              </w:rPr>
            </w:pPr>
            <w:r>
              <w:rPr>
                <w:rFonts w:hint="eastAsia" w:ascii="宋体" w:cs="宋体"/>
                <w:kern w:val="0"/>
                <w:sz w:val="24"/>
              </w:rPr>
              <w:t>备注</w:t>
            </w:r>
          </w:p>
        </w:tc>
      </w:tr>
      <w:tr w14:paraId="7A903A7A">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tcPr>
          <w:p w14:paraId="0DDF5336">
            <w:pPr>
              <w:autoSpaceDE w:val="0"/>
              <w:autoSpaceDN w:val="0"/>
              <w:rPr>
                <w:kern w:val="0"/>
                <w:sz w:val="24"/>
              </w:rPr>
            </w:pPr>
          </w:p>
        </w:tc>
        <w:tc>
          <w:tcPr>
            <w:tcW w:w="1430" w:type="dxa"/>
            <w:tcBorders>
              <w:top w:val="single" w:color="auto" w:sz="8" w:space="0"/>
              <w:left w:val="single" w:color="auto" w:sz="8" w:space="0"/>
              <w:bottom w:val="single" w:color="auto" w:sz="8" w:space="0"/>
              <w:right w:val="single" w:color="auto" w:sz="8" w:space="0"/>
            </w:tcBorders>
          </w:tcPr>
          <w:p w14:paraId="070666DF">
            <w:pPr>
              <w:autoSpaceDE w:val="0"/>
              <w:autoSpaceDN w:val="0"/>
              <w:rPr>
                <w:kern w:val="0"/>
                <w:sz w:val="24"/>
              </w:rPr>
            </w:pPr>
          </w:p>
        </w:tc>
        <w:tc>
          <w:tcPr>
            <w:tcW w:w="2516" w:type="dxa"/>
            <w:tcBorders>
              <w:top w:val="single" w:color="auto" w:sz="8" w:space="0"/>
              <w:left w:val="single" w:color="auto" w:sz="8" w:space="0"/>
              <w:bottom w:val="single" w:color="auto" w:sz="8" w:space="0"/>
              <w:right w:val="single" w:color="auto" w:sz="8" w:space="0"/>
            </w:tcBorders>
          </w:tcPr>
          <w:p w14:paraId="3A9C52EE">
            <w:pPr>
              <w:autoSpaceDE w:val="0"/>
              <w:autoSpaceDN w:val="0"/>
              <w:rPr>
                <w:kern w:val="0"/>
                <w:sz w:val="24"/>
              </w:rPr>
            </w:pPr>
          </w:p>
        </w:tc>
        <w:tc>
          <w:tcPr>
            <w:tcW w:w="2330" w:type="dxa"/>
            <w:tcBorders>
              <w:top w:val="single" w:color="auto" w:sz="8" w:space="0"/>
              <w:left w:val="single" w:color="auto" w:sz="8" w:space="0"/>
              <w:bottom w:val="single" w:color="auto" w:sz="8" w:space="0"/>
              <w:right w:val="single" w:color="auto" w:sz="8" w:space="0"/>
            </w:tcBorders>
          </w:tcPr>
          <w:p w14:paraId="20BD2E19">
            <w:pPr>
              <w:autoSpaceDE w:val="0"/>
              <w:autoSpaceDN w:val="0"/>
              <w:rPr>
                <w:kern w:val="0"/>
                <w:sz w:val="24"/>
              </w:rPr>
            </w:pPr>
          </w:p>
        </w:tc>
        <w:tc>
          <w:tcPr>
            <w:tcW w:w="1387" w:type="dxa"/>
            <w:tcBorders>
              <w:top w:val="single" w:color="auto" w:sz="8" w:space="0"/>
              <w:left w:val="single" w:color="auto" w:sz="8" w:space="0"/>
              <w:bottom w:val="single" w:color="auto" w:sz="8" w:space="0"/>
              <w:right w:val="single" w:color="auto" w:sz="12" w:space="0"/>
            </w:tcBorders>
          </w:tcPr>
          <w:p w14:paraId="07B23BCE">
            <w:pPr>
              <w:autoSpaceDE w:val="0"/>
              <w:autoSpaceDN w:val="0"/>
              <w:rPr>
                <w:kern w:val="0"/>
                <w:sz w:val="24"/>
              </w:rPr>
            </w:pPr>
          </w:p>
        </w:tc>
      </w:tr>
      <w:tr w14:paraId="47D8D94C">
        <w:trPr>
          <w:trHeight w:val="574" w:hRule="atLeast"/>
        </w:trPr>
        <w:tc>
          <w:tcPr>
            <w:tcW w:w="1437" w:type="dxa"/>
            <w:tcBorders>
              <w:top w:val="single" w:color="auto" w:sz="8" w:space="0"/>
              <w:left w:val="single" w:color="auto" w:sz="12" w:space="0"/>
              <w:bottom w:val="single" w:color="auto" w:sz="8" w:space="0"/>
              <w:right w:val="single" w:color="auto" w:sz="8" w:space="0"/>
            </w:tcBorders>
          </w:tcPr>
          <w:p w14:paraId="44591409">
            <w:pPr>
              <w:autoSpaceDE w:val="0"/>
              <w:autoSpaceDN w:val="0"/>
              <w:rPr>
                <w:kern w:val="0"/>
                <w:sz w:val="24"/>
              </w:rPr>
            </w:pPr>
          </w:p>
        </w:tc>
        <w:tc>
          <w:tcPr>
            <w:tcW w:w="1430" w:type="dxa"/>
            <w:tcBorders>
              <w:top w:val="single" w:color="auto" w:sz="8" w:space="0"/>
              <w:left w:val="single" w:color="auto" w:sz="8" w:space="0"/>
              <w:bottom w:val="single" w:color="auto" w:sz="8" w:space="0"/>
              <w:right w:val="single" w:color="auto" w:sz="8" w:space="0"/>
            </w:tcBorders>
          </w:tcPr>
          <w:p w14:paraId="505624B0">
            <w:pPr>
              <w:autoSpaceDE w:val="0"/>
              <w:autoSpaceDN w:val="0"/>
              <w:rPr>
                <w:kern w:val="0"/>
                <w:sz w:val="24"/>
              </w:rPr>
            </w:pPr>
          </w:p>
        </w:tc>
        <w:tc>
          <w:tcPr>
            <w:tcW w:w="2516" w:type="dxa"/>
            <w:tcBorders>
              <w:top w:val="single" w:color="auto" w:sz="8" w:space="0"/>
              <w:left w:val="single" w:color="auto" w:sz="8" w:space="0"/>
              <w:bottom w:val="single" w:color="auto" w:sz="8" w:space="0"/>
              <w:right w:val="single" w:color="auto" w:sz="8" w:space="0"/>
            </w:tcBorders>
          </w:tcPr>
          <w:p w14:paraId="19857960">
            <w:pPr>
              <w:autoSpaceDE w:val="0"/>
              <w:autoSpaceDN w:val="0"/>
              <w:rPr>
                <w:kern w:val="0"/>
                <w:sz w:val="24"/>
              </w:rPr>
            </w:pPr>
          </w:p>
        </w:tc>
        <w:tc>
          <w:tcPr>
            <w:tcW w:w="2330" w:type="dxa"/>
            <w:tcBorders>
              <w:top w:val="single" w:color="auto" w:sz="8" w:space="0"/>
              <w:left w:val="single" w:color="auto" w:sz="8" w:space="0"/>
              <w:bottom w:val="single" w:color="auto" w:sz="8" w:space="0"/>
              <w:right w:val="single" w:color="auto" w:sz="8" w:space="0"/>
            </w:tcBorders>
          </w:tcPr>
          <w:p w14:paraId="41A024EE">
            <w:pPr>
              <w:autoSpaceDE w:val="0"/>
              <w:autoSpaceDN w:val="0"/>
              <w:rPr>
                <w:kern w:val="0"/>
                <w:sz w:val="24"/>
              </w:rPr>
            </w:pPr>
          </w:p>
        </w:tc>
        <w:tc>
          <w:tcPr>
            <w:tcW w:w="1387" w:type="dxa"/>
            <w:tcBorders>
              <w:top w:val="single" w:color="auto" w:sz="8" w:space="0"/>
              <w:left w:val="single" w:color="auto" w:sz="8" w:space="0"/>
              <w:bottom w:val="single" w:color="auto" w:sz="8" w:space="0"/>
              <w:right w:val="single" w:color="auto" w:sz="12" w:space="0"/>
            </w:tcBorders>
          </w:tcPr>
          <w:p w14:paraId="5FF40EAF">
            <w:pPr>
              <w:autoSpaceDE w:val="0"/>
              <w:autoSpaceDN w:val="0"/>
              <w:rPr>
                <w:kern w:val="0"/>
                <w:sz w:val="24"/>
              </w:rPr>
            </w:pPr>
          </w:p>
        </w:tc>
      </w:tr>
      <w:tr w14:paraId="1B61A49F">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tcPr>
          <w:p w14:paraId="03C373E6">
            <w:pPr>
              <w:autoSpaceDE w:val="0"/>
              <w:autoSpaceDN w:val="0"/>
              <w:rPr>
                <w:kern w:val="0"/>
                <w:sz w:val="24"/>
              </w:rPr>
            </w:pPr>
          </w:p>
        </w:tc>
        <w:tc>
          <w:tcPr>
            <w:tcW w:w="1430" w:type="dxa"/>
            <w:tcBorders>
              <w:top w:val="single" w:color="auto" w:sz="8" w:space="0"/>
              <w:left w:val="single" w:color="auto" w:sz="8" w:space="0"/>
              <w:bottom w:val="single" w:color="auto" w:sz="8" w:space="0"/>
              <w:right w:val="single" w:color="auto" w:sz="8" w:space="0"/>
            </w:tcBorders>
          </w:tcPr>
          <w:p w14:paraId="19C386F3">
            <w:pPr>
              <w:autoSpaceDE w:val="0"/>
              <w:autoSpaceDN w:val="0"/>
              <w:rPr>
                <w:kern w:val="0"/>
                <w:sz w:val="24"/>
              </w:rPr>
            </w:pPr>
          </w:p>
        </w:tc>
        <w:tc>
          <w:tcPr>
            <w:tcW w:w="2516" w:type="dxa"/>
            <w:tcBorders>
              <w:top w:val="single" w:color="auto" w:sz="8" w:space="0"/>
              <w:left w:val="single" w:color="auto" w:sz="8" w:space="0"/>
              <w:bottom w:val="single" w:color="auto" w:sz="8" w:space="0"/>
              <w:right w:val="single" w:color="auto" w:sz="8" w:space="0"/>
            </w:tcBorders>
          </w:tcPr>
          <w:p w14:paraId="5B8FDD5E">
            <w:pPr>
              <w:autoSpaceDE w:val="0"/>
              <w:autoSpaceDN w:val="0"/>
              <w:rPr>
                <w:kern w:val="0"/>
                <w:sz w:val="24"/>
              </w:rPr>
            </w:pPr>
          </w:p>
        </w:tc>
        <w:tc>
          <w:tcPr>
            <w:tcW w:w="2330" w:type="dxa"/>
            <w:tcBorders>
              <w:top w:val="single" w:color="auto" w:sz="8" w:space="0"/>
              <w:left w:val="single" w:color="auto" w:sz="8" w:space="0"/>
              <w:bottom w:val="single" w:color="auto" w:sz="8" w:space="0"/>
              <w:right w:val="single" w:color="auto" w:sz="8" w:space="0"/>
            </w:tcBorders>
          </w:tcPr>
          <w:p w14:paraId="0E10706D">
            <w:pPr>
              <w:autoSpaceDE w:val="0"/>
              <w:autoSpaceDN w:val="0"/>
              <w:rPr>
                <w:kern w:val="0"/>
                <w:sz w:val="24"/>
              </w:rPr>
            </w:pPr>
          </w:p>
        </w:tc>
        <w:tc>
          <w:tcPr>
            <w:tcW w:w="1387" w:type="dxa"/>
            <w:tcBorders>
              <w:top w:val="single" w:color="auto" w:sz="8" w:space="0"/>
              <w:left w:val="single" w:color="auto" w:sz="8" w:space="0"/>
              <w:bottom w:val="single" w:color="auto" w:sz="8" w:space="0"/>
              <w:right w:val="single" w:color="auto" w:sz="12" w:space="0"/>
            </w:tcBorders>
          </w:tcPr>
          <w:p w14:paraId="68817F69">
            <w:pPr>
              <w:autoSpaceDE w:val="0"/>
              <w:autoSpaceDN w:val="0"/>
              <w:rPr>
                <w:kern w:val="0"/>
                <w:sz w:val="24"/>
              </w:rPr>
            </w:pPr>
          </w:p>
        </w:tc>
      </w:tr>
      <w:tr w14:paraId="255D0413">
        <w:tblPrEx>
          <w:tblCellMar>
            <w:top w:w="0" w:type="dxa"/>
            <w:left w:w="0" w:type="dxa"/>
            <w:bottom w:w="0" w:type="dxa"/>
            <w:right w:w="0" w:type="dxa"/>
          </w:tblCellMar>
        </w:tblPrEx>
        <w:trPr>
          <w:trHeight w:val="566" w:hRule="atLeast"/>
        </w:trPr>
        <w:tc>
          <w:tcPr>
            <w:tcW w:w="1437" w:type="dxa"/>
            <w:tcBorders>
              <w:top w:val="single" w:color="auto" w:sz="8" w:space="0"/>
              <w:left w:val="single" w:color="auto" w:sz="12" w:space="0"/>
              <w:bottom w:val="single" w:color="auto" w:sz="8" w:space="0"/>
              <w:right w:val="single" w:color="auto" w:sz="8" w:space="0"/>
            </w:tcBorders>
          </w:tcPr>
          <w:p w14:paraId="602207D2">
            <w:pPr>
              <w:autoSpaceDE w:val="0"/>
              <w:autoSpaceDN w:val="0"/>
              <w:rPr>
                <w:kern w:val="0"/>
                <w:sz w:val="24"/>
              </w:rPr>
            </w:pPr>
          </w:p>
        </w:tc>
        <w:tc>
          <w:tcPr>
            <w:tcW w:w="1430" w:type="dxa"/>
            <w:tcBorders>
              <w:top w:val="single" w:color="auto" w:sz="8" w:space="0"/>
              <w:left w:val="single" w:color="auto" w:sz="8" w:space="0"/>
              <w:bottom w:val="single" w:color="auto" w:sz="8" w:space="0"/>
              <w:right w:val="single" w:color="auto" w:sz="8" w:space="0"/>
            </w:tcBorders>
          </w:tcPr>
          <w:p w14:paraId="7FAB42A4">
            <w:pPr>
              <w:autoSpaceDE w:val="0"/>
              <w:autoSpaceDN w:val="0"/>
              <w:rPr>
                <w:kern w:val="0"/>
                <w:sz w:val="24"/>
              </w:rPr>
            </w:pPr>
          </w:p>
        </w:tc>
        <w:tc>
          <w:tcPr>
            <w:tcW w:w="2516" w:type="dxa"/>
            <w:tcBorders>
              <w:top w:val="single" w:color="auto" w:sz="8" w:space="0"/>
              <w:left w:val="single" w:color="auto" w:sz="8" w:space="0"/>
              <w:bottom w:val="single" w:color="auto" w:sz="8" w:space="0"/>
              <w:right w:val="single" w:color="auto" w:sz="8" w:space="0"/>
            </w:tcBorders>
          </w:tcPr>
          <w:p w14:paraId="1EED8FFC">
            <w:pPr>
              <w:autoSpaceDE w:val="0"/>
              <w:autoSpaceDN w:val="0"/>
              <w:rPr>
                <w:kern w:val="0"/>
                <w:sz w:val="24"/>
              </w:rPr>
            </w:pPr>
          </w:p>
        </w:tc>
        <w:tc>
          <w:tcPr>
            <w:tcW w:w="2330" w:type="dxa"/>
            <w:tcBorders>
              <w:top w:val="single" w:color="auto" w:sz="8" w:space="0"/>
              <w:left w:val="single" w:color="auto" w:sz="8" w:space="0"/>
              <w:bottom w:val="single" w:color="auto" w:sz="8" w:space="0"/>
              <w:right w:val="single" w:color="auto" w:sz="8" w:space="0"/>
            </w:tcBorders>
          </w:tcPr>
          <w:p w14:paraId="57A16D5D">
            <w:pPr>
              <w:autoSpaceDE w:val="0"/>
              <w:autoSpaceDN w:val="0"/>
              <w:rPr>
                <w:kern w:val="0"/>
                <w:sz w:val="24"/>
              </w:rPr>
            </w:pPr>
          </w:p>
        </w:tc>
        <w:tc>
          <w:tcPr>
            <w:tcW w:w="1387" w:type="dxa"/>
            <w:tcBorders>
              <w:top w:val="single" w:color="auto" w:sz="8" w:space="0"/>
              <w:left w:val="single" w:color="auto" w:sz="8" w:space="0"/>
              <w:bottom w:val="single" w:color="auto" w:sz="8" w:space="0"/>
              <w:right w:val="single" w:color="auto" w:sz="12" w:space="0"/>
            </w:tcBorders>
          </w:tcPr>
          <w:p w14:paraId="359AEE5D">
            <w:pPr>
              <w:autoSpaceDE w:val="0"/>
              <w:autoSpaceDN w:val="0"/>
              <w:rPr>
                <w:kern w:val="0"/>
                <w:sz w:val="24"/>
              </w:rPr>
            </w:pPr>
          </w:p>
        </w:tc>
      </w:tr>
      <w:tr w14:paraId="1DDEE7F7">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tcPr>
          <w:p w14:paraId="58F83F23">
            <w:pPr>
              <w:autoSpaceDE w:val="0"/>
              <w:autoSpaceDN w:val="0"/>
              <w:rPr>
                <w:kern w:val="0"/>
                <w:sz w:val="24"/>
              </w:rPr>
            </w:pPr>
          </w:p>
        </w:tc>
        <w:tc>
          <w:tcPr>
            <w:tcW w:w="1430" w:type="dxa"/>
            <w:tcBorders>
              <w:top w:val="single" w:color="auto" w:sz="8" w:space="0"/>
              <w:left w:val="single" w:color="auto" w:sz="8" w:space="0"/>
              <w:bottom w:val="single" w:color="auto" w:sz="8" w:space="0"/>
              <w:right w:val="single" w:color="auto" w:sz="8" w:space="0"/>
            </w:tcBorders>
          </w:tcPr>
          <w:p w14:paraId="724C921C">
            <w:pPr>
              <w:autoSpaceDE w:val="0"/>
              <w:autoSpaceDN w:val="0"/>
              <w:rPr>
                <w:kern w:val="0"/>
                <w:sz w:val="24"/>
              </w:rPr>
            </w:pPr>
          </w:p>
        </w:tc>
        <w:tc>
          <w:tcPr>
            <w:tcW w:w="2516" w:type="dxa"/>
            <w:tcBorders>
              <w:top w:val="single" w:color="auto" w:sz="8" w:space="0"/>
              <w:left w:val="single" w:color="auto" w:sz="8" w:space="0"/>
              <w:bottom w:val="single" w:color="auto" w:sz="8" w:space="0"/>
              <w:right w:val="single" w:color="auto" w:sz="8" w:space="0"/>
            </w:tcBorders>
          </w:tcPr>
          <w:p w14:paraId="1C1DFFC5">
            <w:pPr>
              <w:autoSpaceDE w:val="0"/>
              <w:autoSpaceDN w:val="0"/>
              <w:rPr>
                <w:kern w:val="0"/>
                <w:sz w:val="24"/>
              </w:rPr>
            </w:pPr>
          </w:p>
        </w:tc>
        <w:tc>
          <w:tcPr>
            <w:tcW w:w="2330" w:type="dxa"/>
            <w:tcBorders>
              <w:top w:val="single" w:color="auto" w:sz="8" w:space="0"/>
              <w:left w:val="single" w:color="auto" w:sz="8" w:space="0"/>
              <w:bottom w:val="single" w:color="auto" w:sz="8" w:space="0"/>
              <w:right w:val="single" w:color="auto" w:sz="8" w:space="0"/>
            </w:tcBorders>
          </w:tcPr>
          <w:p w14:paraId="00EA8854">
            <w:pPr>
              <w:autoSpaceDE w:val="0"/>
              <w:autoSpaceDN w:val="0"/>
              <w:rPr>
                <w:kern w:val="0"/>
                <w:sz w:val="24"/>
              </w:rPr>
            </w:pPr>
          </w:p>
        </w:tc>
        <w:tc>
          <w:tcPr>
            <w:tcW w:w="1387" w:type="dxa"/>
            <w:tcBorders>
              <w:top w:val="single" w:color="auto" w:sz="8" w:space="0"/>
              <w:left w:val="single" w:color="auto" w:sz="8" w:space="0"/>
              <w:bottom w:val="single" w:color="auto" w:sz="8" w:space="0"/>
              <w:right w:val="single" w:color="auto" w:sz="12" w:space="0"/>
            </w:tcBorders>
          </w:tcPr>
          <w:p w14:paraId="5AF841A7">
            <w:pPr>
              <w:autoSpaceDE w:val="0"/>
              <w:autoSpaceDN w:val="0"/>
              <w:rPr>
                <w:kern w:val="0"/>
                <w:sz w:val="24"/>
              </w:rPr>
            </w:pPr>
          </w:p>
        </w:tc>
      </w:tr>
      <w:tr w14:paraId="7E2D58D5">
        <w:tblPrEx>
          <w:tblCellMar>
            <w:top w:w="0" w:type="dxa"/>
            <w:left w:w="0" w:type="dxa"/>
            <w:bottom w:w="0" w:type="dxa"/>
            <w:right w:w="0" w:type="dxa"/>
          </w:tblCellMar>
        </w:tblPrEx>
        <w:trPr>
          <w:trHeight w:val="780" w:hRule="atLeast"/>
        </w:trPr>
        <w:tc>
          <w:tcPr>
            <w:tcW w:w="1437" w:type="dxa"/>
            <w:tcBorders>
              <w:top w:val="single" w:color="auto" w:sz="8" w:space="0"/>
              <w:left w:val="single" w:color="auto" w:sz="12" w:space="0"/>
              <w:bottom w:val="single" w:color="auto" w:sz="8" w:space="0"/>
              <w:right w:val="single" w:color="auto" w:sz="8" w:space="0"/>
            </w:tcBorders>
          </w:tcPr>
          <w:p w14:paraId="000832CF">
            <w:pPr>
              <w:autoSpaceDE w:val="0"/>
              <w:autoSpaceDN w:val="0"/>
              <w:rPr>
                <w:kern w:val="0"/>
                <w:sz w:val="24"/>
              </w:rPr>
            </w:pPr>
          </w:p>
        </w:tc>
        <w:tc>
          <w:tcPr>
            <w:tcW w:w="1430" w:type="dxa"/>
            <w:tcBorders>
              <w:top w:val="single" w:color="auto" w:sz="8" w:space="0"/>
              <w:left w:val="single" w:color="auto" w:sz="8" w:space="0"/>
              <w:bottom w:val="single" w:color="auto" w:sz="8" w:space="0"/>
              <w:right w:val="single" w:color="auto" w:sz="8" w:space="0"/>
            </w:tcBorders>
          </w:tcPr>
          <w:p w14:paraId="31DB4BE8">
            <w:pPr>
              <w:autoSpaceDE w:val="0"/>
              <w:autoSpaceDN w:val="0"/>
              <w:rPr>
                <w:kern w:val="0"/>
                <w:sz w:val="24"/>
              </w:rPr>
            </w:pPr>
          </w:p>
        </w:tc>
        <w:tc>
          <w:tcPr>
            <w:tcW w:w="2516" w:type="dxa"/>
            <w:tcBorders>
              <w:top w:val="single" w:color="auto" w:sz="8" w:space="0"/>
              <w:left w:val="single" w:color="auto" w:sz="8" w:space="0"/>
              <w:bottom w:val="single" w:color="auto" w:sz="8" w:space="0"/>
              <w:right w:val="single" w:color="auto" w:sz="8" w:space="0"/>
            </w:tcBorders>
          </w:tcPr>
          <w:p w14:paraId="12B4D979">
            <w:pPr>
              <w:autoSpaceDE w:val="0"/>
              <w:autoSpaceDN w:val="0"/>
              <w:rPr>
                <w:rFonts w:ascii="宋体" w:cs="宋体"/>
                <w:kern w:val="0"/>
                <w:sz w:val="24"/>
              </w:rPr>
            </w:pPr>
            <w:r>
              <w:rPr>
                <w:rFonts w:ascii="宋体" w:cs="宋体"/>
                <w:kern w:val="0"/>
                <w:sz w:val="24"/>
              </w:rPr>
              <w:t xml:space="preserve">  </w:t>
            </w:r>
          </w:p>
        </w:tc>
        <w:tc>
          <w:tcPr>
            <w:tcW w:w="2330" w:type="dxa"/>
            <w:tcBorders>
              <w:top w:val="single" w:color="auto" w:sz="8" w:space="0"/>
              <w:left w:val="single" w:color="auto" w:sz="8" w:space="0"/>
              <w:bottom w:val="single" w:color="auto" w:sz="8" w:space="0"/>
              <w:right w:val="single" w:color="auto" w:sz="8" w:space="0"/>
            </w:tcBorders>
          </w:tcPr>
          <w:p w14:paraId="51605EE0">
            <w:pPr>
              <w:autoSpaceDE w:val="0"/>
              <w:autoSpaceDN w:val="0"/>
              <w:rPr>
                <w:kern w:val="0"/>
                <w:sz w:val="24"/>
              </w:rPr>
            </w:pPr>
          </w:p>
        </w:tc>
        <w:tc>
          <w:tcPr>
            <w:tcW w:w="1387" w:type="dxa"/>
            <w:tcBorders>
              <w:top w:val="single" w:color="auto" w:sz="8" w:space="0"/>
              <w:left w:val="single" w:color="auto" w:sz="8" w:space="0"/>
              <w:bottom w:val="single" w:color="auto" w:sz="8" w:space="0"/>
              <w:right w:val="single" w:color="auto" w:sz="12" w:space="0"/>
            </w:tcBorders>
          </w:tcPr>
          <w:p w14:paraId="261F9287">
            <w:pPr>
              <w:autoSpaceDE w:val="0"/>
              <w:autoSpaceDN w:val="0"/>
              <w:rPr>
                <w:kern w:val="0"/>
                <w:sz w:val="24"/>
              </w:rPr>
            </w:pPr>
          </w:p>
        </w:tc>
      </w:tr>
      <w:tr w14:paraId="1847DBE9">
        <w:trPr>
          <w:trHeight w:val="574" w:hRule="atLeast"/>
        </w:trPr>
        <w:tc>
          <w:tcPr>
            <w:tcW w:w="1437" w:type="dxa"/>
            <w:tcBorders>
              <w:top w:val="single" w:color="auto" w:sz="8" w:space="0"/>
              <w:left w:val="single" w:color="auto" w:sz="12" w:space="0"/>
              <w:bottom w:val="single" w:color="auto" w:sz="8" w:space="0"/>
              <w:right w:val="single" w:color="auto" w:sz="8" w:space="0"/>
            </w:tcBorders>
          </w:tcPr>
          <w:p w14:paraId="7EC2549C">
            <w:pPr>
              <w:autoSpaceDE w:val="0"/>
              <w:autoSpaceDN w:val="0"/>
              <w:rPr>
                <w:kern w:val="0"/>
                <w:sz w:val="24"/>
              </w:rPr>
            </w:pPr>
          </w:p>
        </w:tc>
        <w:tc>
          <w:tcPr>
            <w:tcW w:w="1430" w:type="dxa"/>
            <w:tcBorders>
              <w:top w:val="single" w:color="auto" w:sz="8" w:space="0"/>
              <w:left w:val="single" w:color="auto" w:sz="8" w:space="0"/>
              <w:bottom w:val="single" w:color="auto" w:sz="8" w:space="0"/>
              <w:right w:val="single" w:color="auto" w:sz="8" w:space="0"/>
            </w:tcBorders>
          </w:tcPr>
          <w:p w14:paraId="78B83305">
            <w:pPr>
              <w:autoSpaceDE w:val="0"/>
              <w:autoSpaceDN w:val="0"/>
              <w:rPr>
                <w:kern w:val="0"/>
                <w:sz w:val="24"/>
              </w:rPr>
            </w:pPr>
          </w:p>
        </w:tc>
        <w:tc>
          <w:tcPr>
            <w:tcW w:w="2516" w:type="dxa"/>
            <w:tcBorders>
              <w:top w:val="single" w:color="auto" w:sz="8" w:space="0"/>
              <w:left w:val="single" w:color="auto" w:sz="8" w:space="0"/>
              <w:bottom w:val="single" w:color="auto" w:sz="8" w:space="0"/>
              <w:right w:val="single" w:color="auto" w:sz="8" w:space="0"/>
            </w:tcBorders>
          </w:tcPr>
          <w:p w14:paraId="2058E9EB">
            <w:pPr>
              <w:autoSpaceDE w:val="0"/>
              <w:autoSpaceDN w:val="0"/>
              <w:rPr>
                <w:kern w:val="0"/>
                <w:sz w:val="24"/>
              </w:rPr>
            </w:pPr>
          </w:p>
        </w:tc>
        <w:tc>
          <w:tcPr>
            <w:tcW w:w="2330" w:type="dxa"/>
            <w:tcBorders>
              <w:top w:val="single" w:color="auto" w:sz="8" w:space="0"/>
              <w:left w:val="single" w:color="auto" w:sz="8" w:space="0"/>
              <w:bottom w:val="single" w:color="auto" w:sz="8" w:space="0"/>
              <w:right w:val="single" w:color="auto" w:sz="8" w:space="0"/>
            </w:tcBorders>
          </w:tcPr>
          <w:p w14:paraId="6CF03702">
            <w:pPr>
              <w:autoSpaceDE w:val="0"/>
              <w:autoSpaceDN w:val="0"/>
              <w:rPr>
                <w:kern w:val="0"/>
                <w:sz w:val="24"/>
              </w:rPr>
            </w:pPr>
          </w:p>
        </w:tc>
        <w:tc>
          <w:tcPr>
            <w:tcW w:w="1387" w:type="dxa"/>
            <w:tcBorders>
              <w:top w:val="single" w:color="auto" w:sz="8" w:space="0"/>
              <w:left w:val="single" w:color="auto" w:sz="8" w:space="0"/>
              <w:bottom w:val="single" w:color="auto" w:sz="8" w:space="0"/>
              <w:right w:val="single" w:color="auto" w:sz="12" w:space="0"/>
            </w:tcBorders>
          </w:tcPr>
          <w:p w14:paraId="20F14020">
            <w:pPr>
              <w:autoSpaceDE w:val="0"/>
              <w:autoSpaceDN w:val="0"/>
              <w:rPr>
                <w:kern w:val="0"/>
                <w:sz w:val="24"/>
              </w:rPr>
            </w:pPr>
          </w:p>
        </w:tc>
      </w:tr>
      <w:tr w14:paraId="2B3F4C3C">
        <w:tblPrEx>
          <w:tblCellMar>
            <w:top w:w="0" w:type="dxa"/>
            <w:left w:w="0" w:type="dxa"/>
            <w:bottom w:w="0" w:type="dxa"/>
            <w:right w:w="0" w:type="dxa"/>
          </w:tblCellMar>
        </w:tblPrEx>
        <w:trPr>
          <w:trHeight w:val="566" w:hRule="atLeast"/>
        </w:trPr>
        <w:tc>
          <w:tcPr>
            <w:tcW w:w="1437" w:type="dxa"/>
            <w:tcBorders>
              <w:top w:val="single" w:color="auto" w:sz="8" w:space="0"/>
              <w:left w:val="single" w:color="auto" w:sz="12" w:space="0"/>
              <w:bottom w:val="single" w:color="auto" w:sz="8" w:space="0"/>
              <w:right w:val="single" w:color="auto" w:sz="8" w:space="0"/>
            </w:tcBorders>
          </w:tcPr>
          <w:p w14:paraId="2A0D7369">
            <w:pPr>
              <w:autoSpaceDE w:val="0"/>
              <w:autoSpaceDN w:val="0"/>
              <w:rPr>
                <w:kern w:val="0"/>
                <w:sz w:val="24"/>
              </w:rPr>
            </w:pPr>
          </w:p>
        </w:tc>
        <w:tc>
          <w:tcPr>
            <w:tcW w:w="1430" w:type="dxa"/>
            <w:tcBorders>
              <w:top w:val="single" w:color="auto" w:sz="8" w:space="0"/>
              <w:left w:val="single" w:color="auto" w:sz="8" w:space="0"/>
              <w:bottom w:val="single" w:color="auto" w:sz="8" w:space="0"/>
              <w:right w:val="single" w:color="auto" w:sz="8" w:space="0"/>
            </w:tcBorders>
          </w:tcPr>
          <w:p w14:paraId="0ED30650">
            <w:pPr>
              <w:autoSpaceDE w:val="0"/>
              <w:autoSpaceDN w:val="0"/>
              <w:rPr>
                <w:kern w:val="0"/>
                <w:sz w:val="24"/>
              </w:rPr>
            </w:pPr>
          </w:p>
        </w:tc>
        <w:tc>
          <w:tcPr>
            <w:tcW w:w="2516" w:type="dxa"/>
            <w:tcBorders>
              <w:top w:val="single" w:color="auto" w:sz="8" w:space="0"/>
              <w:left w:val="single" w:color="auto" w:sz="8" w:space="0"/>
              <w:bottom w:val="single" w:color="auto" w:sz="8" w:space="0"/>
              <w:right w:val="single" w:color="auto" w:sz="8" w:space="0"/>
            </w:tcBorders>
          </w:tcPr>
          <w:p w14:paraId="201D77E1">
            <w:pPr>
              <w:autoSpaceDE w:val="0"/>
              <w:autoSpaceDN w:val="0"/>
              <w:rPr>
                <w:kern w:val="0"/>
                <w:sz w:val="24"/>
              </w:rPr>
            </w:pPr>
          </w:p>
        </w:tc>
        <w:tc>
          <w:tcPr>
            <w:tcW w:w="2330" w:type="dxa"/>
            <w:tcBorders>
              <w:top w:val="single" w:color="auto" w:sz="8" w:space="0"/>
              <w:left w:val="single" w:color="auto" w:sz="8" w:space="0"/>
              <w:bottom w:val="single" w:color="auto" w:sz="8" w:space="0"/>
              <w:right w:val="single" w:color="auto" w:sz="8" w:space="0"/>
            </w:tcBorders>
          </w:tcPr>
          <w:p w14:paraId="6535FA72">
            <w:pPr>
              <w:autoSpaceDE w:val="0"/>
              <w:autoSpaceDN w:val="0"/>
              <w:rPr>
                <w:kern w:val="0"/>
                <w:sz w:val="24"/>
              </w:rPr>
            </w:pPr>
          </w:p>
        </w:tc>
        <w:tc>
          <w:tcPr>
            <w:tcW w:w="1387" w:type="dxa"/>
            <w:tcBorders>
              <w:top w:val="single" w:color="auto" w:sz="8" w:space="0"/>
              <w:left w:val="single" w:color="auto" w:sz="8" w:space="0"/>
              <w:bottom w:val="single" w:color="auto" w:sz="8" w:space="0"/>
              <w:right w:val="single" w:color="auto" w:sz="12" w:space="0"/>
            </w:tcBorders>
          </w:tcPr>
          <w:p w14:paraId="2B48705F">
            <w:pPr>
              <w:autoSpaceDE w:val="0"/>
              <w:autoSpaceDN w:val="0"/>
              <w:rPr>
                <w:kern w:val="0"/>
                <w:sz w:val="24"/>
              </w:rPr>
            </w:pPr>
          </w:p>
        </w:tc>
      </w:tr>
      <w:tr w14:paraId="1DB57776">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tcPr>
          <w:p w14:paraId="37F96B18">
            <w:pPr>
              <w:autoSpaceDE w:val="0"/>
              <w:autoSpaceDN w:val="0"/>
              <w:rPr>
                <w:kern w:val="0"/>
                <w:sz w:val="24"/>
              </w:rPr>
            </w:pPr>
          </w:p>
        </w:tc>
        <w:tc>
          <w:tcPr>
            <w:tcW w:w="1430" w:type="dxa"/>
            <w:tcBorders>
              <w:top w:val="single" w:color="auto" w:sz="8" w:space="0"/>
              <w:left w:val="single" w:color="auto" w:sz="8" w:space="0"/>
              <w:bottom w:val="single" w:color="auto" w:sz="8" w:space="0"/>
              <w:right w:val="single" w:color="auto" w:sz="8" w:space="0"/>
            </w:tcBorders>
          </w:tcPr>
          <w:p w14:paraId="067DA06D">
            <w:pPr>
              <w:autoSpaceDE w:val="0"/>
              <w:autoSpaceDN w:val="0"/>
              <w:rPr>
                <w:kern w:val="0"/>
                <w:sz w:val="24"/>
              </w:rPr>
            </w:pPr>
          </w:p>
        </w:tc>
        <w:tc>
          <w:tcPr>
            <w:tcW w:w="2516" w:type="dxa"/>
            <w:tcBorders>
              <w:top w:val="single" w:color="auto" w:sz="8" w:space="0"/>
              <w:left w:val="single" w:color="auto" w:sz="8" w:space="0"/>
              <w:bottom w:val="single" w:color="auto" w:sz="8" w:space="0"/>
              <w:right w:val="single" w:color="auto" w:sz="8" w:space="0"/>
            </w:tcBorders>
          </w:tcPr>
          <w:p w14:paraId="784D8C53">
            <w:pPr>
              <w:autoSpaceDE w:val="0"/>
              <w:autoSpaceDN w:val="0"/>
              <w:rPr>
                <w:kern w:val="0"/>
                <w:sz w:val="24"/>
              </w:rPr>
            </w:pPr>
          </w:p>
        </w:tc>
        <w:tc>
          <w:tcPr>
            <w:tcW w:w="2330" w:type="dxa"/>
            <w:tcBorders>
              <w:top w:val="single" w:color="auto" w:sz="8" w:space="0"/>
              <w:left w:val="single" w:color="auto" w:sz="8" w:space="0"/>
              <w:bottom w:val="single" w:color="auto" w:sz="8" w:space="0"/>
              <w:right w:val="single" w:color="auto" w:sz="8" w:space="0"/>
            </w:tcBorders>
          </w:tcPr>
          <w:p w14:paraId="7EA58CB1">
            <w:pPr>
              <w:autoSpaceDE w:val="0"/>
              <w:autoSpaceDN w:val="0"/>
              <w:rPr>
                <w:kern w:val="0"/>
                <w:sz w:val="24"/>
              </w:rPr>
            </w:pPr>
          </w:p>
        </w:tc>
        <w:tc>
          <w:tcPr>
            <w:tcW w:w="1387" w:type="dxa"/>
            <w:tcBorders>
              <w:top w:val="single" w:color="auto" w:sz="8" w:space="0"/>
              <w:left w:val="single" w:color="auto" w:sz="8" w:space="0"/>
              <w:bottom w:val="single" w:color="auto" w:sz="8" w:space="0"/>
              <w:right w:val="single" w:color="auto" w:sz="12" w:space="0"/>
            </w:tcBorders>
          </w:tcPr>
          <w:p w14:paraId="403794E6">
            <w:pPr>
              <w:autoSpaceDE w:val="0"/>
              <w:autoSpaceDN w:val="0"/>
              <w:rPr>
                <w:kern w:val="0"/>
                <w:sz w:val="24"/>
              </w:rPr>
            </w:pPr>
          </w:p>
        </w:tc>
      </w:tr>
      <w:tr w14:paraId="77691C35">
        <w:tblPrEx>
          <w:tblCellMar>
            <w:top w:w="0" w:type="dxa"/>
            <w:left w:w="0" w:type="dxa"/>
            <w:bottom w:w="0" w:type="dxa"/>
            <w:right w:w="0" w:type="dxa"/>
          </w:tblCellMar>
        </w:tblPrEx>
        <w:trPr>
          <w:trHeight w:val="574" w:hRule="atLeast"/>
        </w:trPr>
        <w:tc>
          <w:tcPr>
            <w:tcW w:w="1437" w:type="dxa"/>
            <w:tcBorders>
              <w:top w:val="single" w:color="auto" w:sz="8" w:space="0"/>
              <w:left w:val="single" w:color="auto" w:sz="12" w:space="0"/>
              <w:bottom w:val="single" w:color="auto" w:sz="8" w:space="0"/>
              <w:right w:val="single" w:color="auto" w:sz="8" w:space="0"/>
            </w:tcBorders>
          </w:tcPr>
          <w:p w14:paraId="28298C49">
            <w:pPr>
              <w:autoSpaceDE w:val="0"/>
              <w:autoSpaceDN w:val="0"/>
              <w:rPr>
                <w:kern w:val="0"/>
                <w:sz w:val="24"/>
              </w:rPr>
            </w:pPr>
          </w:p>
        </w:tc>
        <w:tc>
          <w:tcPr>
            <w:tcW w:w="1430" w:type="dxa"/>
            <w:tcBorders>
              <w:top w:val="single" w:color="auto" w:sz="8" w:space="0"/>
              <w:left w:val="single" w:color="auto" w:sz="8" w:space="0"/>
              <w:bottom w:val="single" w:color="auto" w:sz="8" w:space="0"/>
              <w:right w:val="single" w:color="auto" w:sz="8" w:space="0"/>
            </w:tcBorders>
          </w:tcPr>
          <w:p w14:paraId="48062FEE">
            <w:pPr>
              <w:autoSpaceDE w:val="0"/>
              <w:autoSpaceDN w:val="0"/>
              <w:rPr>
                <w:kern w:val="0"/>
                <w:sz w:val="24"/>
              </w:rPr>
            </w:pPr>
          </w:p>
        </w:tc>
        <w:tc>
          <w:tcPr>
            <w:tcW w:w="2516" w:type="dxa"/>
            <w:tcBorders>
              <w:top w:val="single" w:color="auto" w:sz="8" w:space="0"/>
              <w:left w:val="single" w:color="auto" w:sz="8" w:space="0"/>
              <w:bottom w:val="single" w:color="auto" w:sz="8" w:space="0"/>
              <w:right w:val="single" w:color="auto" w:sz="8" w:space="0"/>
            </w:tcBorders>
          </w:tcPr>
          <w:p w14:paraId="10B038E6">
            <w:pPr>
              <w:autoSpaceDE w:val="0"/>
              <w:autoSpaceDN w:val="0"/>
              <w:rPr>
                <w:kern w:val="0"/>
                <w:sz w:val="24"/>
              </w:rPr>
            </w:pPr>
          </w:p>
        </w:tc>
        <w:tc>
          <w:tcPr>
            <w:tcW w:w="2330" w:type="dxa"/>
            <w:tcBorders>
              <w:top w:val="single" w:color="auto" w:sz="8" w:space="0"/>
              <w:left w:val="single" w:color="auto" w:sz="8" w:space="0"/>
              <w:bottom w:val="single" w:color="auto" w:sz="8" w:space="0"/>
              <w:right w:val="single" w:color="auto" w:sz="8" w:space="0"/>
            </w:tcBorders>
          </w:tcPr>
          <w:p w14:paraId="3405E96A">
            <w:pPr>
              <w:autoSpaceDE w:val="0"/>
              <w:autoSpaceDN w:val="0"/>
              <w:rPr>
                <w:kern w:val="0"/>
                <w:sz w:val="24"/>
              </w:rPr>
            </w:pPr>
          </w:p>
        </w:tc>
        <w:tc>
          <w:tcPr>
            <w:tcW w:w="1387" w:type="dxa"/>
            <w:tcBorders>
              <w:top w:val="single" w:color="auto" w:sz="8" w:space="0"/>
              <w:left w:val="single" w:color="auto" w:sz="8" w:space="0"/>
              <w:bottom w:val="single" w:color="auto" w:sz="8" w:space="0"/>
              <w:right w:val="single" w:color="auto" w:sz="12" w:space="0"/>
            </w:tcBorders>
          </w:tcPr>
          <w:p w14:paraId="2124459B">
            <w:pPr>
              <w:autoSpaceDE w:val="0"/>
              <w:autoSpaceDN w:val="0"/>
              <w:rPr>
                <w:kern w:val="0"/>
                <w:sz w:val="24"/>
              </w:rPr>
            </w:pPr>
          </w:p>
        </w:tc>
      </w:tr>
      <w:tr w14:paraId="56151C0F">
        <w:trPr>
          <w:trHeight w:val="602" w:hRule="atLeast"/>
        </w:trPr>
        <w:tc>
          <w:tcPr>
            <w:tcW w:w="1437" w:type="dxa"/>
            <w:tcBorders>
              <w:top w:val="single" w:color="auto" w:sz="8" w:space="0"/>
              <w:left w:val="single" w:color="auto" w:sz="12" w:space="0"/>
              <w:bottom w:val="single" w:color="auto" w:sz="12" w:space="0"/>
              <w:right w:val="single" w:color="auto" w:sz="8" w:space="0"/>
            </w:tcBorders>
          </w:tcPr>
          <w:p w14:paraId="6247258F">
            <w:pPr>
              <w:autoSpaceDE w:val="0"/>
              <w:autoSpaceDN w:val="0"/>
              <w:rPr>
                <w:kern w:val="0"/>
                <w:sz w:val="24"/>
              </w:rPr>
            </w:pPr>
          </w:p>
        </w:tc>
        <w:tc>
          <w:tcPr>
            <w:tcW w:w="1430" w:type="dxa"/>
            <w:tcBorders>
              <w:top w:val="single" w:color="auto" w:sz="8" w:space="0"/>
              <w:left w:val="single" w:color="auto" w:sz="8" w:space="0"/>
              <w:bottom w:val="single" w:color="auto" w:sz="12" w:space="0"/>
              <w:right w:val="single" w:color="auto" w:sz="8" w:space="0"/>
            </w:tcBorders>
          </w:tcPr>
          <w:p w14:paraId="512EDBBE">
            <w:pPr>
              <w:autoSpaceDE w:val="0"/>
              <w:autoSpaceDN w:val="0"/>
              <w:rPr>
                <w:kern w:val="0"/>
                <w:sz w:val="24"/>
              </w:rPr>
            </w:pPr>
          </w:p>
        </w:tc>
        <w:tc>
          <w:tcPr>
            <w:tcW w:w="2516" w:type="dxa"/>
            <w:tcBorders>
              <w:top w:val="single" w:color="auto" w:sz="8" w:space="0"/>
              <w:left w:val="single" w:color="auto" w:sz="8" w:space="0"/>
              <w:bottom w:val="single" w:color="auto" w:sz="12" w:space="0"/>
              <w:right w:val="single" w:color="auto" w:sz="8" w:space="0"/>
            </w:tcBorders>
          </w:tcPr>
          <w:p w14:paraId="45C0DFE4">
            <w:pPr>
              <w:autoSpaceDE w:val="0"/>
              <w:autoSpaceDN w:val="0"/>
              <w:rPr>
                <w:kern w:val="0"/>
                <w:sz w:val="24"/>
              </w:rPr>
            </w:pPr>
          </w:p>
        </w:tc>
        <w:tc>
          <w:tcPr>
            <w:tcW w:w="2330" w:type="dxa"/>
            <w:tcBorders>
              <w:top w:val="single" w:color="auto" w:sz="8" w:space="0"/>
              <w:left w:val="single" w:color="auto" w:sz="8" w:space="0"/>
              <w:bottom w:val="single" w:color="auto" w:sz="12" w:space="0"/>
              <w:right w:val="single" w:color="auto" w:sz="8" w:space="0"/>
            </w:tcBorders>
          </w:tcPr>
          <w:p w14:paraId="533522AF">
            <w:pPr>
              <w:autoSpaceDE w:val="0"/>
              <w:autoSpaceDN w:val="0"/>
              <w:rPr>
                <w:kern w:val="0"/>
                <w:sz w:val="24"/>
              </w:rPr>
            </w:pPr>
          </w:p>
        </w:tc>
        <w:tc>
          <w:tcPr>
            <w:tcW w:w="1387" w:type="dxa"/>
            <w:tcBorders>
              <w:top w:val="single" w:color="auto" w:sz="8" w:space="0"/>
              <w:left w:val="single" w:color="auto" w:sz="8" w:space="0"/>
              <w:bottom w:val="single" w:color="auto" w:sz="12" w:space="0"/>
              <w:right w:val="single" w:color="auto" w:sz="12" w:space="0"/>
            </w:tcBorders>
          </w:tcPr>
          <w:p w14:paraId="19F299C4">
            <w:pPr>
              <w:autoSpaceDE w:val="0"/>
              <w:autoSpaceDN w:val="0"/>
              <w:rPr>
                <w:kern w:val="0"/>
                <w:sz w:val="24"/>
              </w:rPr>
            </w:pPr>
          </w:p>
        </w:tc>
      </w:tr>
    </w:tbl>
    <w:p w14:paraId="513B436A">
      <w:pPr>
        <w:spacing w:line="360" w:lineRule="auto"/>
        <w:ind w:left="420"/>
        <w:rPr>
          <w:rFonts w:hint="eastAsia" w:hAnsi="宋体" w:cs="仿宋"/>
          <w:szCs w:val="21"/>
        </w:rPr>
      </w:pPr>
      <w:r>
        <w:rPr>
          <w:rFonts w:hint="eastAsia"/>
          <w:kern w:val="0"/>
          <w:sz w:val="24"/>
        </w:rPr>
        <w:t>注：</w:t>
      </w:r>
      <w:r>
        <w:rPr>
          <w:rFonts w:hint="eastAsia" w:hAnsi="宋体" w:cs="仿宋"/>
          <w:szCs w:val="21"/>
        </w:rPr>
        <w:t>①供应商应将</w:t>
      </w:r>
      <w:r>
        <w:rPr>
          <w:rFonts w:hint="eastAsia" w:hAnsi="宋体" w:cs="仿宋"/>
          <w:b/>
          <w:szCs w:val="21"/>
          <w:u w:val="single"/>
        </w:rPr>
        <w:t xml:space="preserve"> 2021年1月1日</w:t>
      </w:r>
      <w:r>
        <w:rPr>
          <w:rFonts w:hint="eastAsia" w:hAnsi="宋体" w:cs="仿宋"/>
          <w:szCs w:val="21"/>
        </w:rPr>
        <w:t>以来签订的类似项目情况填入本表中；</w:t>
      </w:r>
    </w:p>
    <w:p w14:paraId="4B8197C6">
      <w:pPr>
        <w:spacing w:line="360" w:lineRule="auto"/>
        <w:ind w:firstLine="420" w:firstLineChars="200"/>
        <w:rPr>
          <w:rFonts w:hint="eastAsia" w:hAnsi="宋体" w:cs="仿宋"/>
          <w:szCs w:val="21"/>
        </w:rPr>
      </w:pPr>
      <w:r>
        <w:rPr>
          <w:rFonts w:hint="eastAsia" w:hAnsi="宋体" w:cs="仿宋"/>
          <w:szCs w:val="21"/>
        </w:rPr>
        <w:t>②</w:t>
      </w:r>
      <w:r>
        <w:rPr>
          <w:rFonts w:hAnsi="宋体" w:cs="仿宋"/>
          <w:szCs w:val="21"/>
        </w:rPr>
        <w:t>本表后须</w:t>
      </w:r>
      <w:r>
        <w:rPr>
          <w:rFonts w:hAnsi="宋体" w:cs="仿宋"/>
          <w:b/>
          <w:szCs w:val="21"/>
        </w:rPr>
        <w:t>应附合同协议书或委托书</w:t>
      </w:r>
      <w:r>
        <w:rPr>
          <w:rFonts w:hAnsi="宋体" w:cs="仿宋"/>
          <w:szCs w:val="21"/>
        </w:rPr>
        <w:t>的</w:t>
      </w:r>
      <w:r>
        <w:rPr>
          <w:rFonts w:hint="eastAsia" w:hAnsi="宋体" w:cs="仿宋"/>
          <w:szCs w:val="21"/>
        </w:rPr>
        <w:t>扫描件。</w:t>
      </w:r>
    </w:p>
    <w:p w14:paraId="45AA1385">
      <w:pPr>
        <w:autoSpaceDE w:val="0"/>
        <w:autoSpaceDN w:val="0"/>
        <w:adjustRightInd w:val="0"/>
        <w:jc w:val="left"/>
        <w:rPr>
          <w:kern w:val="0"/>
          <w:sz w:val="24"/>
        </w:rPr>
      </w:pPr>
    </w:p>
    <w:p w14:paraId="13F1AD60">
      <w:pPr>
        <w:snapToGrid w:val="0"/>
        <w:spacing w:before="50" w:after="50"/>
        <w:rPr>
          <w:rFonts w:hint="eastAsia" w:ascii="宋体" w:hAnsi="宋体"/>
          <w:szCs w:val="21"/>
        </w:rPr>
      </w:pPr>
    </w:p>
    <w:p w14:paraId="34C15032">
      <w:pPr>
        <w:pStyle w:val="9"/>
        <w:overflowPunct w:val="0"/>
        <w:spacing w:line="520" w:lineRule="exact"/>
        <w:ind w:firstLine="0"/>
        <w:jc w:val="center"/>
        <w:rPr>
          <w:sz w:val="24"/>
        </w:rPr>
      </w:pPr>
      <w:r>
        <w:rPr>
          <w:rFonts w:hint="eastAsia"/>
          <w:sz w:val="24"/>
        </w:rPr>
        <w:t>供应商名称：</w:t>
      </w:r>
      <w:r>
        <w:rPr>
          <w:rFonts w:hint="eastAsia"/>
          <w:sz w:val="24"/>
          <w:u w:val="single"/>
        </w:rPr>
        <w:t xml:space="preserve">                         </w:t>
      </w:r>
      <w:r>
        <w:rPr>
          <w:rFonts w:hint="eastAsia"/>
          <w:sz w:val="24"/>
        </w:rPr>
        <w:t>（盖单位公章）</w:t>
      </w:r>
    </w:p>
    <w:p w14:paraId="1202F01F">
      <w:pPr>
        <w:pStyle w:val="9"/>
        <w:overflowPunct w:val="0"/>
        <w:spacing w:line="520" w:lineRule="exact"/>
        <w:ind w:firstLine="1478" w:firstLineChars="616"/>
        <w:rPr>
          <w:sz w:val="24"/>
        </w:rPr>
      </w:pPr>
      <w:r>
        <w:rPr>
          <w:rFonts w:hint="eastAsia"/>
          <w:sz w:val="24"/>
        </w:rPr>
        <w:t>法定代表人或其委托代理人：</w:t>
      </w:r>
      <w:r>
        <w:rPr>
          <w:rFonts w:hint="eastAsia"/>
          <w:sz w:val="24"/>
          <w:u w:val="single"/>
        </w:rPr>
        <w:t xml:space="preserve">           </w:t>
      </w:r>
      <w:r>
        <w:rPr>
          <w:rFonts w:hint="eastAsia"/>
          <w:sz w:val="24"/>
        </w:rPr>
        <w:t>（签字）</w:t>
      </w:r>
    </w:p>
    <w:p w14:paraId="53A64B45">
      <w:pPr>
        <w:pStyle w:val="9"/>
        <w:overflowPunct w:val="0"/>
        <w:spacing w:line="520" w:lineRule="exact"/>
        <w:ind w:firstLine="3998" w:firstLineChars="1666"/>
        <w:rPr>
          <w:sz w:val="24"/>
        </w:rPr>
      </w:pP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w:t>
      </w:r>
    </w:p>
    <w:p w14:paraId="49B194D0">
      <w:pPr>
        <w:snapToGrid w:val="0"/>
        <w:spacing w:before="120" w:beforeLines="50" w:after="50"/>
        <w:jc w:val="left"/>
        <w:rPr>
          <w:rFonts w:hint="eastAsia" w:ascii="宋体" w:hAnsi="宋体"/>
          <w:szCs w:val="21"/>
        </w:rPr>
      </w:pPr>
    </w:p>
    <w:p w14:paraId="6DB09EDC">
      <w:pPr>
        <w:snapToGrid w:val="0"/>
        <w:spacing w:before="120" w:beforeLines="50" w:after="50"/>
        <w:jc w:val="left"/>
        <w:rPr>
          <w:rFonts w:hint="eastAsia" w:ascii="宋体" w:hAnsi="宋体"/>
          <w:szCs w:val="21"/>
        </w:rPr>
      </w:pPr>
    </w:p>
    <w:p w14:paraId="3B9DB2A9">
      <w:pPr>
        <w:snapToGrid w:val="0"/>
        <w:spacing w:before="120" w:beforeLines="50" w:after="50"/>
        <w:jc w:val="center"/>
        <w:outlineLvl w:val="2"/>
        <w:rPr>
          <w:rFonts w:hint="eastAsia" w:ascii="宋体" w:hAnsi="宋体"/>
          <w:b/>
          <w:bCs/>
          <w:sz w:val="24"/>
        </w:rPr>
      </w:pPr>
      <w:r>
        <w:rPr>
          <w:rFonts w:hint="eastAsia" w:ascii="宋体" w:hAnsi="宋体"/>
          <w:b/>
          <w:sz w:val="24"/>
        </w:rPr>
        <w:br w:type="page"/>
      </w:r>
      <w:bookmarkStart w:id="63" w:name="_Toc5115"/>
      <w:bookmarkStart w:id="64" w:name="_Toc27275"/>
      <w:r>
        <w:rPr>
          <w:rFonts w:hint="eastAsia" w:ascii="宋体" w:hAnsi="宋体"/>
          <w:b/>
          <w:bCs/>
          <w:sz w:val="24"/>
        </w:rPr>
        <w:t>（二）项目实施主要人员表</w:t>
      </w:r>
      <w:bookmarkEnd w:id="63"/>
      <w:bookmarkEnd w:id="64"/>
    </w:p>
    <w:p w14:paraId="668495E9">
      <w:pPr>
        <w:snapToGrid w:val="0"/>
        <w:spacing w:before="120" w:beforeLines="50" w:after="50"/>
        <w:ind w:left="142"/>
        <w:jc w:val="left"/>
        <w:rPr>
          <w:rFonts w:hint="eastAsia" w:ascii="宋体" w:hAnsi="宋体"/>
          <w:b/>
          <w:sz w:val="24"/>
        </w:rPr>
      </w:pPr>
    </w:p>
    <w:p w14:paraId="7F9B18E1">
      <w:pPr>
        <w:jc w:val="center"/>
        <w:outlineLvl w:val="3"/>
        <w:rPr>
          <w:rFonts w:hint="eastAsia" w:ascii="黑体" w:hAnsi="宋体" w:eastAsia="黑体"/>
          <w:sz w:val="24"/>
        </w:rPr>
      </w:pPr>
      <w:r>
        <w:rPr>
          <w:rFonts w:hint="eastAsia" w:ascii="黑体" w:hAnsi="宋体" w:eastAsia="黑体"/>
          <w:sz w:val="24"/>
        </w:rPr>
        <w:t>1.</w:t>
      </w:r>
      <w:r>
        <w:rPr>
          <w:rFonts w:ascii="黑体" w:hAnsi="宋体" w:eastAsia="黑体"/>
          <w:sz w:val="24"/>
        </w:rPr>
        <w:t>参加本项目的主要人员汇总表</w:t>
      </w:r>
    </w:p>
    <w:p w14:paraId="7F0CBBF7">
      <w:pPr>
        <w:jc w:val="center"/>
        <w:rPr>
          <w:rFonts w:hint="eastAsia" w:ascii="黑体" w:hAnsi="宋体" w:eastAsia="黑体"/>
          <w:sz w:val="24"/>
        </w:rPr>
      </w:pPr>
    </w:p>
    <w:tbl>
      <w:tblPr>
        <w:tblStyle w:val="25"/>
        <w:tblW w:w="8617" w:type="dxa"/>
        <w:tblInd w:w="15" w:type="dxa"/>
        <w:tblLayout w:type="fixed"/>
        <w:tblCellMar>
          <w:top w:w="0" w:type="dxa"/>
          <w:left w:w="0" w:type="dxa"/>
          <w:bottom w:w="0" w:type="dxa"/>
          <w:right w:w="0" w:type="dxa"/>
        </w:tblCellMar>
      </w:tblPr>
      <w:tblGrid>
        <w:gridCol w:w="712"/>
        <w:gridCol w:w="720"/>
        <w:gridCol w:w="1815"/>
        <w:gridCol w:w="1267"/>
        <w:gridCol w:w="1267"/>
        <w:gridCol w:w="1267"/>
        <w:gridCol w:w="1569"/>
      </w:tblGrid>
      <w:tr w14:paraId="3A6B610C">
        <w:tblPrEx>
          <w:tblCellMar>
            <w:top w:w="0" w:type="dxa"/>
            <w:left w:w="0" w:type="dxa"/>
            <w:bottom w:w="0" w:type="dxa"/>
            <w:right w:w="0" w:type="dxa"/>
          </w:tblCellMar>
        </w:tblPrEx>
        <w:trPr>
          <w:trHeight w:val="900" w:hRule="atLeast"/>
        </w:trPr>
        <w:tc>
          <w:tcPr>
            <w:tcW w:w="712" w:type="dxa"/>
            <w:tcBorders>
              <w:top w:val="single" w:color="auto" w:sz="12" w:space="0"/>
              <w:left w:val="single" w:color="auto" w:sz="12" w:space="0"/>
              <w:bottom w:val="single" w:color="auto" w:sz="8" w:space="0"/>
              <w:right w:val="single" w:color="auto" w:sz="8" w:space="0"/>
            </w:tcBorders>
            <w:vAlign w:val="center"/>
          </w:tcPr>
          <w:p w14:paraId="58EC4B58">
            <w:pPr>
              <w:autoSpaceDE w:val="0"/>
              <w:autoSpaceDN w:val="0"/>
              <w:jc w:val="center"/>
              <w:rPr>
                <w:rFonts w:ascii="宋体" w:cs="宋体"/>
                <w:kern w:val="0"/>
                <w:sz w:val="24"/>
              </w:rPr>
            </w:pPr>
            <w:r>
              <w:rPr>
                <w:rFonts w:hint="eastAsia" w:ascii="宋体" w:cs="宋体"/>
                <w:kern w:val="0"/>
                <w:sz w:val="24"/>
              </w:rPr>
              <w:t>姓名</w:t>
            </w:r>
          </w:p>
        </w:tc>
        <w:tc>
          <w:tcPr>
            <w:tcW w:w="720" w:type="dxa"/>
            <w:tcBorders>
              <w:top w:val="single" w:color="auto" w:sz="12" w:space="0"/>
              <w:left w:val="single" w:color="auto" w:sz="8" w:space="0"/>
              <w:bottom w:val="single" w:color="auto" w:sz="8" w:space="0"/>
              <w:right w:val="single" w:color="auto" w:sz="8" w:space="0"/>
            </w:tcBorders>
            <w:vAlign w:val="center"/>
          </w:tcPr>
          <w:p w14:paraId="29620C84">
            <w:pPr>
              <w:autoSpaceDE w:val="0"/>
              <w:autoSpaceDN w:val="0"/>
              <w:jc w:val="center"/>
              <w:rPr>
                <w:rFonts w:ascii="宋体" w:cs="宋体"/>
                <w:kern w:val="0"/>
                <w:sz w:val="24"/>
              </w:rPr>
            </w:pPr>
            <w:r>
              <w:rPr>
                <w:rFonts w:hint="eastAsia" w:ascii="宋体" w:cs="宋体"/>
                <w:kern w:val="0"/>
                <w:sz w:val="24"/>
              </w:rPr>
              <w:t>年龄</w:t>
            </w:r>
          </w:p>
        </w:tc>
        <w:tc>
          <w:tcPr>
            <w:tcW w:w="1815" w:type="dxa"/>
            <w:tcBorders>
              <w:top w:val="single" w:color="auto" w:sz="12" w:space="0"/>
              <w:left w:val="single" w:color="auto" w:sz="8" w:space="0"/>
              <w:bottom w:val="single" w:color="auto" w:sz="8" w:space="0"/>
              <w:right w:val="single" w:color="auto" w:sz="8" w:space="0"/>
            </w:tcBorders>
            <w:vAlign w:val="center"/>
          </w:tcPr>
          <w:p w14:paraId="383BA676">
            <w:pPr>
              <w:autoSpaceDE w:val="0"/>
              <w:autoSpaceDN w:val="0"/>
              <w:jc w:val="center"/>
              <w:rPr>
                <w:rFonts w:ascii="宋体" w:cs="宋体"/>
                <w:kern w:val="0"/>
                <w:sz w:val="24"/>
              </w:rPr>
            </w:pPr>
            <w:r>
              <w:rPr>
                <w:rFonts w:hint="eastAsia" w:ascii="宋体" w:cs="宋体"/>
                <w:kern w:val="0"/>
                <w:sz w:val="24"/>
              </w:rPr>
              <w:t>拟在本项目中</w:t>
            </w:r>
          </w:p>
          <w:p w14:paraId="1D51259A">
            <w:pPr>
              <w:autoSpaceDE w:val="0"/>
              <w:autoSpaceDN w:val="0"/>
              <w:jc w:val="center"/>
              <w:rPr>
                <w:rFonts w:ascii="宋体" w:cs="宋体"/>
                <w:kern w:val="0"/>
                <w:sz w:val="24"/>
              </w:rPr>
            </w:pPr>
            <w:r>
              <w:rPr>
                <w:rFonts w:hint="eastAsia" w:ascii="宋体" w:cs="宋体"/>
                <w:kern w:val="0"/>
                <w:sz w:val="24"/>
              </w:rPr>
              <w:t>担任的职务</w:t>
            </w:r>
          </w:p>
        </w:tc>
        <w:tc>
          <w:tcPr>
            <w:tcW w:w="1267" w:type="dxa"/>
            <w:tcBorders>
              <w:top w:val="single" w:color="auto" w:sz="12" w:space="0"/>
              <w:left w:val="single" w:color="auto" w:sz="8" w:space="0"/>
              <w:bottom w:val="single" w:color="auto" w:sz="8" w:space="0"/>
              <w:right w:val="single" w:color="auto" w:sz="8" w:space="0"/>
            </w:tcBorders>
            <w:vAlign w:val="center"/>
          </w:tcPr>
          <w:p w14:paraId="40CD71C9">
            <w:pPr>
              <w:autoSpaceDE w:val="0"/>
              <w:autoSpaceDN w:val="0"/>
              <w:jc w:val="center"/>
              <w:rPr>
                <w:rFonts w:ascii="宋体" w:cs="宋体"/>
                <w:kern w:val="0"/>
                <w:sz w:val="24"/>
              </w:rPr>
            </w:pPr>
            <w:r>
              <w:rPr>
                <w:rFonts w:hint="eastAsia" w:ascii="宋体" w:cs="宋体"/>
                <w:kern w:val="0"/>
                <w:sz w:val="24"/>
              </w:rPr>
              <w:t>技术职称</w:t>
            </w:r>
          </w:p>
        </w:tc>
        <w:tc>
          <w:tcPr>
            <w:tcW w:w="1267" w:type="dxa"/>
            <w:tcBorders>
              <w:top w:val="single" w:color="auto" w:sz="12" w:space="0"/>
              <w:left w:val="single" w:color="auto" w:sz="8" w:space="0"/>
              <w:bottom w:val="single" w:color="auto" w:sz="8" w:space="0"/>
              <w:right w:val="single" w:color="auto" w:sz="8" w:space="0"/>
            </w:tcBorders>
            <w:vAlign w:val="center"/>
          </w:tcPr>
          <w:p w14:paraId="6B646CDA">
            <w:pPr>
              <w:autoSpaceDE w:val="0"/>
              <w:autoSpaceDN w:val="0"/>
              <w:jc w:val="center"/>
              <w:rPr>
                <w:rFonts w:ascii="宋体" w:cs="宋体"/>
                <w:kern w:val="0"/>
                <w:sz w:val="24"/>
              </w:rPr>
            </w:pPr>
            <w:r>
              <w:rPr>
                <w:rFonts w:hint="eastAsia" w:ascii="宋体" w:cs="宋体"/>
                <w:kern w:val="0"/>
                <w:sz w:val="24"/>
              </w:rPr>
              <w:t>从事专业</w:t>
            </w:r>
          </w:p>
        </w:tc>
        <w:tc>
          <w:tcPr>
            <w:tcW w:w="1267" w:type="dxa"/>
            <w:tcBorders>
              <w:top w:val="single" w:color="auto" w:sz="12" w:space="0"/>
              <w:left w:val="single" w:color="auto" w:sz="8" w:space="0"/>
              <w:bottom w:val="single" w:color="auto" w:sz="8" w:space="0"/>
              <w:right w:val="single" w:color="auto" w:sz="8" w:space="0"/>
            </w:tcBorders>
            <w:vAlign w:val="center"/>
          </w:tcPr>
          <w:p w14:paraId="29420A80">
            <w:pPr>
              <w:autoSpaceDE w:val="0"/>
              <w:autoSpaceDN w:val="0"/>
              <w:jc w:val="center"/>
              <w:rPr>
                <w:rFonts w:ascii="宋体" w:cs="宋体"/>
                <w:kern w:val="0"/>
                <w:sz w:val="24"/>
              </w:rPr>
            </w:pPr>
            <w:r>
              <w:rPr>
                <w:rFonts w:hint="eastAsia" w:ascii="宋体" w:cs="宋体"/>
                <w:kern w:val="0"/>
                <w:sz w:val="24"/>
              </w:rPr>
              <w:t>工作年限</w:t>
            </w:r>
          </w:p>
        </w:tc>
        <w:tc>
          <w:tcPr>
            <w:tcW w:w="1569" w:type="dxa"/>
            <w:tcBorders>
              <w:top w:val="single" w:color="auto" w:sz="12" w:space="0"/>
              <w:left w:val="single" w:color="auto" w:sz="8" w:space="0"/>
              <w:bottom w:val="single" w:color="auto" w:sz="8" w:space="0"/>
              <w:right w:val="single" w:color="auto" w:sz="12" w:space="0"/>
            </w:tcBorders>
            <w:vAlign w:val="center"/>
          </w:tcPr>
          <w:p w14:paraId="37C5849E">
            <w:pPr>
              <w:autoSpaceDE w:val="0"/>
              <w:autoSpaceDN w:val="0"/>
              <w:jc w:val="center"/>
              <w:rPr>
                <w:rFonts w:ascii="宋体" w:cs="宋体"/>
                <w:kern w:val="0"/>
                <w:sz w:val="24"/>
              </w:rPr>
            </w:pPr>
            <w:r>
              <w:rPr>
                <w:rFonts w:hint="eastAsia" w:ascii="宋体" w:cs="宋体"/>
                <w:kern w:val="0"/>
                <w:sz w:val="24"/>
              </w:rPr>
              <w:t>类似项目</w:t>
            </w:r>
          </w:p>
          <w:p w14:paraId="5ABCEA05">
            <w:pPr>
              <w:autoSpaceDE w:val="0"/>
              <w:autoSpaceDN w:val="0"/>
              <w:jc w:val="center"/>
              <w:rPr>
                <w:rFonts w:ascii="宋体" w:cs="宋体"/>
                <w:kern w:val="0"/>
                <w:sz w:val="24"/>
              </w:rPr>
            </w:pPr>
            <w:r>
              <w:rPr>
                <w:rFonts w:hint="eastAsia" w:ascii="宋体" w:cs="宋体"/>
                <w:kern w:val="0"/>
                <w:sz w:val="24"/>
              </w:rPr>
              <w:t>经验年限</w:t>
            </w:r>
          </w:p>
        </w:tc>
      </w:tr>
      <w:tr w14:paraId="3BB4359C">
        <w:tblPrEx>
          <w:tblCellMar>
            <w:top w:w="0" w:type="dxa"/>
            <w:left w:w="0" w:type="dxa"/>
            <w:bottom w:w="0" w:type="dxa"/>
            <w:right w:w="0" w:type="dxa"/>
          </w:tblCellMar>
        </w:tblPrEx>
        <w:trPr>
          <w:trHeight w:val="900" w:hRule="atLeast"/>
        </w:trPr>
        <w:tc>
          <w:tcPr>
            <w:tcW w:w="712" w:type="dxa"/>
            <w:tcBorders>
              <w:top w:val="single" w:color="auto" w:sz="8" w:space="0"/>
              <w:left w:val="single" w:color="auto" w:sz="12" w:space="0"/>
              <w:bottom w:val="single" w:color="auto" w:sz="8" w:space="0"/>
              <w:right w:val="single" w:color="auto" w:sz="8" w:space="0"/>
            </w:tcBorders>
            <w:vAlign w:val="center"/>
          </w:tcPr>
          <w:p w14:paraId="4641328D">
            <w:pPr>
              <w:autoSpaceDE w:val="0"/>
              <w:autoSpaceDN w:val="0"/>
              <w:jc w:val="center"/>
              <w:rPr>
                <w:kern w:val="0"/>
                <w:sz w:val="24"/>
              </w:rPr>
            </w:pPr>
          </w:p>
        </w:tc>
        <w:tc>
          <w:tcPr>
            <w:tcW w:w="720" w:type="dxa"/>
            <w:tcBorders>
              <w:top w:val="single" w:color="auto" w:sz="8" w:space="0"/>
              <w:left w:val="single" w:color="auto" w:sz="8" w:space="0"/>
              <w:bottom w:val="single" w:color="auto" w:sz="8" w:space="0"/>
              <w:right w:val="single" w:color="auto" w:sz="8" w:space="0"/>
            </w:tcBorders>
            <w:vAlign w:val="center"/>
          </w:tcPr>
          <w:p w14:paraId="7C571CEA">
            <w:pPr>
              <w:autoSpaceDE w:val="0"/>
              <w:autoSpaceDN w:val="0"/>
              <w:jc w:val="center"/>
              <w:rPr>
                <w:kern w:val="0"/>
                <w:sz w:val="24"/>
              </w:rPr>
            </w:pPr>
          </w:p>
        </w:tc>
        <w:tc>
          <w:tcPr>
            <w:tcW w:w="1815" w:type="dxa"/>
            <w:tcBorders>
              <w:top w:val="single" w:color="auto" w:sz="8" w:space="0"/>
              <w:left w:val="single" w:color="auto" w:sz="8" w:space="0"/>
              <w:bottom w:val="single" w:color="auto" w:sz="8" w:space="0"/>
              <w:right w:val="single" w:color="auto" w:sz="8" w:space="0"/>
            </w:tcBorders>
            <w:vAlign w:val="center"/>
          </w:tcPr>
          <w:p w14:paraId="77BF0748">
            <w:pPr>
              <w:autoSpaceDE w:val="0"/>
              <w:autoSpaceDN w:val="0"/>
              <w:jc w:val="center"/>
              <w:rPr>
                <w:kern w:val="0"/>
                <w:sz w:val="24"/>
              </w:rPr>
            </w:pPr>
          </w:p>
        </w:tc>
        <w:tc>
          <w:tcPr>
            <w:tcW w:w="1267" w:type="dxa"/>
            <w:tcBorders>
              <w:top w:val="single" w:color="auto" w:sz="8" w:space="0"/>
              <w:left w:val="single" w:color="auto" w:sz="8" w:space="0"/>
              <w:bottom w:val="single" w:color="auto" w:sz="8" w:space="0"/>
              <w:right w:val="single" w:color="auto" w:sz="8" w:space="0"/>
            </w:tcBorders>
            <w:vAlign w:val="center"/>
          </w:tcPr>
          <w:p w14:paraId="41064A08">
            <w:pPr>
              <w:autoSpaceDE w:val="0"/>
              <w:autoSpaceDN w:val="0"/>
              <w:jc w:val="center"/>
              <w:rPr>
                <w:kern w:val="0"/>
                <w:sz w:val="24"/>
              </w:rPr>
            </w:pPr>
          </w:p>
        </w:tc>
        <w:tc>
          <w:tcPr>
            <w:tcW w:w="1267" w:type="dxa"/>
            <w:tcBorders>
              <w:top w:val="single" w:color="auto" w:sz="8" w:space="0"/>
              <w:left w:val="single" w:color="auto" w:sz="8" w:space="0"/>
              <w:bottom w:val="single" w:color="auto" w:sz="8" w:space="0"/>
              <w:right w:val="single" w:color="auto" w:sz="8" w:space="0"/>
            </w:tcBorders>
            <w:vAlign w:val="center"/>
          </w:tcPr>
          <w:p w14:paraId="6A15E802">
            <w:pPr>
              <w:autoSpaceDE w:val="0"/>
              <w:autoSpaceDN w:val="0"/>
              <w:jc w:val="center"/>
              <w:rPr>
                <w:kern w:val="0"/>
                <w:sz w:val="24"/>
              </w:rPr>
            </w:pPr>
          </w:p>
        </w:tc>
        <w:tc>
          <w:tcPr>
            <w:tcW w:w="1267" w:type="dxa"/>
            <w:tcBorders>
              <w:top w:val="single" w:color="auto" w:sz="8" w:space="0"/>
              <w:left w:val="single" w:color="auto" w:sz="8" w:space="0"/>
              <w:bottom w:val="single" w:color="auto" w:sz="8" w:space="0"/>
              <w:right w:val="single" w:color="auto" w:sz="8" w:space="0"/>
            </w:tcBorders>
            <w:vAlign w:val="center"/>
          </w:tcPr>
          <w:p w14:paraId="04E10DE2">
            <w:pPr>
              <w:autoSpaceDE w:val="0"/>
              <w:autoSpaceDN w:val="0"/>
              <w:jc w:val="center"/>
              <w:rPr>
                <w:kern w:val="0"/>
                <w:sz w:val="24"/>
              </w:rPr>
            </w:pPr>
          </w:p>
        </w:tc>
        <w:tc>
          <w:tcPr>
            <w:tcW w:w="1569" w:type="dxa"/>
            <w:tcBorders>
              <w:top w:val="single" w:color="auto" w:sz="8" w:space="0"/>
              <w:left w:val="single" w:color="auto" w:sz="8" w:space="0"/>
              <w:bottom w:val="single" w:color="auto" w:sz="8" w:space="0"/>
              <w:right w:val="single" w:color="auto" w:sz="12" w:space="0"/>
            </w:tcBorders>
            <w:vAlign w:val="center"/>
          </w:tcPr>
          <w:p w14:paraId="6E2FDCB4">
            <w:pPr>
              <w:autoSpaceDE w:val="0"/>
              <w:autoSpaceDN w:val="0"/>
              <w:jc w:val="center"/>
              <w:rPr>
                <w:kern w:val="0"/>
                <w:sz w:val="24"/>
              </w:rPr>
            </w:pPr>
          </w:p>
        </w:tc>
      </w:tr>
      <w:tr w14:paraId="285654C8">
        <w:tblPrEx>
          <w:tblCellMar>
            <w:top w:w="0" w:type="dxa"/>
            <w:left w:w="0" w:type="dxa"/>
            <w:bottom w:w="0" w:type="dxa"/>
            <w:right w:w="0" w:type="dxa"/>
          </w:tblCellMar>
        </w:tblPrEx>
        <w:trPr>
          <w:trHeight w:val="907" w:hRule="atLeast"/>
        </w:trPr>
        <w:tc>
          <w:tcPr>
            <w:tcW w:w="712" w:type="dxa"/>
            <w:tcBorders>
              <w:top w:val="single" w:color="auto" w:sz="8" w:space="0"/>
              <w:left w:val="single" w:color="auto" w:sz="12" w:space="0"/>
              <w:bottom w:val="single" w:color="auto" w:sz="8" w:space="0"/>
              <w:right w:val="single" w:color="auto" w:sz="8" w:space="0"/>
            </w:tcBorders>
            <w:vAlign w:val="center"/>
          </w:tcPr>
          <w:p w14:paraId="580D9D2B">
            <w:pPr>
              <w:autoSpaceDE w:val="0"/>
              <w:autoSpaceDN w:val="0"/>
              <w:jc w:val="center"/>
              <w:rPr>
                <w:kern w:val="0"/>
                <w:sz w:val="24"/>
              </w:rPr>
            </w:pPr>
          </w:p>
        </w:tc>
        <w:tc>
          <w:tcPr>
            <w:tcW w:w="720" w:type="dxa"/>
            <w:tcBorders>
              <w:top w:val="single" w:color="auto" w:sz="8" w:space="0"/>
              <w:left w:val="single" w:color="auto" w:sz="8" w:space="0"/>
              <w:bottom w:val="single" w:color="auto" w:sz="8" w:space="0"/>
              <w:right w:val="single" w:color="auto" w:sz="8" w:space="0"/>
            </w:tcBorders>
            <w:vAlign w:val="center"/>
          </w:tcPr>
          <w:p w14:paraId="425BA6E8">
            <w:pPr>
              <w:autoSpaceDE w:val="0"/>
              <w:autoSpaceDN w:val="0"/>
              <w:jc w:val="center"/>
              <w:rPr>
                <w:kern w:val="0"/>
                <w:sz w:val="24"/>
              </w:rPr>
            </w:pPr>
          </w:p>
        </w:tc>
        <w:tc>
          <w:tcPr>
            <w:tcW w:w="1815" w:type="dxa"/>
            <w:tcBorders>
              <w:top w:val="single" w:color="auto" w:sz="8" w:space="0"/>
              <w:left w:val="single" w:color="auto" w:sz="8" w:space="0"/>
              <w:bottom w:val="single" w:color="auto" w:sz="8" w:space="0"/>
              <w:right w:val="single" w:color="auto" w:sz="8" w:space="0"/>
            </w:tcBorders>
            <w:vAlign w:val="center"/>
          </w:tcPr>
          <w:p w14:paraId="4B681E67">
            <w:pPr>
              <w:autoSpaceDE w:val="0"/>
              <w:autoSpaceDN w:val="0"/>
              <w:jc w:val="center"/>
              <w:rPr>
                <w:kern w:val="0"/>
                <w:sz w:val="24"/>
              </w:rPr>
            </w:pPr>
          </w:p>
        </w:tc>
        <w:tc>
          <w:tcPr>
            <w:tcW w:w="1267" w:type="dxa"/>
            <w:tcBorders>
              <w:top w:val="single" w:color="auto" w:sz="8" w:space="0"/>
              <w:left w:val="single" w:color="auto" w:sz="8" w:space="0"/>
              <w:bottom w:val="single" w:color="auto" w:sz="8" w:space="0"/>
              <w:right w:val="single" w:color="auto" w:sz="8" w:space="0"/>
            </w:tcBorders>
            <w:vAlign w:val="center"/>
          </w:tcPr>
          <w:p w14:paraId="59C77C2C">
            <w:pPr>
              <w:autoSpaceDE w:val="0"/>
              <w:autoSpaceDN w:val="0"/>
              <w:jc w:val="center"/>
              <w:rPr>
                <w:kern w:val="0"/>
                <w:sz w:val="24"/>
              </w:rPr>
            </w:pPr>
          </w:p>
        </w:tc>
        <w:tc>
          <w:tcPr>
            <w:tcW w:w="1267" w:type="dxa"/>
            <w:tcBorders>
              <w:top w:val="single" w:color="auto" w:sz="8" w:space="0"/>
              <w:left w:val="single" w:color="auto" w:sz="8" w:space="0"/>
              <w:bottom w:val="single" w:color="auto" w:sz="8" w:space="0"/>
              <w:right w:val="single" w:color="auto" w:sz="8" w:space="0"/>
            </w:tcBorders>
            <w:vAlign w:val="center"/>
          </w:tcPr>
          <w:p w14:paraId="25EF9E73">
            <w:pPr>
              <w:autoSpaceDE w:val="0"/>
              <w:autoSpaceDN w:val="0"/>
              <w:jc w:val="center"/>
              <w:rPr>
                <w:kern w:val="0"/>
                <w:sz w:val="24"/>
              </w:rPr>
            </w:pPr>
          </w:p>
        </w:tc>
        <w:tc>
          <w:tcPr>
            <w:tcW w:w="1267" w:type="dxa"/>
            <w:tcBorders>
              <w:top w:val="single" w:color="auto" w:sz="8" w:space="0"/>
              <w:left w:val="single" w:color="auto" w:sz="8" w:space="0"/>
              <w:bottom w:val="single" w:color="auto" w:sz="8" w:space="0"/>
              <w:right w:val="single" w:color="auto" w:sz="8" w:space="0"/>
            </w:tcBorders>
            <w:vAlign w:val="center"/>
          </w:tcPr>
          <w:p w14:paraId="7597F01F">
            <w:pPr>
              <w:autoSpaceDE w:val="0"/>
              <w:autoSpaceDN w:val="0"/>
              <w:jc w:val="center"/>
              <w:rPr>
                <w:kern w:val="0"/>
                <w:sz w:val="24"/>
              </w:rPr>
            </w:pPr>
          </w:p>
        </w:tc>
        <w:tc>
          <w:tcPr>
            <w:tcW w:w="1569" w:type="dxa"/>
            <w:tcBorders>
              <w:top w:val="single" w:color="auto" w:sz="8" w:space="0"/>
              <w:left w:val="single" w:color="auto" w:sz="8" w:space="0"/>
              <w:bottom w:val="single" w:color="auto" w:sz="8" w:space="0"/>
              <w:right w:val="single" w:color="auto" w:sz="12" w:space="0"/>
            </w:tcBorders>
            <w:vAlign w:val="center"/>
          </w:tcPr>
          <w:p w14:paraId="09425FFC">
            <w:pPr>
              <w:autoSpaceDE w:val="0"/>
              <w:autoSpaceDN w:val="0"/>
              <w:jc w:val="center"/>
              <w:rPr>
                <w:kern w:val="0"/>
                <w:sz w:val="24"/>
              </w:rPr>
            </w:pPr>
          </w:p>
        </w:tc>
      </w:tr>
      <w:tr w14:paraId="22945AC5">
        <w:tblPrEx>
          <w:tblCellMar>
            <w:top w:w="0" w:type="dxa"/>
            <w:left w:w="0" w:type="dxa"/>
            <w:bottom w:w="0" w:type="dxa"/>
            <w:right w:w="0" w:type="dxa"/>
          </w:tblCellMar>
        </w:tblPrEx>
        <w:trPr>
          <w:trHeight w:val="907" w:hRule="atLeast"/>
        </w:trPr>
        <w:tc>
          <w:tcPr>
            <w:tcW w:w="712" w:type="dxa"/>
            <w:tcBorders>
              <w:top w:val="single" w:color="auto" w:sz="8" w:space="0"/>
              <w:left w:val="single" w:color="auto" w:sz="12" w:space="0"/>
              <w:bottom w:val="single" w:color="auto" w:sz="8" w:space="0"/>
              <w:right w:val="single" w:color="auto" w:sz="8" w:space="0"/>
            </w:tcBorders>
            <w:vAlign w:val="center"/>
          </w:tcPr>
          <w:p w14:paraId="4D54C17B">
            <w:pPr>
              <w:autoSpaceDE w:val="0"/>
              <w:autoSpaceDN w:val="0"/>
              <w:jc w:val="center"/>
              <w:rPr>
                <w:kern w:val="0"/>
                <w:sz w:val="24"/>
              </w:rPr>
            </w:pPr>
          </w:p>
        </w:tc>
        <w:tc>
          <w:tcPr>
            <w:tcW w:w="720" w:type="dxa"/>
            <w:tcBorders>
              <w:top w:val="single" w:color="auto" w:sz="8" w:space="0"/>
              <w:left w:val="single" w:color="auto" w:sz="8" w:space="0"/>
              <w:bottom w:val="single" w:color="auto" w:sz="8" w:space="0"/>
              <w:right w:val="single" w:color="auto" w:sz="8" w:space="0"/>
            </w:tcBorders>
            <w:vAlign w:val="center"/>
          </w:tcPr>
          <w:p w14:paraId="011A96AB">
            <w:pPr>
              <w:autoSpaceDE w:val="0"/>
              <w:autoSpaceDN w:val="0"/>
              <w:jc w:val="center"/>
              <w:rPr>
                <w:kern w:val="0"/>
                <w:sz w:val="24"/>
              </w:rPr>
            </w:pPr>
          </w:p>
        </w:tc>
        <w:tc>
          <w:tcPr>
            <w:tcW w:w="1815" w:type="dxa"/>
            <w:tcBorders>
              <w:top w:val="single" w:color="auto" w:sz="8" w:space="0"/>
              <w:left w:val="single" w:color="auto" w:sz="8" w:space="0"/>
              <w:bottom w:val="single" w:color="auto" w:sz="8" w:space="0"/>
              <w:right w:val="single" w:color="auto" w:sz="8" w:space="0"/>
            </w:tcBorders>
            <w:vAlign w:val="center"/>
          </w:tcPr>
          <w:p w14:paraId="43DC1F0B">
            <w:pPr>
              <w:autoSpaceDE w:val="0"/>
              <w:autoSpaceDN w:val="0"/>
              <w:jc w:val="center"/>
              <w:rPr>
                <w:rFonts w:ascii="宋体" w:cs="宋体"/>
                <w:kern w:val="0"/>
                <w:sz w:val="24"/>
              </w:rPr>
            </w:pPr>
          </w:p>
        </w:tc>
        <w:tc>
          <w:tcPr>
            <w:tcW w:w="1267" w:type="dxa"/>
            <w:tcBorders>
              <w:top w:val="single" w:color="auto" w:sz="8" w:space="0"/>
              <w:left w:val="single" w:color="auto" w:sz="8" w:space="0"/>
              <w:bottom w:val="single" w:color="auto" w:sz="8" w:space="0"/>
              <w:right w:val="single" w:color="auto" w:sz="8" w:space="0"/>
            </w:tcBorders>
            <w:vAlign w:val="center"/>
          </w:tcPr>
          <w:p w14:paraId="158562A6">
            <w:pPr>
              <w:autoSpaceDE w:val="0"/>
              <w:autoSpaceDN w:val="0"/>
              <w:jc w:val="center"/>
              <w:rPr>
                <w:kern w:val="0"/>
                <w:sz w:val="24"/>
              </w:rPr>
            </w:pPr>
          </w:p>
        </w:tc>
        <w:tc>
          <w:tcPr>
            <w:tcW w:w="1267" w:type="dxa"/>
            <w:tcBorders>
              <w:top w:val="single" w:color="auto" w:sz="8" w:space="0"/>
              <w:left w:val="single" w:color="auto" w:sz="8" w:space="0"/>
              <w:bottom w:val="single" w:color="auto" w:sz="8" w:space="0"/>
              <w:right w:val="single" w:color="auto" w:sz="8" w:space="0"/>
            </w:tcBorders>
            <w:vAlign w:val="center"/>
          </w:tcPr>
          <w:p w14:paraId="27BFC372">
            <w:pPr>
              <w:autoSpaceDE w:val="0"/>
              <w:autoSpaceDN w:val="0"/>
              <w:jc w:val="center"/>
              <w:rPr>
                <w:kern w:val="0"/>
                <w:sz w:val="24"/>
              </w:rPr>
            </w:pPr>
          </w:p>
        </w:tc>
        <w:tc>
          <w:tcPr>
            <w:tcW w:w="1267" w:type="dxa"/>
            <w:tcBorders>
              <w:top w:val="single" w:color="auto" w:sz="8" w:space="0"/>
              <w:left w:val="single" w:color="auto" w:sz="8" w:space="0"/>
              <w:bottom w:val="single" w:color="auto" w:sz="8" w:space="0"/>
              <w:right w:val="single" w:color="auto" w:sz="8" w:space="0"/>
            </w:tcBorders>
            <w:vAlign w:val="center"/>
          </w:tcPr>
          <w:p w14:paraId="08907534">
            <w:pPr>
              <w:autoSpaceDE w:val="0"/>
              <w:autoSpaceDN w:val="0"/>
              <w:jc w:val="center"/>
              <w:rPr>
                <w:kern w:val="0"/>
                <w:sz w:val="24"/>
              </w:rPr>
            </w:pPr>
          </w:p>
        </w:tc>
        <w:tc>
          <w:tcPr>
            <w:tcW w:w="1569" w:type="dxa"/>
            <w:tcBorders>
              <w:top w:val="single" w:color="auto" w:sz="8" w:space="0"/>
              <w:left w:val="single" w:color="auto" w:sz="8" w:space="0"/>
              <w:bottom w:val="single" w:color="auto" w:sz="8" w:space="0"/>
              <w:right w:val="single" w:color="auto" w:sz="12" w:space="0"/>
            </w:tcBorders>
            <w:vAlign w:val="center"/>
          </w:tcPr>
          <w:p w14:paraId="332060F1">
            <w:pPr>
              <w:autoSpaceDE w:val="0"/>
              <w:autoSpaceDN w:val="0"/>
              <w:jc w:val="center"/>
              <w:rPr>
                <w:kern w:val="0"/>
                <w:sz w:val="24"/>
              </w:rPr>
            </w:pPr>
          </w:p>
        </w:tc>
      </w:tr>
      <w:tr w14:paraId="1F0A505D">
        <w:trPr>
          <w:trHeight w:val="900" w:hRule="atLeast"/>
        </w:trPr>
        <w:tc>
          <w:tcPr>
            <w:tcW w:w="712" w:type="dxa"/>
            <w:tcBorders>
              <w:top w:val="single" w:color="auto" w:sz="8" w:space="0"/>
              <w:left w:val="single" w:color="auto" w:sz="12" w:space="0"/>
              <w:bottom w:val="single" w:color="auto" w:sz="8" w:space="0"/>
              <w:right w:val="single" w:color="auto" w:sz="8" w:space="0"/>
            </w:tcBorders>
            <w:vAlign w:val="center"/>
          </w:tcPr>
          <w:p w14:paraId="47D9DFA8">
            <w:pPr>
              <w:autoSpaceDE w:val="0"/>
              <w:autoSpaceDN w:val="0"/>
              <w:jc w:val="center"/>
              <w:rPr>
                <w:kern w:val="0"/>
                <w:sz w:val="24"/>
              </w:rPr>
            </w:pPr>
          </w:p>
        </w:tc>
        <w:tc>
          <w:tcPr>
            <w:tcW w:w="720" w:type="dxa"/>
            <w:tcBorders>
              <w:top w:val="single" w:color="auto" w:sz="8" w:space="0"/>
              <w:left w:val="single" w:color="auto" w:sz="8" w:space="0"/>
              <w:bottom w:val="single" w:color="auto" w:sz="8" w:space="0"/>
              <w:right w:val="single" w:color="auto" w:sz="8" w:space="0"/>
            </w:tcBorders>
            <w:vAlign w:val="center"/>
          </w:tcPr>
          <w:p w14:paraId="22202325">
            <w:pPr>
              <w:autoSpaceDE w:val="0"/>
              <w:autoSpaceDN w:val="0"/>
              <w:jc w:val="center"/>
              <w:rPr>
                <w:kern w:val="0"/>
                <w:sz w:val="24"/>
              </w:rPr>
            </w:pPr>
          </w:p>
        </w:tc>
        <w:tc>
          <w:tcPr>
            <w:tcW w:w="1815" w:type="dxa"/>
            <w:tcBorders>
              <w:top w:val="single" w:color="auto" w:sz="8" w:space="0"/>
              <w:left w:val="single" w:color="auto" w:sz="8" w:space="0"/>
              <w:bottom w:val="single" w:color="auto" w:sz="8" w:space="0"/>
              <w:right w:val="single" w:color="auto" w:sz="8" w:space="0"/>
            </w:tcBorders>
            <w:vAlign w:val="center"/>
          </w:tcPr>
          <w:p w14:paraId="4A5819D4">
            <w:pPr>
              <w:autoSpaceDE w:val="0"/>
              <w:autoSpaceDN w:val="0"/>
              <w:jc w:val="center"/>
              <w:rPr>
                <w:kern w:val="0"/>
                <w:sz w:val="24"/>
              </w:rPr>
            </w:pPr>
          </w:p>
        </w:tc>
        <w:tc>
          <w:tcPr>
            <w:tcW w:w="1267" w:type="dxa"/>
            <w:tcBorders>
              <w:top w:val="single" w:color="auto" w:sz="8" w:space="0"/>
              <w:left w:val="single" w:color="auto" w:sz="8" w:space="0"/>
              <w:bottom w:val="single" w:color="auto" w:sz="8" w:space="0"/>
              <w:right w:val="single" w:color="auto" w:sz="8" w:space="0"/>
            </w:tcBorders>
            <w:vAlign w:val="center"/>
          </w:tcPr>
          <w:p w14:paraId="169CEF22">
            <w:pPr>
              <w:autoSpaceDE w:val="0"/>
              <w:autoSpaceDN w:val="0"/>
              <w:jc w:val="center"/>
              <w:rPr>
                <w:kern w:val="0"/>
                <w:sz w:val="24"/>
              </w:rPr>
            </w:pPr>
          </w:p>
        </w:tc>
        <w:tc>
          <w:tcPr>
            <w:tcW w:w="1267" w:type="dxa"/>
            <w:tcBorders>
              <w:top w:val="single" w:color="auto" w:sz="8" w:space="0"/>
              <w:left w:val="single" w:color="auto" w:sz="8" w:space="0"/>
              <w:bottom w:val="single" w:color="auto" w:sz="8" w:space="0"/>
              <w:right w:val="single" w:color="auto" w:sz="8" w:space="0"/>
            </w:tcBorders>
            <w:vAlign w:val="center"/>
          </w:tcPr>
          <w:p w14:paraId="5F5B38FB">
            <w:pPr>
              <w:autoSpaceDE w:val="0"/>
              <w:autoSpaceDN w:val="0"/>
              <w:jc w:val="center"/>
              <w:rPr>
                <w:kern w:val="0"/>
                <w:sz w:val="24"/>
              </w:rPr>
            </w:pPr>
          </w:p>
        </w:tc>
        <w:tc>
          <w:tcPr>
            <w:tcW w:w="1267" w:type="dxa"/>
            <w:tcBorders>
              <w:top w:val="single" w:color="auto" w:sz="8" w:space="0"/>
              <w:left w:val="single" w:color="auto" w:sz="8" w:space="0"/>
              <w:bottom w:val="single" w:color="auto" w:sz="8" w:space="0"/>
              <w:right w:val="single" w:color="auto" w:sz="8" w:space="0"/>
            </w:tcBorders>
            <w:vAlign w:val="center"/>
          </w:tcPr>
          <w:p w14:paraId="13F4CB3D">
            <w:pPr>
              <w:autoSpaceDE w:val="0"/>
              <w:autoSpaceDN w:val="0"/>
              <w:jc w:val="center"/>
              <w:rPr>
                <w:kern w:val="0"/>
                <w:sz w:val="24"/>
              </w:rPr>
            </w:pPr>
          </w:p>
        </w:tc>
        <w:tc>
          <w:tcPr>
            <w:tcW w:w="1569" w:type="dxa"/>
            <w:tcBorders>
              <w:top w:val="single" w:color="auto" w:sz="8" w:space="0"/>
              <w:left w:val="single" w:color="auto" w:sz="8" w:space="0"/>
              <w:bottom w:val="single" w:color="auto" w:sz="8" w:space="0"/>
              <w:right w:val="single" w:color="auto" w:sz="12" w:space="0"/>
            </w:tcBorders>
            <w:vAlign w:val="center"/>
          </w:tcPr>
          <w:p w14:paraId="373CCDC1">
            <w:pPr>
              <w:autoSpaceDE w:val="0"/>
              <w:autoSpaceDN w:val="0"/>
              <w:jc w:val="center"/>
              <w:rPr>
                <w:kern w:val="0"/>
                <w:sz w:val="24"/>
              </w:rPr>
            </w:pPr>
          </w:p>
        </w:tc>
      </w:tr>
      <w:tr w14:paraId="1B67CC5C">
        <w:tblPrEx>
          <w:tblCellMar>
            <w:top w:w="0" w:type="dxa"/>
            <w:left w:w="0" w:type="dxa"/>
            <w:bottom w:w="0" w:type="dxa"/>
            <w:right w:w="0" w:type="dxa"/>
          </w:tblCellMar>
        </w:tblPrEx>
        <w:trPr>
          <w:trHeight w:val="907" w:hRule="atLeast"/>
        </w:trPr>
        <w:tc>
          <w:tcPr>
            <w:tcW w:w="712" w:type="dxa"/>
            <w:tcBorders>
              <w:top w:val="single" w:color="auto" w:sz="8" w:space="0"/>
              <w:left w:val="single" w:color="auto" w:sz="12" w:space="0"/>
              <w:bottom w:val="single" w:color="auto" w:sz="8" w:space="0"/>
              <w:right w:val="single" w:color="auto" w:sz="8" w:space="0"/>
            </w:tcBorders>
            <w:vAlign w:val="center"/>
          </w:tcPr>
          <w:p w14:paraId="082F701A">
            <w:pPr>
              <w:autoSpaceDE w:val="0"/>
              <w:autoSpaceDN w:val="0"/>
              <w:jc w:val="center"/>
              <w:rPr>
                <w:kern w:val="0"/>
                <w:sz w:val="24"/>
              </w:rPr>
            </w:pPr>
          </w:p>
        </w:tc>
        <w:tc>
          <w:tcPr>
            <w:tcW w:w="720" w:type="dxa"/>
            <w:tcBorders>
              <w:top w:val="single" w:color="auto" w:sz="8" w:space="0"/>
              <w:left w:val="single" w:color="auto" w:sz="8" w:space="0"/>
              <w:bottom w:val="single" w:color="auto" w:sz="8" w:space="0"/>
              <w:right w:val="single" w:color="auto" w:sz="8" w:space="0"/>
            </w:tcBorders>
            <w:vAlign w:val="center"/>
          </w:tcPr>
          <w:p w14:paraId="6DEBC9DB">
            <w:pPr>
              <w:autoSpaceDE w:val="0"/>
              <w:autoSpaceDN w:val="0"/>
              <w:jc w:val="center"/>
              <w:rPr>
                <w:kern w:val="0"/>
                <w:sz w:val="24"/>
              </w:rPr>
            </w:pPr>
          </w:p>
        </w:tc>
        <w:tc>
          <w:tcPr>
            <w:tcW w:w="1815" w:type="dxa"/>
            <w:tcBorders>
              <w:top w:val="single" w:color="auto" w:sz="8" w:space="0"/>
              <w:left w:val="single" w:color="auto" w:sz="8" w:space="0"/>
              <w:bottom w:val="single" w:color="auto" w:sz="8" w:space="0"/>
              <w:right w:val="single" w:color="auto" w:sz="8" w:space="0"/>
            </w:tcBorders>
            <w:vAlign w:val="center"/>
          </w:tcPr>
          <w:p w14:paraId="1F8BDF32">
            <w:pPr>
              <w:autoSpaceDE w:val="0"/>
              <w:autoSpaceDN w:val="0"/>
              <w:jc w:val="center"/>
              <w:rPr>
                <w:kern w:val="0"/>
                <w:sz w:val="24"/>
              </w:rPr>
            </w:pPr>
          </w:p>
        </w:tc>
        <w:tc>
          <w:tcPr>
            <w:tcW w:w="1267" w:type="dxa"/>
            <w:tcBorders>
              <w:top w:val="single" w:color="auto" w:sz="8" w:space="0"/>
              <w:left w:val="single" w:color="auto" w:sz="8" w:space="0"/>
              <w:bottom w:val="single" w:color="auto" w:sz="8" w:space="0"/>
              <w:right w:val="single" w:color="auto" w:sz="8" w:space="0"/>
            </w:tcBorders>
            <w:vAlign w:val="center"/>
          </w:tcPr>
          <w:p w14:paraId="120A98E7">
            <w:pPr>
              <w:autoSpaceDE w:val="0"/>
              <w:autoSpaceDN w:val="0"/>
              <w:jc w:val="center"/>
              <w:rPr>
                <w:kern w:val="0"/>
                <w:sz w:val="24"/>
              </w:rPr>
            </w:pPr>
          </w:p>
        </w:tc>
        <w:tc>
          <w:tcPr>
            <w:tcW w:w="1267" w:type="dxa"/>
            <w:tcBorders>
              <w:top w:val="single" w:color="auto" w:sz="8" w:space="0"/>
              <w:left w:val="single" w:color="auto" w:sz="8" w:space="0"/>
              <w:bottom w:val="single" w:color="auto" w:sz="8" w:space="0"/>
              <w:right w:val="single" w:color="auto" w:sz="8" w:space="0"/>
            </w:tcBorders>
            <w:vAlign w:val="center"/>
          </w:tcPr>
          <w:p w14:paraId="15335272">
            <w:pPr>
              <w:autoSpaceDE w:val="0"/>
              <w:autoSpaceDN w:val="0"/>
              <w:jc w:val="center"/>
              <w:rPr>
                <w:kern w:val="0"/>
                <w:sz w:val="24"/>
              </w:rPr>
            </w:pPr>
          </w:p>
        </w:tc>
        <w:tc>
          <w:tcPr>
            <w:tcW w:w="1267" w:type="dxa"/>
            <w:tcBorders>
              <w:top w:val="single" w:color="auto" w:sz="8" w:space="0"/>
              <w:left w:val="single" w:color="auto" w:sz="8" w:space="0"/>
              <w:bottom w:val="single" w:color="auto" w:sz="8" w:space="0"/>
              <w:right w:val="single" w:color="auto" w:sz="8" w:space="0"/>
            </w:tcBorders>
            <w:vAlign w:val="center"/>
          </w:tcPr>
          <w:p w14:paraId="32F2B7ED">
            <w:pPr>
              <w:autoSpaceDE w:val="0"/>
              <w:autoSpaceDN w:val="0"/>
              <w:jc w:val="center"/>
              <w:rPr>
                <w:kern w:val="0"/>
                <w:sz w:val="24"/>
              </w:rPr>
            </w:pPr>
          </w:p>
        </w:tc>
        <w:tc>
          <w:tcPr>
            <w:tcW w:w="1569" w:type="dxa"/>
            <w:tcBorders>
              <w:top w:val="single" w:color="auto" w:sz="8" w:space="0"/>
              <w:left w:val="single" w:color="auto" w:sz="8" w:space="0"/>
              <w:bottom w:val="single" w:color="auto" w:sz="8" w:space="0"/>
              <w:right w:val="single" w:color="auto" w:sz="12" w:space="0"/>
            </w:tcBorders>
            <w:vAlign w:val="center"/>
          </w:tcPr>
          <w:p w14:paraId="2FFE842F">
            <w:pPr>
              <w:autoSpaceDE w:val="0"/>
              <w:autoSpaceDN w:val="0"/>
              <w:jc w:val="center"/>
              <w:rPr>
                <w:kern w:val="0"/>
                <w:sz w:val="24"/>
              </w:rPr>
            </w:pPr>
          </w:p>
        </w:tc>
      </w:tr>
      <w:tr w14:paraId="69278797">
        <w:tblPrEx>
          <w:tblCellMar>
            <w:top w:w="0" w:type="dxa"/>
            <w:left w:w="0" w:type="dxa"/>
            <w:bottom w:w="0" w:type="dxa"/>
            <w:right w:w="0" w:type="dxa"/>
          </w:tblCellMar>
        </w:tblPrEx>
        <w:trPr>
          <w:trHeight w:val="900" w:hRule="atLeast"/>
        </w:trPr>
        <w:tc>
          <w:tcPr>
            <w:tcW w:w="712" w:type="dxa"/>
            <w:tcBorders>
              <w:top w:val="single" w:color="auto" w:sz="8" w:space="0"/>
              <w:left w:val="single" w:color="auto" w:sz="12" w:space="0"/>
              <w:bottom w:val="single" w:color="auto" w:sz="12" w:space="0"/>
              <w:right w:val="single" w:color="auto" w:sz="8" w:space="0"/>
            </w:tcBorders>
            <w:vAlign w:val="center"/>
          </w:tcPr>
          <w:p w14:paraId="093EB45C">
            <w:pPr>
              <w:autoSpaceDE w:val="0"/>
              <w:autoSpaceDN w:val="0"/>
              <w:jc w:val="center"/>
              <w:rPr>
                <w:kern w:val="0"/>
                <w:sz w:val="24"/>
              </w:rPr>
            </w:pPr>
          </w:p>
        </w:tc>
        <w:tc>
          <w:tcPr>
            <w:tcW w:w="720" w:type="dxa"/>
            <w:tcBorders>
              <w:top w:val="single" w:color="auto" w:sz="8" w:space="0"/>
              <w:left w:val="single" w:color="auto" w:sz="8" w:space="0"/>
              <w:bottom w:val="single" w:color="auto" w:sz="12" w:space="0"/>
              <w:right w:val="single" w:color="auto" w:sz="8" w:space="0"/>
            </w:tcBorders>
            <w:vAlign w:val="center"/>
          </w:tcPr>
          <w:p w14:paraId="0A19CF24">
            <w:pPr>
              <w:autoSpaceDE w:val="0"/>
              <w:autoSpaceDN w:val="0"/>
              <w:jc w:val="center"/>
              <w:rPr>
                <w:kern w:val="0"/>
                <w:sz w:val="24"/>
              </w:rPr>
            </w:pPr>
          </w:p>
        </w:tc>
        <w:tc>
          <w:tcPr>
            <w:tcW w:w="1815" w:type="dxa"/>
            <w:tcBorders>
              <w:top w:val="single" w:color="auto" w:sz="8" w:space="0"/>
              <w:left w:val="single" w:color="auto" w:sz="8" w:space="0"/>
              <w:bottom w:val="single" w:color="auto" w:sz="12" w:space="0"/>
              <w:right w:val="single" w:color="auto" w:sz="8" w:space="0"/>
            </w:tcBorders>
            <w:vAlign w:val="center"/>
          </w:tcPr>
          <w:p w14:paraId="63F1D3C2">
            <w:pPr>
              <w:autoSpaceDE w:val="0"/>
              <w:autoSpaceDN w:val="0"/>
              <w:jc w:val="center"/>
              <w:rPr>
                <w:kern w:val="0"/>
                <w:sz w:val="24"/>
              </w:rPr>
            </w:pPr>
          </w:p>
        </w:tc>
        <w:tc>
          <w:tcPr>
            <w:tcW w:w="1267" w:type="dxa"/>
            <w:tcBorders>
              <w:top w:val="single" w:color="auto" w:sz="8" w:space="0"/>
              <w:left w:val="single" w:color="auto" w:sz="8" w:space="0"/>
              <w:bottom w:val="single" w:color="auto" w:sz="12" w:space="0"/>
              <w:right w:val="single" w:color="auto" w:sz="8" w:space="0"/>
            </w:tcBorders>
            <w:vAlign w:val="center"/>
          </w:tcPr>
          <w:p w14:paraId="4188E5F9">
            <w:pPr>
              <w:autoSpaceDE w:val="0"/>
              <w:autoSpaceDN w:val="0"/>
              <w:jc w:val="center"/>
              <w:rPr>
                <w:kern w:val="0"/>
                <w:sz w:val="24"/>
              </w:rPr>
            </w:pPr>
          </w:p>
        </w:tc>
        <w:tc>
          <w:tcPr>
            <w:tcW w:w="1267" w:type="dxa"/>
            <w:tcBorders>
              <w:top w:val="single" w:color="auto" w:sz="8" w:space="0"/>
              <w:left w:val="single" w:color="auto" w:sz="8" w:space="0"/>
              <w:bottom w:val="single" w:color="auto" w:sz="12" w:space="0"/>
              <w:right w:val="single" w:color="auto" w:sz="8" w:space="0"/>
            </w:tcBorders>
            <w:vAlign w:val="center"/>
          </w:tcPr>
          <w:p w14:paraId="4B71B16A">
            <w:pPr>
              <w:autoSpaceDE w:val="0"/>
              <w:autoSpaceDN w:val="0"/>
              <w:jc w:val="center"/>
              <w:rPr>
                <w:kern w:val="0"/>
                <w:sz w:val="24"/>
              </w:rPr>
            </w:pPr>
          </w:p>
        </w:tc>
        <w:tc>
          <w:tcPr>
            <w:tcW w:w="1267" w:type="dxa"/>
            <w:tcBorders>
              <w:top w:val="single" w:color="auto" w:sz="8" w:space="0"/>
              <w:left w:val="single" w:color="auto" w:sz="8" w:space="0"/>
              <w:bottom w:val="single" w:color="auto" w:sz="12" w:space="0"/>
              <w:right w:val="single" w:color="auto" w:sz="8" w:space="0"/>
            </w:tcBorders>
            <w:vAlign w:val="center"/>
          </w:tcPr>
          <w:p w14:paraId="4C7F6033">
            <w:pPr>
              <w:autoSpaceDE w:val="0"/>
              <w:autoSpaceDN w:val="0"/>
              <w:jc w:val="center"/>
              <w:rPr>
                <w:kern w:val="0"/>
                <w:sz w:val="24"/>
              </w:rPr>
            </w:pPr>
          </w:p>
        </w:tc>
        <w:tc>
          <w:tcPr>
            <w:tcW w:w="1569" w:type="dxa"/>
            <w:tcBorders>
              <w:top w:val="single" w:color="auto" w:sz="8" w:space="0"/>
              <w:left w:val="single" w:color="auto" w:sz="8" w:space="0"/>
              <w:bottom w:val="single" w:color="auto" w:sz="12" w:space="0"/>
              <w:right w:val="single" w:color="auto" w:sz="12" w:space="0"/>
            </w:tcBorders>
            <w:vAlign w:val="center"/>
          </w:tcPr>
          <w:p w14:paraId="2F26B562">
            <w:pPr>
              <w:autoSpaceDE w:val="0"/>
              <w:autoSpaceDN w:val="0"/>
              <w:jc w:val="center"/>
              <w:rPr>
                <w:kern w:val="0"/>
                <w:sz w:val="24"/>
              </w:rPr>
            </w:pPr>
          </w:p>
        </w:tc>
      </w:tr>
    </w:tbl>
    <w:p w14:paraId="1A3D27CE">
      <w:pPr>
        <w:snapToGrid w:val="0"/>
        <w:spacing w:before="50" w:after="50"/>
        <w:rPr>
          <w:rFonts w:hint="eastAsia" w:ascii="宋体" w:hAnsi="宋体"/>
          <w:szCs w:val="21"/>
        </w:rPr>
      </w:pPr>
    </w:p>
    <w:p w14:paraId="4479638B">
      <w:pPr>
        <w:pStyle w:val="9"/>
        <w:overflowPunct w:val="0"/>
        <w:spacing w:line="520" w:lineRule="exact"/>
        <w:ind w:firstLine="0"/>
        <w:jc w:val="center"/>
        <w:rPr>
          <w:sz w:val="24"/>
        </w:rPr>
      </w:pPr>
      <w:r>
        <w:rPr>
          <w:rFonts w:hint="eastAsia"/>
          <w:sz w:val="24"/>
        </w:rPr>
        <w:t>供应商名称：</w:t>
      </w:r>
      <w:r>
        <w:rPr>
          <w:rFonts w:hint="eastAsia"/>
          <w:sz w:val="24"/>
          <w:u w:val="single"/>
        </w:rPr>
        <w:t xml:space="preserve">                         </w:t>
      </w:r>
      <w:r>
        <w:rPr>
          <w:rFonts w:hint="eastAsia"/>
          <w:sz w:val="24"/>
        </w:rPr>
        <w:t>（盖单位公章）</w:t>
      </w:r>
    </w:p>
    <w:p w14:paraId="2B7B1471">
      <w:pPr>
        <w:pStyle w:val="9"/>
        <w:overflowPunct w:val="0"/>
        <w:spacing w:line="520" w:lineRule="exact"/>
        <w:ind w:firstLine="1478" w:firstLineChars="616"/>
        <w:rPr>
          <w:sz w:val="24"/>
        </w:rPr>
      </w:pPr>
      <w:r>
        <w:rPr>
          <w:rFonts w:hint="eastAsia"/>
          <w:sz w:val="24"/>
        </w:rPr>
        <w:t>法定代表人或其委托代理人：</w:t>
      </w:r>
      <w:r>
        <w:rPr>
          <w:rFonts w:hint="eastAsia"/>
          <w:sz w:val="24"/>
          <w:u w:val="single"/>
        </w:rPr>
        <w:t xml:space="preserve">           </w:t>
      </w:r>
      <w:r>
        <w:rPr>
          <w:rFonts w:hint="eastAsia"/>
          <w:sz w:val="24"/>
        </w:rPr>
        <w:t>（签字）</w:t>
      </w:r>
    </w:p>
    <w:p w14:paraId="6FB15E4E">
      <w:pPr>
        <w:pStyle w:val="9"/>
        <w:overflowPunct w:val="0"/>
        <w:spacing w:line="520" w:lineRule="exact"/>
        <w:ind w:firstLine="3998" w:firstLineChars="1666"/>
        <w:rPr>
          <w:sz w:val="24"/>
        </w:rPr>
      </w:pP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w:t>
      </w:r>
    </w:p>
    <w:p w14:paraId="65BEEF8E">
      <w:pPr>
        <w:snapToGrid w:val="0"/>
        <w:spacing w:before="50" w:after="120" w:afterLines="50"/>
        <w:jc w:val="left"/>
        <w:rPr>
          <w:rFonts w:hint="eastAsia" w:ascii="宋体" w:hAnsi="宋体"/>
          <w:sz w:val="24"/>
          <w:szCs w:val="20"/>
        </w:rPr>
      </w:pPr>
    </w:p>
    <w:p w14:paraId="5FFDC1C4">
      <w:pPr>
        <w:jc w:val="center"/>
        <w:outlineLvl w:val="3"/>
        <w:rPr>
          <w:rFonts w:hint="eastAsia" w:ascii="黑体" w:hAnsi="宋体" w:eastAsia="黑体"/>
          <w:b/>
          <w:sz w:val="24"/>
        </w:rPr>
      </w:pPr>
      <w:r>
        <w:rPr>
          <w:rFonts w:ascii="黑体" w:hAnsi="宋体" w:eastAsia="黑体"/>
          <w:b/>
          <w:sz w:val="24"/>
        </w:rPr>
        <w:br w:type="page"/>
      </w:r>
      <w:r>
        <w:rPr>
          <w:rFonts w:hint="eastAsia" w:ascii="黑体" w:hAnsi="宋体" w:eastAsia="黑体"/>
          <w:b/>
          <w:sz w:val="24"/>
        </w:rPr>
        <w:t>2.</w:t>
      </w:r>
      <w:r>
        <w:rPr>
          <w:rFonts w:ascii="黑体" w:hAnsi="宋体" w:eastAsia="黑体"/>
          <w:b/>
          <w:sz w:val="24"/>
        </w:rPr>
        <w:t>主要人员</w:t>
      </w:r>
      <w:r>
        <w:rPr>
          <w:rFonts w:hint="eastAsia" w:ascii="黑体" w:hAnsi="宋体" w:eastAsia="黑体"/>
          <w:b/>
          <w:sz w:val="24"/>
        </w:rPr>
        <w:t>简历</w:t>
      </w:r>
      <w:r>
        <w:rPr>
          <w:rFonts w:ascii="黑体" w:hAnsi="宋体" w:eastAsia="黑体"/>
          <w:b/>
          <w:sz w:val="24"/>
        </w:rPr>
        <w:t>表</w:t>
      </w:r>
    </w:p>
    <w:p w14:paraId="463CB516">
      <w:pPr>
        <w:jc w:val="center"/>
        <w:rPr>
          <w:rFonts w:hint="eastAsia" w:ascii="黑体" w:hAnsi="宋体" w:eastAsia="黑体"/>
          <w:sz w:val="24"/>
        </w:rPr>
      </w:pPr>
    </w:p>
    <w:tbl>
      <w:tblPr>
        <w:tblStyle w:val="25"/>
        <w:tblW w:w="5000" w:type="pct"/>
        <w:jc w:val="center"/>
        <w:tblLayout w:type="autofit"/>
        <w:tblCellMar>
          <w:top w:w="0" w:type="dxa"/>
          <w:left w:w="108" w:type="dxa"/>
          <w:bottom w:w="0" w:type="dxa"/>
          <w:right w:w="108" w:type="dxa"/>
        </w:tblCellMar>
      </w:tblPr>
      <w:tblGrid>
        <w:gridCol w:w="1141"/>
        <w:gridCol w:w="842"/>
        <w:gridCol w:w="993"/>
        <w:gridCol w:w="988"/>
        <w:gridCol w:w="998"/>
        <w:gridCol w:w="784"/>
        <w:gridCol w:w="1201"/>
        <w:gridCol w:w="54"/>
        <w:gridCol w:w="1945"/>
      </w:tblGrid>
      <w:tr w14:paraId="0B12587B">
        <w:trPr>
          <w:trHeight w:val="360" w:hRule="atLeast"/>
          <w:jc w:val="center"/>
        </w:trPr>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B81906B">
            <w:pPr>
              <w:widowControl/>
              <w:jc w:val="center"/>
              <w:textAlignment w:val="top"/>
              <w:rPr>
                <w:rFonts w:hint="eastAsia" w:ascii="微软雅黑" w:hAnsi="微软雅黑" w:eastAsia="微软雅黑" w:cs="微软雅黑"/>
                <w:sz w:val="20"/>
                <w:szCs w:val="20"/>
              </w:rPr>
            </w:pPr>
            <w:r>
              <w:rPr>
                <w:rFonts w:hint="eastAsia" w:ascii="微软雅黑" w:hAnsi="微软雅黑" w:eastAsia="微软雅黑" w:cs="微软雅黑"/>
                <w:kern w:val="0"/>
                <w:sz w:val="20"/>
                <w:szCs w:val="20"/>
                <w:lang w:bidi="ar"/>
              </w:rPr>
              <w:t>姓</w:t>
            </w:r>
            <w:r>
              <w:rPr>
                <w:rStyle w:val="35"/>
                <w:rFonts w:hint="default"/>
                <w:color w:val="auto"/>
                <w:lang w:bidi="ar"/>
              </w:rPr>
              <w:t xml:space="preserve"> 名</w:t>
            </w:r>
          </w:p>
        </w:tc>
        <w:tc>
          <w:tcPr>
            <w:tcW w:w="10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E851839">
            <w:pPr>
              <w:jc w:val="center"/>
              <w:rPr>
                <w:rFonts w:hint="eastAsia" w:ascii="微软雅黑" w:hAnsi="微软雅黑" w:eastAsia="微软雅黑" w:cs="微软雅黑"/>
                <w:sz w:val="20"/>
                <w:szCs w:val="20"/>
              </w:rPr>
            </w:pPr>
          </w:p>
        </w:tc>
        <w:tc>
          <w:tcPr>
            <w:tcW w:w="55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95E45B3">
            <w:pPr>
              <w:widowControl/>
              <w:jc w:val="center"/>
              <w:textAlignment w:val="top"/>
              <w:rPr>
                <w:rFonts w:hint="eastAsia" w:ascii="微软雅黑" w:hAnsi="微软雅黑" w:eastAsia="微软雅黑" w:cs="微软雅黑"/>
                <w:sz w:val="20"/>
                <w:szCs w:val="20"/>
              </w:rPr>
            </w:pPr>
            <w:r>
              <w:rPr>
                <w:rFonts w:hint="eastAsia" w:ascii="微软雅黑" w:hAnsi="微软雅黑" w:eastAsia="微软雅黑" w:cs="微软雅黑"/>
                <w:kern w:val="0"/>
                <w:sz w:val="20"/>
                <w:szCs w:val="20"/>
                <w:lang w:bidi="ar"/>
              </w:rPr>
              <w:t>年龄</w:t>
            </w:r>
          </w:p>
        </w:tc>
        <w:tc>
          <w:tcPr>
            <w:tcW w:w="5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B26804D">
            <w:pPr>
              <w:jc w:val="center"/>
              <w:rPr>
                <w:rFonts w:hint="eastAsia" w:ascii="微软雅黑" w:hAnsi="微软雅黑" w:eastAsia="微软雅黑" w:cs="微软雅黑"/>
                <w:sz w:val="20"/>
                <w:szCs w:val="20"/>
              </w:rPr>
            </w:pPr>
          </w:p>
        </w:tc>
        <w:tc>
          <w:tcPr>
            <w:tcW w:w="1139" w:type="pct"/>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572E608E">
            <w:pPr>
              <w:widowControl/>
              <w:jc w:val="left"/>
              <w:textAlignment w:val="top"/>
              <w:rPr>
                <w:rFonts w:hint="eastAsia" w:ascii="微软雅黑" w:hAnsi="微软雅黑" w:eastAsia="微软雅黑" w:cs="微软雅黑"/>
                <w:kern w:val="0"/>
                <w:sz w:val="20"/>
                <w:szCs w:val="20"/>
                <w:lang w:bidi="ar"/>
              </w:rPr>
            </w:pPr>
            <w:r>
              <w:rPr>
                <w:rFonts w:hint="eastAsia" w:ascii="微软雅黑" w:hAnsi="微软雅黑" w:eastAsia="微软雅黑" w:cs="微软雅黑"/>
                <w:kern w:val="0"/>
                <w:sz w:val="20"/>
                <w:szCs w:val="20"/>
                <w:lang w:bidi="ar"/>
              </w:rPr>
              <w:t>执业资格证书</w:t>
            </w:r>
          </w:p>
          <w:p w14:paraId="7DE9F238">
            <w:pPr>
              <w:widowControl/>
              <w:jc w:val="left"/>
              <w:textAlignment w:val="top"/>
              <w:rPr>
                <w:rFonts w:hint="eastAsia" w:ascii="微软雅黑" w:hAnsi="微软雅黑" w:eastAsia="微软雅黑" w:cs="微软雅黑"/>
                <w:sz w:val="20"/>
                <w:szCs w:val="20"/>
              </w:rPr>
            </w:pPr>
            <w:r>
              <w:rPr>
                <w:rFonts w:hint="eastAsia" w:ascii="微软雅黑" w:hAnsi="微软雅黑" w:eastAsia="微软雅黑" w:cs="微软雅黑"/>
                <w:kern w:val="0"/>
                <w:sz w:val="20"/>
                <w:szCs w:val="20"/>
                <w:lang w:bidi="ar"/>
              </w:rPr>
              <w:t>（或上岗证书）名称</w:t>
            </w:r>
          </w:p>
        </w:tc>
        <w:tc>
          <w:tcPr>
            <w:tcW w:w="108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BE9526F">
            <w:pPr>
              <w:jc w:val="center"/>
              <w:rPr>
                <w:rFonts w:hint="eastAsia" w:ascii="微软雅黑" w:hAnsi="微软雅黑" w:eastAsia="微软雅黑" w:cs="微软雅黑"/>
                <w:sz w:val="20"/>
                <w:szCs w:val="20"/>
              </w:rPr>
            </w:pPr>
          </w:p>
        </w:tc>
      </w:tr>
      <w:tr w14:paraId="43BB120A">
        <w:tblPrEx>
          <w:tblCellMar>
            <w:top w:w="0" w:type="dxa"/>
            <w:left w:w="108" w:type="dxa"/>
            <w:bottom w:w="0" w:type="dxa"/>
            <w:right w:w="108" w:type="dxa"/>
          </w:tblCellMar>
        </w:tblPrEx>
        <w:trPr>
          <w:trHeight w:val="665" w:hRule="atLeast"/>
          <w:jc w:val="center"/>
        </w:trPr>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44E412F">
            <w:pPr>
              <w:widowControl/>
              <w:jc w:val="center"/>
              <w:textAlignment w:val="top"/>
              <w:rPr>
                <w:rFonts w:hint="eastAsia" w:ascii="微软雅黑" w:hAnsi="微软雅黑" w:eastAsia="微软雅黑" w:cs="微软雅黑"/>
                <w:sz w:val="20"/>
                <w:szCs w:val="20"/>
              </w:rPr>
            </w:pPr>
            <w:r>
              <w:rPr>
                <w:rFonts w:hint="eastAsia" w:ascii="微软雅黑" w:hAnsi="微软雅黑" w:eastAsia="微软雅黑" w:cs="微软雅黑"/>
                <w:kern w:val="0"/>
                <w:sz w:val="20"/>
                <w:szCs w:val="20"/>
                <w:lang w:bidi="ar"/>
              </w:rPr>
              <w:t>职</w:t>
            </w:r>
            <w:r>
              <w:rPr>
                <w:rStyle w:val="35"/>
                <w:rFonts w:hint="default"/>
                <w:color w:val="auto"/>
                <w:lang w:bidi="ar"/>
              </w:rPr>
              <w:t xml:space="preserve"> 称</w:t>
            </w:r>
          </w:p>
        </w:tc>
        <w:tc>
          <w:tcPr>
            <w:tcW w:w="102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637D119D">
            <w:pPr>
              <w:jc w:val="center"/>
              <w:rPr>
                <w:rFonts w:hint="eastAsia" w:ascii="微软雅黑" w:hAnsi="微软雅黑" w:eastAsia="微软雅黑" w:cs="微软雅黑"/>
                <w:sz w:val="20"/>
                <w:szCs w:val="20"/>
              </w:rPr>
            </w:pPr>
          </w:p>
        </w:tc>
        <w:tc>
          <w:tcPr>
            <w:tcW w:w="55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23E8A036">
            <w:pPr>
              <w:widowControl/>
              <w:jc w:val="center"/>
              <w:textAlignment w:val="top"/>
              <w:rPr>
                <w:rFonts w:hint="eastAsia" w:ascii="微软雅黑" w:hAnsi="微软雅黑" w:eastAsia="微软雅黑" w:cs="微软雅黑"/>
                <w:sz w:val="20"/>
                <w:szCs w:val="20"/>
              </w:rPr>
            </w:pPr>
            <w:r>
              <w:rPr>
                <w:rFonts w:hint="eastAsia" w:ascii="微软雅黑" w:hAnsi="微软雅黑" w:eastAsia="微软雅黑" w:cs="微软雅黑"/>
                <w:kern w:val="0"/>
                <w:sz w:val="20"/>
                <w:szCs w:val="20"/>
                <w:lang w:bidi="ar"/>
              </w:rPr>
              <w:t>学历</w:t>
            </w:r>
          </w:p>
        </w:tc>
        <w:tc>
          <w:tcPr>
            <w:tcW w:w="55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3A3061C">
            <w:pPr>
              <w:jc w:val="center"/>
              <w:rPr>
                <w:rFonts w:hint="eastAsia" w:ascii="微软雅黑" w:hAnsi="微软雅黑" w:eastAsia="微软雅黑" w:cs="微软雅黑"/>
                <w:sz w:val="20"/>
                <w:szCs w:val="20"/>
              </w:rPr>
            </w:pPr>
          </w:p>
        </w:tc>
        <w:tc>
          <w:tcPr>
            <w:tcW w:w="1139" w:type="pct"/>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2111CBC0">
            <w:pPr>
              <w:widowControl/>
              <w:jc w:val="left"/>
              <w:textAlignment w:val="top"/>
              <w:rPr>
                <w:rFonts w:hint="eastAsia" w:ascii="微软雅黑" w:hAnsi="微软雅黑" w:eastAsia="微软雅黑" w:cs="微软雅黑"/>
                <w:sz w:val="20"/>
                <w:szCs w:val="20"/>
              </w:rPr>
            </w:pPr>
            <w:r>
              <w:rPr>
                <w:rFonts w:hint="eastAsia" w:ascii="微软雅黑" w:hAnsi="微软雅黑" w:eastAsia="微软雅黑" w:cs="微软雅黑"/>
                <w:kern w:val="0"/>
                <w:sz w:val="20"/>
                <w:szCs w:val="20"/>
                <w:lang w:bidi="ar"/>
              </w:rPr>
              <w:t>拟在本项目任职</w:t>
            </w:r>
          </w:p>
        </w:tc>
        <w:tc>
          <w:tcPr>
            <w:tcW w:w="108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B1D4AF1">
            <w:pPr>
              <w:jc w:val="center"/>
              <w:rPr>
                <w:rFonts w:hint="eastAsia" w:ascii="微软雅黑" w:hAnsi="微软雅黑" w:eastAsia="微软雅黑" w:cs="微软雅黑"/>
                <w:sz w:val="20"/>
                <w:szCs w:val="20"/>
              </w:rPr>
            </w:pPr>
          </w:p>
        </w:tc>
      </w:tr>
      <w:tr w14:paraId="18FAD4EC">
        <w:tblPrEx>
          <w:tblCellMar>
            <w:top w:w="0" w:type="dxa"/>
            <w:left w:w="108" w:type="dxa"/>
            <w:bottom w:w="0" w:type="dxa"/>
            <w:right w:w="108" w:type="dxa"/>
          </w:tblCellMar>
        </w:tblPrEx>
        <w:trPr>
          <w:trHeight w:val="360" w:hRule="atLeast"/>
          <w:jc w:val="center"/>
        </w:trPr>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12422B0">
            <w:pPr>
              <w:widowControl/>
              <w:jc w:val="center"/>
              <w:textAlignment w:val="top"/>
              <w:rPr>
                <w:rFonts w:hint="eastAsia" w:ascii="微软雅黑" w:hAnsi="微软雅黑" w:eastAsia="微软雅黑" w:cs="微软雅黑"/>
                <w:sz w:val="20"/>
                <w:szCs w:val="20"/>
              </w:rPr>
            </w:pPr>
            <w:r>
              <w:rPr>
                <w:rFonts w:hint="eastAsia" w:ascii="微软雅黑" w:hAnsi="微软雅黑" w:eastAsia="微软雅黑" w:cs="微软雅黑"/>
                <w:kern w:val="0"/>
                <w:sz w:val="20"/>
                <w:szCs w:val="20"/>
                <w:lang w:bidi="ar"/>
              </w:rPr>
              <w:t>工作年限</w:t>
            </w:r>
          </w:p>
        </w:tc>
        <w:tc>
          <w:tcPr>
            <w:tcW w:w="2136"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45F1FFA0">
            <w:pPr>
              <w:jc w:val="center"/>
              <w:rPr>
                <w:rFonts w:hint="eastAsia" w:ascii="微软雅黑" w:hAnsi="微软雅黑" w:eastAsia="微软雅黑" w:cs="微软雅黑"/>
                <w:sz w:val="20"/>
                <w:szCs w:val="20"/>
              </w:rPr>
            </w:pPr>
          </w:p>
        </w:tc>
        <w:tc>
          <w:tcPr>
            <w:tcW w:w="1139" w:type="pct"/>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3EB1322D">
            <w:pPr>
              <w:widowControl/>
              <w:jc w:val="left"/>
              <w:textAlignment w:val="top"/>
              <w:rPr>
                <w:rFonts w:hint="eastAsia" w:ascii="微软雅黑" w:hAnsi="微软雅黑" w:eastAsia="微软雅黑" w:cs="微软雅黑"/>
                <w:sz w:val="20"/>
                <w:szCs w:val="20"/>
              </w:rPr>
            </w:pPr>
            <w:r>
              <w:rPr>
                <w:rFonts w:hint="eastAsia" w:ascii="微软雅黑" w:hAnsi="微软雅黑" w:eastAsia="微软雅黑" w:cs="微软雅黑"/>
                <w:kern w:val="0"/>
                <w:sz w:val="20"/>
                <w:szCs w:val="20"/>
                <w:lang w:bidi="ar"/>
              </w:rPr>
              <w:t>从事相关工作年限</w:t>
            </w:r>
          </w:p>
        </w:tc>
        <w:tc>
          <w:tcPr>
            <w:tcW w:w="108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F25664F">
            <w:pPr>
              <w:jc w:val="center"/>
              <w:rPr>
                <w:rFonts w:hint="eastAsia" w:ascii="微软雅黑" w:hAnsi="微软雅黑" w:eastAsia="微软雅黑" w:cs="微软雅黑"/>
                <w:sz w:val="20"/>
                <w:szCs w:val="20"/>
              </w:rPr>
            </w:pPr>
          </w:p>
        </w:tc>
      </w:tr>
      <w:tr w14:paraId="03931636">
        <w:tblPrEx>
          <w:tblCellMar>
            <w:top w:w="0" w:type="dxa"/>
            <w:left w:w="108" w:type="dxa"/>
            <w:bottom w:w="0" w:type="dxa"/>
            <w:right w:w="108" w:type="dxa"/>
          </w:tblCellMar>
        </w:tblPrEx>
        <w:trPr>
          <w:trHeight w:val="710" w:hRule="atLeast"/>
          <w:jc w:val="center"/>
        </w:trPr>
        <w:tc>
          <w:tcPr>
            <w:tcW w:w="638"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7FC880C">
            <w:pPr>
              <w:widowControl/>
              <w:jc w:val="center"/>
              <w:textAlignment w:val="top"/>
              <w:rPr>
                <w:rFonts w:hint="eastAsia" w:ascii="微软雅黑" w:hAnsi="微软雅黑" w:eastAsia="微软雅黑" w:cs="微软雅黑"/>
                <w:sz w:val="20"/>
                <w:szCs w:val="20"/>
              </w:rPr>
            </w:pPr>
            <w:r>
              <w:rPr>
                <w:rFonts w:hint="eastAsia" w:ascii="微软雅黑" w:hAnsi="微软雅黑" w:eastAsia="微软雅黑" w:cs="微软雅黑"/>
                <w:kern w:val="0"/>
                <w:sz w:val="20"/>
                <w:szCs w:val="20"/>
                <w:lang w:bidi="ar"/>
              </w:rPr>
              <w:t>毕业学校</w:t>
            </w:r>
          </w:p>
        </w:tc>
        <w:tc>
          <w:tcPr>
            <w:tcW w:w="4361" w:type="pct"/>
            <w:gridSpan w:val="8"/>
            <w:tcBorders>
              <w:top w:val="single" w:color="000000" w:sz="4" w:space="0"/>
              <w:left w:val="single" w:color="000000" w:sz="4" w:space="0"/>
              <w:bottom w:val="single" w:color="000000" w:sz="4" w:space="0"/>
              <w:right w:val="single" w:color="000000" w:sz="4" w:space="0"/>
            </w:tcBorders>
            <w:shd w:val="clear" w:color="auto" w:fill="FFFFFF"/>
            <w:vAlign w:val="center"/>
          </w:tcPr>
          <w:p w14:paraId="44F91391">
            <w:pPr>
              <w:widowControl/>
              <w:jc w:val="center"/>
              <w:textAlignment w:val="top"/>
              <w:rPr>
                <w:rFonts w:hint="eastAsia" w:ascii="微软雅黑" w:hAnsi="微软雅黑" w:eastAsia="微软雅黑" w:cs="微软雅黑"/>
                <w:sz w:val="20"/>
                <w:szCs w:val="20"/>
              </w:rPr>
            </w:pPr>
            <w:r>
              <w:rPr>
                <w:rFonts w:hint="eastAsia" w:ascii="微软雅黑" w:hAnsi="微软雅黑" w:eastAsia="微软雅黑" w:cs="微软雅黑"/>
                <w:kern w:val="0"/>
                <w:sz w:val="20"/>
                <w:szCs w:val="20"/>
                <w:lang w:bidi="ar"/>
              </w:rPr>
              <w:t>年毕业于</w:t>
            </w:r>
            <w:r>
              <w:rPr>
                <w:rStyle w:val="35"/>
                <w:rFonts w:hint="default"/>
                <w:color w:val="auto"/>
                <w:lang w:bidi="ar"/>
              </w:rPr>
              <w:t xml:space="preserve">          学校       专业</w:t>
            </w:r>
          </w:p>
        </w:tc>
      </w:tr>
      <w:tr w14:paraId="3848C62A">
        <w:tblPrEx>
          <w:tblCellMar>
            <w:top w:w="0" w:type="dxa"/>
            <w:left w:w="108" w:type="dxa"/>
            <w:bottom w:w="0" w:type="dxa"/>
            <w:right w:w="108" w:type="dxa"/>
          </w:tblCellMar>
        </w:tblPrEx>
        <w:trPr>
          <w:trHeight w:val="590" w:hRule="atLeast"/>
          <w:jc w:val="center"/>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FFFFFF"/>
            <w:vAlign w:val="center"/>
          </w:tcPr>
          <w:p w14:paraId="72DA0356">
            <w:pPr>
              <w:widowControl/>
              <w:jc w:val="center"/>
              <w:textAlignment w:val="top"/>
              <w:rPr>
                <w:rFonts w:hint="eastAsia" w:ascii="微软雅黑" w:hAnsi="微软雅黑" w:eastAsia="微软雅黑" w:cs="微软雅黑"/>
                <w:sz w:val="20"/>
                <w:szCs w:val="20"/>
              </w:rPr>
            </w:pPr>
            <w:r>
              <w:rPr>
                <w:rFonts w:hint="eastAsia" w:ascii="微软雅黑" w:hAnsi="微软雅黑" w:eastAsia="微软雅黑" w:cs="微软雅黑"/>
                <w:kern w:val="0"/>
                <w:sz w:val="20"/>
                <w:szCs w:val="20"/>
                <w:lang w:bidi="ar"/>
              </w:rPr>
              <w:t>主要工作经历</w:t>
            </w:r>
          </w:p>
        </w:tc>
      </w:tr>
      <w:tr w14:paraId="1DBACE35">
        <w:tblPrEx>
          <w:tblCellMar>
            <w:top w:w="0" w:type="dxa"/>
            <w:left w:w="108" w:type="dxa"/>
            <w:bottom w:w="0" w:type="dxa"/>
            <w:right w:w="108" w:type="dxa"/>
          </w:tblCellMar>
        </w:tblPrEx>
        <w:trPr>
          <w:trHeight w:val="360" w:hRule="atLeast"/>
          <w:jc w:val="center"/>
        </w:trPr>
        <w:tc>
          <w:tcPr>
            <w:tcW w:w="1109"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6966410C">
            <w:pPr>
              <w:widowControl/>
              <w:jc w:val="center"/>
              <w:textAlignment w:val="top"/>
              <w:rPr>
                <w:rFonts w:hint="eastAsia" w:ascii="微软雅黑" w:hAnsi="微软雅黑" w:eastAsia="微软雅黑" w:cs="微软雅黑"/>
                <w:sz w:val="20"/>
                <w:szCs w:val="20"/>
              </w:rPr>
            </w:pPr>
            <w:r>
              <w:rPr>
                <w:rFonts w:hint="eastAsia" w:ascii="微软雅黑" w:hAnsi="微软雅黑" w:eastAsia="微软雅黑" w:cs="微软雅黑"/>
                <w:kern w:val="0"/>
                <w:sz w:val="20"/>
                <w:szCs w:val="20"/>
                <w:lang w:bidi="ar"/>
              </w:rPr>
              <w:t>时</w:t>
            </w:r>
            <w:r>
              <w:rPr>
                <w:rStyle w:val="35"/>
                <w:rFonts w:hint="default"/>
                <w:color w:val="auto"/>
                <w:lang w:bidi="ar"/>
              </w:rPr>
              <w:t xml:space="preserve"> 间</w:t>
            </w:r>
          </w:p>
        </w:tc>
        <w:tc>
          <w:tcPr>
            <w:tcW w:w="2103"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2FEC14B7">
            <w:pPr>
              <w:widowControl/>
              <w:jc w:val="center"/>
              <w:textAlignment w:val="top"/>
              <w:rPr>
                <w:rFonts w:hint="eastAsia" w:ascii="微软雅黑" w:hAnsi="微软雅黑" w:eastAsia="微软雅黑" w:cs="微软雅黑"/>
                <w:sz w:val="20"/>
                <w:szCs w:val="20"/>
              </w:rPr>
            </w:pPr>
            <w:r>
              <w:rPr>
                <w:rFonts w:hint="eastAsia" w:ascii="微软雅黑" w:hAnsi="微软雅黑" w:eastAsia="微软雅黑" w:cs="微软雅黑"/>
                <w:kern w:val="0"/>
                <w:sz w:val="20"/>
                <w:szCs w:val="20"/>
                <w:lang w:bidi="ar"/>
              </w:rPr>
              <w:t>参加过的类似项目</w:t>
            </w:r>
          </w:p>
        </w:tc>
        <w:tc>
          <w:tcPr>
            <w:tcW w:w="67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C37ACDE">
            <w:pPr>
              <w:widowControl/>
              <w:jc w:val="center"/>
              <w:textAlignment w:val="top"/>
              <w:rPr>
                <w:rFonts w:hint="eastAsia" w:ascii="微软雅黑" w:hAnsi="微软雅黑" w:eastAsia="微软雅黑" w:cs="微软雅黑"/>
                <w:sz w:val="20"/>
                <w:szCs w:val="20"/>
              </w:rPr>
            </w:pPr>
            <w:r>
              <w:rPr>
                <w:rFonts w:hint="eastAsia" w:ascii="微软雅黑" w:hAnsi="微软雅黑" w:eastAsia="微软雅黑" w:cs="微软雅黑"/>
                <w:kern w:val="0"/>
                <w:sz w:val="20"/>
                <w:szCs w:val="20"/>
                <w:lang w:bidi="ar"/>
              </w:rPr>
              <w:t>担任职务</w:t>
            </w:r>
          </w:p>
        </w:tc>
        <w:tc>
          <w:tcPr>
            <w:tcW w:w="111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43948117">
            <w:pPr>
              <w:widowControl/>
              <w:jc w:val="center"/>
              <w:textAlignment w:val="top"/>
              <w:rPr>
                <w:rFonts w:hint="eastAsia" w:ascii="微软雅黑" w:hAnsi="微软雅黑" w:eastAsia="微软雅黑" w:cs="微软雅黑"/>
                <w:sz w:val="20"/>
                <w:szCs w:val="20"/>
              </w:rPr>
            </w:pPr>
            <w:r>
              <w:rPr>
                <w:rFonts w:hint="eastAsia" w:ascii="微软雅黑" w:hAnsi="微软雅黑" w:eastAsia="微软雅黑" w:cs="微软雅黑"/>
                <w:kern w:val="0"/>
                <w:sz w:val="20"/>
                <w:szCs w:val="20"/>
                <w:lang w:bidi="ar"/>
              </w:rPr>
              <w:t>发包人及联系电话</w:t>
            </w:r>
          </w:p>
        </w:tc>
      </w:tr>
      <w:tr w14:paraId="41CBC4C5">
        <w:tblPrEx>
          <w:tblCellMar>
            <w:top w:w="0" w:type="dxa"/>
            <w:left w:w="108" w:type="dxa"/>
            <w:bottom w:w="0" w:type="dxa"/>
            <w:right w:w="108" w:type="dxa"/>
          </w:tblCellMar>
        </w:tblPrEx>
        <w:trPr>
          <w:trHeight w:val="360" w:hRule="atLeast"/>
          <w:jc w:val="center"/>
        </w:trPr>
        <w:tc>
          <w:tcPr>
            <w:tcW w:w="1109"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22AF2244">
            <w:pPr>
              <w:jc w:val="center"/>
              <w:rPr>
                <w:rFonts w:hint="eastAsia" w:ascii="微软雅黑" w:hAnsi="微软雅黑" w:eastAsia="微软雅黑" w:cs="微软雅黑"/>
                <w:sz w:val="20"/>
                <w:szCs w:val="20"/>
              </w:rPr>
            </w:pPr>
          </w:p>
        </w:tc>
        <w:tc>
          <w:tcPr>
            <w:tcW w:w="2103"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5E690F41">
            <w:pPr>
              <w:jc w:val="center"/>
              <w:rPr>
                <w:rFonts w:hint="eastAsia" w:ascii="微软雅黑" w:hAnsi="微软雅黑" w:eastAsia="微软雅黑" w:cs="微软雅黑"/>
                <w:sz w:val="20"/>
                <w:szCs w:val="20"/>
              </w:rPr>
            </w:pPr>
          </w:p>
        </w:tc>
        <w:tc>
          <w:tcPr>
            <w:tcW w:w="67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D6114C5">
            <w:pPr>
              <w:jc w:val="center"/>
              <w:rPr>
                <w:rFonts w:hint="eastAsia" w:ascii="微软雅黑" w:hAnsi="微软雅黑" w:eastAsia="微软雅黑" w:cs="微软雅黑"/>
                <w:sz w:val="20"/>
                <w:szCs w:val="20"/>
              </w:rPr>
            </w:pPr>
          </w:p>
        </w:tc>
        <w:tc>
          <w:tcPr>
            <w:tcW w:w="111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4754560">
            <w:pPr>
              <w:jc w:val="center"/>
              <w:rPr>
                <w:rFonts w:hint="eastAsia" w:ascii="微软雅黑" w:hAnsi="微软雅黑" w:eastAsia="微软雅黑" w:cs="微软雅黑"/>
                <w:sz w:val="20"/>
                <w:szCs w:val="20"/>
              </w:rPr>
            </w:pPr>
          </w:p>
        </w:tc>
      </w:tr>
      <w:tr w14:paraId="2361A7B3">
        <w:tblPrEx>
          <w:tblCellMar>
            <w:top w:w="0" w:type="dxa"/>
            <w:left w:w="108" w:type="dxa"/>
            <w:bottom w:w="0" w:type="dxa"/>
            <w:right w:w="108" w:type="dxa"/>
          </w:tblCellMar>
        </w:tblPrEx>
        <w:trPr>
          <w:trHeight w:val="360" w:hRule="atLeast"/>
          <w:jc w:val="center"/>
        </w:trPr>
        <w:tc>
          <w:tcPr>
            <w:tcW w:w="1109"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6DFB5887">
            <w:pPr>
              <w:jc w:val="center"/>
              <w:rPr>
                <w:rFonts w:hint="eastAsia" w:ascii="微软雅黑" w:hAnsi="微软雅黑" w:eastAsia="微软雅黑" w:cs="微软雅黑"/>
                <w:sz w:val="20"/>
                <w:szCs w:val="20"/>
              </w:rPr>
            </w:pPr>
          </w:p>
        </w:tc>
        <w:tc>
          <w:tcPr>
            <w:tcW w:w="2103"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73D27EBE">
            <w:pPr>
              <w:jc w:val="center"/>
              <w:rPr>
                <w:rFonts w:hint="eastAsia" w:ascii="微软雅黑" w:hAnsi="微软雅黑" w:eastAsia="微软雅黑" w:cs="微软雅黑"/>
                <w:sz w:val="20"/>
                <w:szCs w:val="20"/>
              </w:rPr>
            </w:pPr>
          </w:p>
        </w:tc>
        <w:tc>
          <w:tcPr>
            <w:tcW w:w="67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10C209">
            <w:pPr>
              <w:jc w:val="center"/>
              <w:rPr>
                <w:rFonts w:hint="eastAsia" w:ascii="微软雅黑" w:hAnsi="微软雅黑" w:eastAsia="微软雅黑" w:cs="微软雅黑"/>
                <w:sz w:val="20"/>
                <w:szCs w:val="20"/>
              </w:rPr>
            </w:pPr>
          </w:p>
        </w:tc>
        <w:tc>
          <w:tcPr>
            <w:tcW w:w="111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513D860A">
            <w:pPr>
              <w:jc w:val="center"/>
              <w:rPr>
                <w:rFonts w:hint="eastAsia" w:ascii="微软雅黑" w:hAnsi="微软雅黑" w:eastAsia="微软雅黑" w:cs="微软雅黑"/>
                <w:sz w:val="20"/>
                <w:szCs w:val="20"/>
              </w:rPr>
            </w:pPr>
          </w:p>
        </w:tc>
      </w:tr>
      <w:tr w14:paraId="3EB8D1D0">
        <w:tblPrEx>
          <w:tblCellMar>
            <w:top w:w="0" w:type="dxa"/>
            <w:left w:w="108" w:type="dxa"/>
            <w:bottom w:w="0" w:type="dxa"/>
            <w:right w:w="108" w:type="dxa"/>
          </w:tblCellMar>
        </w:tblPrEx>
        <w:trPr>
          <w:trHeight w:val="360" w:hRule="atLeast"/>
          <w:jc w:val="center"/>
        </w:trPr>
        <w:tc>
          <w:tcPr>
            <w:tcW w:w="1109"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2EDB4455">
            <w:pPr>
              <w:jc w:val="center"/>
              <w:rPr>
                <w:rFonts w:hint="eastAsia" w:ascii="微软雅黑" w:hAnsi="微软雅黑" w:eastAsia="微软雅黑" w:cs="微软雅黑"/>
                <w:sz w:val="20"/>
                <w:szCs w:val="20"/>
              </w:rPr>
            </w:pPr>
          </w:p>
        </w:tc>
        <w:tc>
          <w:tcPr>
            <w:tcW w:w="2103"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6B018F18">
            <w:pPr>
              <w:jc w:val="center"/>
              <w:rPr>
                <w:rFonts w:hint="eastAsia" w:ascii="微软雅黑" w:hAnsi="微软雅黑" w:eastAsia="微软雅黑" w:cs="微软雅黑"/>
                <w:sz w:val="20"/>
                <w:szCs w:val="20"/>
              </w:rPr>
            </w:pPr>
          </w:p>
        </w:tc>
        <w:tc>
          <w:tcPr>
            <w:tcW w:w="67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5E80EDF">
            <w:pPr>
              <w:jc w:val="center"/>
              <w:rPr>
                <w:rFonts w:hint="eastAsia" w:ascii="微软雅黑" w:hAnsi="微软雅黑" w:eastAsia="微软雅黑" w:cs="微软雅黑"/>
                <w:sz w:val="20"/>
                <w:szCs w:val="20"/>
              </w:rPr>
            </w:pPr>
          </w:p>
        </w:tc>
        <w:tc>
          <w:tcPr>
            <w:tcW w:w="111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72A038C5">
            <w:pPr>
              <w:jc w:val="center"/>
              <w:rPr>
                <w:rFonts w:hint="eastAsia" w:ascii="微软雅黑" w:hAnsi="微软雅黑" w:eastAsia="微软雅黑" w:cs="微软雅黑"/>
                <w:sz w:val="20"/>
                <w:szCs w:val="20"/>
              </w:rPr>
            </w:pPr>
          </w:p>
        </w:tc>
      </w:tr>
      <w:tr w14:paraId="60D690B1">
        <w:tblPrEx>
          <w:tblCellMar>
            <w:top w:w="0" w:type="dxa"/>
            <w:left w:w="108" w:type="dxa"/>
            <w:bottom w:w="0" w:type="dxa"/>
            <w:right w:w="108" w:type="dxa"/>
          </w:tblCellMar>
        </w:tblPrEx>
        <w:trPr>
          <w:trHeight w:val="330" w:hRule="atLeast"/>
          <w:jc w:val="center"/>
        </w:trPr>
        <w:tc>
          <w:tcPr>
            <w:tcW w:w="1109"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4DC08ECC">
            <w:pPr>
              <w:jc w:val="center"/>
              <w:rPr>
                <w:rFonts w:hint="eastAsia" w:ascii="微软雅黑" w:hAnsi="微软雅黑" w:eastAsia="微软雅黑" w:cs="微软雅黑"/>
                <w:sz w:val="20"/>
                <w:szCs w:val="20"/>
              </w:rPr>
            </w:pPr>
          </w:p>
        </w:tc>
        <w:tc>
          <w:tcPr>
            <w:tcW w:w="2103"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1B3A671A">
            <w:pPr>
              <w:jc w:val="center"/>
              <w:rPr>
                <w:rFonts w:hint="eastAsia" w:ascii="微软雅黑" w:hAnsi="微软雅黑" w:eastAsia="微软雅黑" w:cs="微软雅黑"/>
                <w:sz w:val="20"/>
                <w:szCs w:val="20"/>
              </w:rPr>
            </w:pPr>
          </w:p>
        </w:tc>
        <w:tc>
          <w:tcPr>
            <w:tcW w:w="67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0425FAA">
            <w:pPr>
              <w:jc w:val="center"/>
              <w:rPr>
                <w:rFonts w:hint="eastAsia" w:ascii="微软雅黑" w:hAnsi="微软雅黑" w:eastAsia="微软雅黑" w:cs="微软雅黑"/>
                <w:sz w:val="20"/>
                <w:szCs w:val="20"/>
              </w:rPr>
            </w:pPr>
          </w:p>
        </w:tc>
        <w:tc>
          <w:tcPr>
            <w:tcW w:w="111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72BFFCF5">
            <w:pPr>
              <w:jc w:val="center"/>
              <w:rPr>
                <w:rFonts w:hint="eastAsia" w:ascii="微软雅黑" w:hAnsi="微软雅黑" w:eastAsia="微软雅黑" w:cs="微软雅黑"/>
                <w:sz w:val="20"/>
                <w:szCs w:val="20"/>
              </w:rPr>
            </w:pPr>
          </w:p>
        </w:tc>
      </w:tr>
      <w:tr w14:paraId="52521CDB">
        <w:tblPrEx>
          <w:tblCellMar>
            <w:top w:w="0" w:type="dxa"/>
            <w:left w:w="108" w:type="dxa"/>
            <w:bottom w:w="0" w:type="dxa"/>
            <w:right w:w="108" w:type="dxa"/>
          </w:tblCellMar>
        </w:tblPrEx>
        <w:trPr>
          <w:trHeight w:val="330" w:hRule="atLeast"/>
          <w:jc w:val="center"/>
        </w:trPr>
        <w:tc>
          <w:tcPr>
            <w:tcW w:w="1109"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4151D958">
            <w:pPr>
              <w:jc w:val="center"/>
              <w:rPr>
                <w:rFonts w:hint="eastAsia" w:ascii="微软雅黑" w:hAnsi="微软雅黑" w:eastAsia="微软雅黑" w:cs="微软雅黑"/>
                <w:sz w:val="20"/>
                <w:szCs w:val="20"/>
              </w:rPr>
            </w:pPr>
          </w:p>
        </w:tc>
        <w:tc>
          <w:tcPr>
            <w:tcW w:w="2103"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7C5E3A5B">
            <w:pPr>
              <w:jc w:val="center"/>
              <w:rPr>
                <w:rFonts w:hint="eastAsia" w:ascii="微软雅黑" w:hAnsi="微软雅黑" w:eastAsia="微软雅黑" w:cs="微软雅黑"/>
                <w:sz w:val="20"/>
                <w:szCs w:val="20"/>
              </w:rPr>
            </w:pPr>
          </w:p>
        </w:tc>
        <w:tc>
          <w:tcPr>
            <w:tcW w:w="67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289EE58">
            <w:pPr>
              <w:jc w:val="center"/>
              <w:rPr>
                <w:rFonts w:hint="eastAsia" w:ascii="微软雅黑" w:hAnsi="微软雅黑" w:eastAsia="微软雅黑" w:cs="微软雅黑"/>
                <w:sz w:val="20"/>
                <w:szCs w:val="20"/>
              </w:rPr>
            </w:pPr>
          </w:p>
        </w:tc>
        <w:tc>
          <w:tcPr>
            <w:tcW w:w="111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82775ED">
            <w:pPr>
              <w:jc w:val="center"/>
              <w:rPr>
                <w:rFonts w:hint="eastAsia" w:ascii="微软雅黑" w:hAnsi="微软雅黑" w:eastAsia="微软雅黑" w:cs="微软雅黑"/>
                <w:sz w:val="20"/>
                <w:szCs w:val="20"/>
              </w:rPr>
            </w:pPr>
          </w:p>
        </w:tc>
      </w:tr>
      <w:tr w14:paraId="283F03B9">
        <w:tblPrEx>
          <w:tblCellMar>
            <w:top w:w="0" w:type="dxa"/>
            <w:left w:w="108" w:type="dxa"/>
            <w:bottom w:w="0" w:type="dxa"/>
            <w:right w:w="108" w:type="dxa"/>
          </w:tblCellMar>
        </w:tblPrEx>
        <w:trPr>
          <w:trHeight w:val="330" w:hRule="atLeast"/>
          <w:jc w:val="center"/>
        </w:trPr>
        <w:tc>
          <w:tcPr>
            <w:tcW w:w="1109"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7A4D068">
            <w:pPr>
              <w:jc w:val="center"/>
              <w:rPr>
                <w:rFonts w:hint="eastAsia" w:ascii="微软雅黑" w:hAnsi="微软雅黑" w:eastAsia="微软雅黑" w:cs="微软雅黑"/>
                <w:sz w:val="20"/>
                <w:szCs w:val="20"/>
              </w:rPr>
            </w:pPr>
          </w:p>
        </w:tc>
        <w:tc>
          <w:tcPr>
            <w:tcW w:w="2103"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1BE5A5EF">
            <w:pPr>
              <w:jc w:val="center"/>
              <w:rPr>
                <w:rFonts w:hint="eastAsia" w:ascii="微软雅黑" w:hAnsi="微软雅黑" w:eastAsia="微软雅黑" w:cs="微软雅黑"/>
                <w:sz w:val="20"/>
                <w:szCs w:val="20"/>
              </w:rPr>
            </w:pPr>
          </w:p>
        </w:tc>
        <w:tc>
          <w:tcPr>
            <w:tcW w:w="67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5ABC8A90">
            <w:pPr>
              <w:jc w:val="center"/>
              <w:rPr>
                <w:rFonts w:hint="eastAsia" w:ascii="微软雅黑" w:hAnsi="微软雅黑" w:eastAsia="微软雅黑" w:cs="微软雅黑"/>
                <w:sz w:val="20"/>
                <w:szCs w:val="20"/>
              </w:rPr>
            </w:pPr>
          </w:p>
        </w:tc>
        <w:tc>
          <w:tcPr>
            <w:tcW w:w="1116"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49F09BC9">
            <w:pPr>
              <w:jc w:val="center"/>
              <w:rPr>
                <w:rFonts w:hint="eastAsia" w:ascii="微软雅黑" w:hAnsi="微软雅黑" w:eastAsia="微软雅黑" w:cs="微软雅黑"/>
                <w:sz w:val="20"/>
                <w:szCs w:val="20"/>
              </w:rPr>
            </w:pPr>
          </w:p>
        </w:tc>
      </w:tr>
      <w:tr w14:paraId="7BDCB929">
        <w:tblPrEx>
          <w:tblCellMar>
            <w:top w:w="0" w:type="dxa"/>
            <w:left w:w="108" w:type="dxa"/>
            <w:bottom w:w="0" w:type="dxa"/>
            <w:right w:w="108" w:type="dxa"/>
          </w:tblCellMar>
        </w:tblPrEx>
        <w:trPr>
          <w:trHeight w:val="330" w:hRule="atLeast"/>
          <w:jc w:val="center"/>
        </w:trPr>
        <w:tc>
          <w:tcPr>
            <w:tcW w:w="1109"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4A173B3">
            <w:pPr>
              <w:jc w:val="center"/>
              <w:rPr>
                <w:rFonts w:hint="eastAsia" w:ascii="微软雅黑" w:hAnsi="微软雅黑" w:eastAsia="微软雅黑" w:cs="微软雅黑"/>
                <w:sz w:val="20"/>
                <w:szCs w:val="20"/>
              </w:rPr>
            </w:pPr>
          </w:p>
        </w:tc>
        <w:tc>
          <w:tcPr>
            <w:tcW w:w="2103" w:type="pct"/>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3F6028CD">
            <w:pPr>
              <w:jc w:val="center"/>
              <w:rPr>
                <w:rFonts w:hint="eastAsia" w:ascii="微软雅黑" w:hAnsi="微软雅黑" w:eastAsia="微软雅黑" w:cs="微软雅黑"/>
                <w:sz w:val="20"/>
                <w:szCs w:val="20"/>
              </w:rPr>
            </w:pPr>
          </w:p>
        </w:tc>
        <w:tc>
          <w:tcPr>
            <w:tcW w:w="671"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10E04C8B">
            <w:pPr>
              <w:jc w:val="center"/>
              <w:rPr>
                <w:rFonts w:hint="eastAsia" w:ascii="微软雅黑" w:hAnsi="微软雅黑" w:eastAsia="微软雅黑" w:cs="微软雅黑"/>
                <w:sz w:val="20"/>
                <w:szCs w:val="20"/>
              </w:rPr>
            </w:pPr>
          </w:p>
        </w:tc>
        <w:tc>
          <w:tcPr>
            <w:tcW w:w="111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2961DC">
            <w:pPr>
              <w:jc w:val="center"/>
              <w:rPr>
                <w:rFonts w:hint="eastAsia" w:ascii="宋体" w:hAnsi="宋体" w:cs="宋体"/>
                <w:sz w:val="22"/>
                <w:szCs w:val="22"/>
              </w:rPr>
            </w:pPr>
          </w:p>
        </w:tc>
      </w:tr>
    </w:tbl>
    <w:p w14:paraId="7C3769F1">
      <w:pPr>
        <w:autoSpaceDE w:val="0"/>
        <w:autoSpaceDN w:val="0"/>
        <w:adjustRightInd w:val="0"/>
        <w:spacing w:line="120" w:lineRule="exact"/>
        <w:jc w:val="left"/>
        <w:rPr>
          <w:kern w:val="0"/>
          <w:sz w:val="24"/>
        </w:rPr>
      </w:pPr>
    </w:p>
    <w:p w14:paraId="389BE5E7">
      <w:pPr>
        <w:pStyle w:val="31"/>
      </w:pPr>
    </w:p>
    <w:p w14:paraId="3B718C94">
      <w:pPr>
        <w:spacing w:line="360" w:lineRule="auto"/>
        <w:rPr>
          <w:rFonts w:hint="eastAsia" w:hAnsi="宋体" w:cs="仿宋"/>
          <w:szCs w:val="21"/>
        </w:rPr>
      </w:pPr>
      <w:r>
        <w:rPr>
          <w:rFonts w:hint="eastAsia" w:hAnsi="宋体" w:cs="仿宋"/>
          <w:szCs w:val="21"/>
        </w:rPr>
        <w:t>注：①项目负责人及各专业负责人均应填写；</w:t>
      </w:r>
    </w:p>
    <w:p w14:paraId="63D46946">
      <w:pPr>
        <w:spacing w:line="360" w:lineRule="auto"/>
        <w:ind w:firstLine="420" w:firstLineChars="200"/>
        <w:rPr>
          <w:rFonts w:hint="eastAsia" w:hAnsi="宋体" w:cs="仿宋"/>
          <w:szCs w:val="21"/>
        </w:rPr>
      </w:pPr>
      <w:r>
        <w:rPr>
          <w:rFonts w:hAnsi="宋体" w:cs="仿宋"/>
          <w:szCs w:val="21"/>
        </w:rPr>
        <w:t>②本表人员应与参加本项目的主要人员汇总表中所列人员相一致，附主要人员的</w:t>
      </w:r>
      <w:r>
        <w:rPr>
          <w:rFonts w:hAnsi="宋体" w:cs="仿宋"/>
          <w:b/>
          <w:szCs w:val="21"/>
        </w:rPr>
        <w:t>身份证、职称证</w:t>
      </w:r>
      <w:r>
        <w:rPr>
          <w:rFonts w:hint="eastAsia" w:ascii="宋体" w:hAnsi="宋体" w:cs="宋体"/>
          <w:szCs w:val="21"/>
        </w:rPr>
        <w:t>复印件</w:t>
      </w:r>
      <w:r>
        <w:rPr>
          <w:rFonts w:hAnsi="宋体" w:cs="仿宋"/>
          <w:szCs w:val="21"/>
        </w:rPr>
        <w:t>。</w:t>
      </w:r>
      <w:r>
        <w:rPr>
          <w:rFonts w:hint="eastAsia" w:ascii="宋体" w:hAnsi="宋体" w:cs="宋体"/>
          <w:szCs w:val="21"/>
        </w:rPr>
        <w:t>加盖公章。</w:t>
      </w:r>
    </w:p>
    <w:p w14:paraId="79C0FB51">
      <w:pPr>
        <w:pStyle w:val="3"/>
      </w:pPr>
    </w:p>
    <w:p w14:paraId="1A1AE651">
      <w:r>
        <w:br w:type="page"/>
      </w:r>
    </w:p>
    <w:p w14:paraId="7E737A6E">
      <w:pPr>
        <w:pStyle w:val="3"/>
      </w:pPr>
    </w:p>
    <w:p w14:paraId="0B711593">
      <w:pPr>
        <w:snapToGrid w:val="0"/>
        <w:spacing w:line="360" w:lineRule="auto"/>
        <w:jc w:val="center"/>
        <w:outlineLvl w:val="1"/>
        <w:rPr>
          <w:rFonts w:hint="eastAsia" w:ascii="黑体" w:hAnsi="黑体" w:eastAsia="黑体" w:cs="黑体"/>
          <w:sz w:val="36"/>
          <w:szCs w:val="36"/>
        </w:rPr>
      </w:pPr>
      <w:bookmarkStart w:id="65" w:name="_Toc11791"/>
      <w:bookmarkStart w:id="66" w:name="_Toc18160"/>
      <w:r>
        <w:rPr>
          <w:rFonts w:hint="eastAsia" w:ascii="黑体" w:hAnsi="黑体" w:eastAsia="黑体" w:cs="黑体"/>
          <w:sz w:val="36"/>
          <w:szCs w:val="36"/>
        </w:rPr>
        <w:t>五、服务方案</w:t>
      </w:r>
      <w:bookmarkEnd w:id="65"/>
      <w:bookmarkEnd w:id="66"/>
      <w:r>
        <w:rPr>
          <w:rFonts w:hint="eastAsia" w:ascii="黑体" w:hAnsi="黑体" w:eastAsia="黑体" w:cs="黑体"/>
          <w:sz w:val="36"/>
          <w:szCs w:val="36"/>
        </w:rPr>
        <w:t xml:space="preserve"> </w:t>
      </w:r>
    </w:p>
    <w:p w14:paraId="2604BA00">
      <w:pPr>
        <w:spacing w:line="520" w:lineRule="exact"/>
        <w:ind w:firstLine="640" w:firstLineChars="200"/>
        <w:jc w:val="left"/>
        <w:rPr>
          <w:rFonts w:hint="eastAsia" w:ascii="仿宋_GB2312" w:hAnsi="仿宋" w:eastAsia="仿宋_GB2312" w:cs="宋体"/>
          <w:bCs/>
          <w:kern w:val="0"/>
          <w:sz w:val="32"/>
          <w:szCs w:val="32"/>
        </w:rPr>
      </w:pPr>
      <w:r>
        <w:rPr>
          <w:rFonts w:hint="eastAsia" w:ascii="仿宋_GB2312" w:hAnsi="仿宋" w:eastAsia="仿宋_GB2312" w:cs="宋体"/>
          <w:bCs/>
          <w:kern w:val="0"/>
          <w:sz w:val="32"/>
          <w:szCs w:val="32"/>
        </w:rPr>
        <w:t>服务方案的工作思路需清晰，方案内容需详实，对相关法律法规的理解须熟悉透彻，对航道调查实施方案重点、难点和要点分析应准确到位，根据项目实际情况应有针对性的措施和服务承诺，能很好地满足采购需求。</w:t>
      </w:r>
    </w:p>
    <w:p w14:paraId="6505699F">
      <w:pPr>
        <w:pStyle w:val="3"/>
      </w:pPr>
    </w:p>
    <w:p w14:paraId="167B6465">
      <w:pPr>
        <w:pStyle w:val="3"/>
      </w:pPr>
    </w:p>
    <w:p w14:paraId="121A5886">
      <w:pPr>
        <w:pStyle w:val="3"/>
      </w:pPr>
    </w:p>
    <w:p w14:paraId="7A4A5B38">
      <w:pPr>
        <w:pStyle w:val="3"/>
      </w:pPr>
    </w:p>
    <w:p w14:paraId="25FC54D4">
      <w:pPr>
        <w:pStyle w:val="3"/>
      </w:pPr>
    </w:p>
    <w:p w14:paraId="1B3BFB77">
      <w:pPr>
        <w:pStyle w:val="3"/>
      </w:pPr>
    </w:p>
    <w:p w14:paraId="1C1F0180">
      <w:pPr>
        <w:pStyle w:val="3"/>
      </w:pPr>
    </w:p>
    <w:p w14:paraId="58770F8F">
      <w:pPr>
        <w:pStyle w:val="3"/>
      </w:pPr>
    </w:p>
    <w:p w14:paraId="54F30AD5">
      <w:pPr>
        <w:pStyle w:val="3"/>
      </w:pPr>
    </w:p>
    <w:p w14:paraId="37924255">
      <w:pPr>
        <w:pStyle w:val="3"/>
      </w:pPr>
    </w:p>
    <w:p w14:paraId="103DEBB2">
      <w:pPr>
        <w:pStyle w:val="3"/>
      </w:pPr>
    </w:p>
    <w:p w14:paraId="23DC1876">
      <w:pPr>
        <w:pStyle w:val="3"/>
      </w:pPr>
    </w:p>
    <w:p w14:paraId="350FACE9">
      <w:pPr>
        <w:pStyle w:val="3"/>
      </w:pPr>
    </w:p>
    <w:p w14:paraId="4B5BAF18">
      <w:pPr>
        <w:pStyle w:val="3"/>
      </w:pPr>
    </w:p>
    <w:p w14:paraId="7A7F9F05">
      <w:pPr>
        <w:pStyle w:val="3"/>
      </w:pPr>
    </w:p>
    <w:p w14:paraId="48F1D7B2">
      <w:pPr>
        <w:pStyle w:val="3"/>
      </w:pPr>
    </w:p>
    <w:p w14:paraId="799CFCF6">
      <w:pPr>
        <w:pStyle w:val="3"/>
      </w:pPr>
    </w:p>
    <w:p w14:paraId="56FE2527">
      <w:pPr>
        <w:pStyle w:val="3"/>
      </w:pPr>
    </w:p>
    <w:p w14:paraId="2F1B4668">
      <w:pPr>
        <w:pStyle w:val="3"/>
      </w:pPr>
    </w:p>
    <w:p w14:paraId="49997CAB">
      <w:pPr>
        <w:pStyle w:val="3"/>
      </w:pPr>
    </w:p>
    <w:p w14:paraId="307981A9">
      <w:pPr>
        <w:pStyle w:val="3"/>
      </w:pPr>
    </w:p>
    <w:p w14:paraId="526E17F5">
      <w:pPr>
        <w:pStyle w:val="3"/>
      </w:pPr>
    </w:p>
    <w:p w14:paraId="0DB6DB6D">
      <w:pPr>
        <w:pStyle w:val="3"/>
      </w:pPr>
    </w:p>
    <w:p w14:paraId="535AD2A6">
      <w:pPr>
        <w:pStyle w:val="3"/>
      </w:pPr>
    </w:p>
    <w:p w14:paraId="05A812A4">
      <w:pPr>
        <w:pStyle w:val="3"/>
      </w:pPr>
    </w:p>
    <w:p w14:paraId="48AE65DE">
      <w:pPr>
        <w:pStyle w:val="3"/>
      </w:pPr>
    </w:p>
    <w:p w14:paraId="72AB481C">
      <w:pPr>
        <w:pStyle w:val="3"/>
      </w:pPr>
    </w:p>
    <w:p w14:paraId="582068FA">
      <w:pPr>
        <w:pStyle w:val="3"/>
      </w:pPr>
    </w:p>
    <w:p w14:paraId="3D4B8830">
      <w:pPr>
        <w:widowControl/>
        <w:jc w:val="left"/>
        <w:rPr>
          <w:rFonts w:hint="eastAsia" w:ascii="黑体" w:hAnsi="黑体" w:eastAsia="黑体" w:cs="黑体"/>
          <w:sz w:val="36"/>
          <w:szCs w:val="36"/>
        </w:rPr>
      </w:pPr>
      <w:bookmarkStart w:id="67" w:name="_Toc24713"/>
      <w:bookmarkStart w:id="68" w:name="_Toc21629"/>
      <w:r>
        <w:rPr>
          <w:rFonts w:hint="eastAsia" w:ascii="黑体" w:hAnsi="黑体" w:eastAsia="黑体" w:cs="黑体"/>
          <w:sz w:val="36"/>
          <w:szCs w:val="36"/>
        </w:rPr>
        <w:br w:type="page"/>
      </w:r>
    </w:p>
    <w:p w14:paraId="7331A317">
      <w:pPr>
        <w:snapToGrid w:val="0"/>
        <w:spacing w:line="360" w:lineRule="auto"/>
        <w:jc w:val="center"/>
        <w:outlineLvl w:val="1"/>
        <w:rPr>
          <w:rFonts w:hint="eastAsia" w:ascii="黑体" w:hAnsi="黑体" w:eastAsia="黑体" w:cs="黑体"/>
          <w:sz w:val="36"/>
          <w:szCs w:val="36"/>
        </w:rPr>
      </w:pPr>
      <w:r>
        <w:rPr>
          <w:rFonts w:hint="eastAsia" w:ascii="黑体" w:hAnsi="黑体" w:eastAsia="黑体" w:cs="黑体"/>
          <w:sz w:val="36"/>
          <w:szCs w:val="36"/>
        </w:rPr>
        <w:t>六、其他资料</w:t>
      </w:r>
      <w:bookmarkEnd w:id="67"/>
      <w:bookmarkEnd w:id="68"/>
    </w:p>
    <w:p w14:paraId="7FFBA009">
      <w:pPr>
        <w:pStyle w:val="3"/>
      </w:pPr>
    </w:p>
    <w:p w14:paraId="658BEE14">
      <w:pPr>
        <w:pStyle w:val="3"/>
      </w:pPr>
    </w:p>
    <w:p w14:paraId="23B47408">
      <w:pPr>
        <w:autoSpaceDE w:val="0"/>
        <w:autoSpaceDN w:val="0"/>
        <w:spacing w:line="360" w:lineRule="auto"/>
        <w:ind w:firstLine="4080" w:firstLineChars="1700"/>
        <w:rPr>
          <w:rFonts w:hint="eastAsia" w:ascii="宋体" w:hAnsi="宋体" w:cs="宋体"/>
          <w:kern w:val="0"/>
          <w:sz w:val="24"/>
          <w:lang w:val="zh-CN"/>
        </w:rPr>
        <w:sectPr>
          <w:pgSz w:w="11910" w:h="16840"/>
          <w:pgMar w:top="1340" w:right="1500" w:bottom="280" w:left="1680" w:header="720" w:footer="720" w:gutter="0"/>
          <w:cols w:space="720" w:num="1"/>
        </w:sectPr>
      </w:pPr>
    </w:p>
    <w:p w14:paraId="11A2A463">
      <w:pPr>
        <w:pStyle w:val="6"/>
        <w:jc w:val="center"/>
      </w:pPr>
      <w:bookmarkStart w:id="69" w:name="_Toc10947"/>
      <w:bookmarkStart w:id="70" w:name="_Toc5554"/>
      <w:r>
        <w:rPr>
          <w:rFonts w:hint="eastAsia"/>
        </w:rPr>
        <w:t xml:space="preserve">第六章 </w:t>
      </w:r>
      <w:r>
        <w:rPr>
          <w:rFonts w:ascii="宋体" w:hAnsi="宋体" w:cs="宋体"/>
        </w:rPr>
        <w:t>合同</w:t>
      </w:r>
      <w:r>
        <w:rPr>
          <w:rFonts w:hint="eastAsia" w:ascii="宋体" w:hAnsi="宋体" w:cs="宋体"/>
        </w:rPr>
        <w:t>格式</w:t>
      </w:r>
      <w:r>
        <w:rPr>
          <w:rFonts w:ascii="宋体" w:hAnsi="宋体" w:cs="宋体"/>
        </w:rPr>
        <w:t>及主要条款</w:t>
      </w:r>
      <w:bookmarkEnd w:id="69"/>
      <w:bookmarkEnd w:id="70"/>
    </w:p>
    <w:p w14:paraId="5F52D1EE">
      <w:bookmarkStart w:id="71" w:name="_Toc89866132"/>
      <w:bookmarkStart w:id="72" w:name="_Toc4777"/>
      <w:bookmarkStart w:id="73" w:name="_Toc6647"/>
      <w:bookmarkStart w:id="74" w:name="_Toc24135"/>
      <w:bookmarkStart w:id="75" w:name="_Toc15286"/>
      <w:bookmarkStart w:id="76" w:name="_Toc38903735"/>
    </w:p>
    <w:p w14:paraId="31F95ACF"/>
    <w:p w14:paraId="005B727E"/>
    <w:p w14:paraId="7FE35361"/>
    <w:p w14:paraId="0457ADA3"/>
    <w:p w14:paraId="62EC8008"/>
    <w:p w14:paraId="01BC50A7"/>
    <w:p w14:paraId="00366286"/>
    <w:p w14:paraId="0EDAA50E"/>
    <w:p w14:paraId="2D753E05"/>
    <w:p w14:paraId="007B45B8"/>
    <w:p w14:paraId="2A183AAE"/>
    <w:p w14:paraId="23FE8E14"/>
    <w:p w14:paraId="19AC07EA"/>
    <w:p w14:paraId="72C9E933"/>
    <w:p w14:paraId="6931A955"/>
    <w:p w14:paraId="0D949FF5"/>
    <w:p w14:paraId="67284D49">
      <w:pPr>
        <w:widowControl/>
        <w:jc w:val="left"/>
        <w:rPr>
          <w:rFonts w:hint="eastAsia" w:ascii="宋体" w:hAnsi="宋体" w:cs="宋体"/>
          <w:sz w:val="32"/>
          <w:szCs w:val="32"/>
        </w:rPr>
      </w:pPr>
      <w:r>
        <w:rPr>
          <w:rFonts w:hint="eastAsia" w:ascii="宋体" w:hAnsi="宋体" w:cs="宋体"/>
          <w:sz w:val="32"/>
          <w:szCs w:val="32"/>
        </w:rPr>
        <w:br w:type="page"/>
      </w:r>
    </w:p>
    <w:p w14:paraId="3472E03D">
      <w:pPr>
        <w:rPr>
          <w:rFonts w:hint="eastAsia" w:ascii="宋体" w:hAnsi="宋体" w:cs="宋体"/>
          <w:sz w:val="32"/>
          <w:szCs w:val="32"/>
        </w:rPr>
      </w:pPr>
      <w:r>
        <w:rPr>
          <w:rFonts w:hint="eastAsia" w:ascii="宋体" w:hAnsi="宋体" w:cs="宋体"/>
          <w:sz w:val="32"/>
          <w:szCs w:val="32"/>
        </w:rPr>
        <w:t xml:space="preserve">                 </w:t>
      </w:r>
    </w:p>
    <w:p w14:paraId="3F692FDF">
      <w:pPr>
        <w:rPr>
          <w:rFonts w:hint="eastAsia" w:ascii="宋体" w:hAnsi="宋体" w:cs="宋体"/>
          <w:b/>
          <w:bCs/>
          <w:sz w:val="32"/>
          <w:szCs w:val="32"/>
        </w:rPr>
      </w:pPr>
    </w:p>
    <w:p w14:paraId="1B112E5A">
      <w:pPr>
        <w:jc w:val="center"/>
        <w:rPr>
          <w:rFonts w:hint="eastAsia" w:ascii="宋体" w:hAnsi="宋体" w:cs="宋体"/>
          <w:sz w:val="52"/>
          <w:szCs w:val="52"/>
        </w:rPr>
      </w:pPr>
      <w:r>
        <w:rPr>
          <w:rFonts w:hint="eastAsia" w:ascii="宋体" w:hAnsi="宋体" w:cs="宋体"/>
          <w:b/>
          <w:bCs/>
          <w:sz w:val="52"/>
          <w:szCs w:val="52"/>
        </w:rPr>
        <w:t>合 同</w:t>
      </w:r>
    </w:p>
    <w:p w14:paraId="1C32E670">
      <w:pPr>
        <w:rPr>
          <w:rFonts w:hint="eastAsia" w:ascii="宋体" w:hAnsi="宋体" w:cs="宋体"/>
          <w:sz w:val="32"/>
          <w:szCs w:val="32"/>
        </w:rPr>
      </w:pPr>
    </w:p>
    <w:p w14:paraId="29194B4D">
      <w:pPr>
        <w:rPr>
          <w:rFonts w:hint="eastAsia" w:ascii="宋体" w:hAnsi="宋体" w:cs="宋体"/>
          <w:sz w:val="32"/>
          <w:szCs w:val="32"/>
        </w:rPr>
      </w:pPr>
    </w:p>
    <w:p w14:paraId="3437F3C8">
      <w:pPr>
        <w:rPr>
          <w:rFonts w:hint="eastAsia" w:ascii="宋体" w:hAnsi="宋体" w:cs="宋体"/>
          <w:sz w:val="32"/>
          <w:szCs w:val="32"/>
        </w:rPr>
      </w:pPr>
    </w:p>
    <w:p w14:paraId="629CE40E">
      <w:pPr>
        <w:tabs>
          <w:tab w:val="left" w:pos="7350"/>
        </w:tabs>
        <w:spacing w:line="360" w:lineRule="auto"/>
        <w:rPr>
          <w:rFonts w:hint="eastAsia" w:ascii="宋体" w:hAnsi="宋体" w:cs="宋体"/>
          <w:sz w:val="32"/>
          <w:szCs w:val="32"/>
          <w:u w:val="single"/>
        </w:rPr>
      </w:pPr>
      <w:r>
        <w:rPr>
          <w:rFonts w:hint="eastAsia" w:ascii="宋体" w:hAnsi="宋体" w:cs="宋体"/>
          <w:sz w:val="32"/>
          <w:szCs w:val="32"/>
        </w:rPr>
        <w:t>项目名称：</w:t>
      </w:r>
      <w:r>
        <w:rPr>
          <w:rFonts w:hint="eastAsia" w:ascii="宋体" w:hAnsi="宋体" w:cs="宋体"/>
          <w:sz w:val="32"/>
          <w:szCs w:val="32"/>
          <w:lang w:eastAsia="zh-CN"/>
        </w:rPr>
        <w:t>新增内河航道</w:t>
      </w:r>
      <w:r>
        <w:rPr>
          <w:rFonts w:hint="eastAsia" w:ascii="宋体" w:hAnsi="宋体" w:cs="宋体"/>
          <w:sz w:val="32"/>
          <w:szCs w:val="32"/>
        </w:rPr>
        <w:t>普查工作</w:t>
      </w:r>
    </w:p>
    <w:p w14:paraId="05F57970">
      <w:pPr>
        <w:tabs>
          <w:tab w:val="left" w:pos="7350"/>
        </w:tabs>
        <w:rPr>
          <w:rFonts w:hint="eastAsia" w:ascii="宋体" w:hAnsi="宋体" w:cs="宋体"/>
          <w:sz w:val="32"/>
          <w:szCs w:val="32"/>
        </w:rPr>
      </w:pPr>
      <w:r>
        <w:rPr>
          <w:rFonts w:hint="eastAsia" w:ascii="宋体" w:hAnsi="宋体" w:cs="宋体"/>
          <w:sz w:val="32"/>
          <w:szCs w:val="32"/>
        </w:rPr>
        <w:t xml:space="preserve"> </w:t>
      </w:r>
    </w:p>
    <w:p w14:paraId="104E683C">
      <w:pPr>
        <w:tabs>
          <w:tab w:val="left" w:pos="7350"/>
        </w:tabs>
        <w:rPr>
          <w:rFonts w:hint="eastAsia" w:ascii="宋体" w:hAnsi="宋体" w:cs="宋体"/>
          <w:sz w:val="32"/>
          <w:szCs w:val="32"/>
        </w:rPr>
      </w:pPr>
    </w:p>
    <w:p w14:paraId="2BC84AFD">
      <w:pPr>
        <w:tabs>
          <w:tab w:val="left" w:pos="1260"/>
        </w:tabs>
        <w:ind w:firstLine="320" w:firstLineChars="100"/>
        <w:rPr>
          <w:rFonts w:hint="eastAsia" w:ascii="宋体" w:hAnsi="宋体" w:cs="宋体"/>
          <w:spacing w:val="48"/>
          <w:sz w:val="32"/>
          <w:szCs w:val="32"/>
        </w:rPr>
      </w:pPr>
      <w:r>
        <w:rPr>
          <w:rFonts w:hint="eastAsia" w:ascii="宋体" w:hAnsi="宋体" w:cs="宋体"/>
          <w:sz w:val="32"/>
          <w:szCs w:val="32"/>
        </w:rPr>
        <w:t>甲 方</w:t>
      </w:r>
    </w:p>
    <w:p w14:paraId="7FA98C06">
      <w:pPr>
        <w:rPr>
          <w:rFonts w:hint="eastAsia" w:ascii="宋体" w:hAnsi="宋体" w:eastAsia="宋体" w:cs="宋体"/>
          <w:sz w:val="32"/>
          <w:szCs w:val="32"/>
          <w:lang w:eastAsia="zh-CN"/>
        </w:rPr>
      </w:pPr>
      <w:r>
        <w:rPr>
          <w:rFonts w:ascii="宋体" w:hAnsi="宋体" w:cs="宋体"/>
        </w:rPr>
        <mc:AlternateContent>
          <mc:Choice Requires="wps">
            <w:drawing>
              <wp:anchor distT="0" distB="0" distL="114300" distR="114300" simplePos="0" relativeHeight="251660288" behindDoc="0" locked="0" layoutInCell="1" allowOverlap="1">
                <wp:simplePos x="0" y="0"/>
                <wp:positionH relativeFrom="column">
                  <wp:posOffset>861060</wp:posOffset>
                </wp:positionH>
                <wp:positionV relativeFrom="paragraph">
                  <wp:posOffset>396240</wp:posOffset>
                </wp:positionV>
                <wp:extent cx="3600450" cy="0"/>
                <wp:effectExtent l="0" t="4445" r="0" b="5080"/>
                <wp:wrapNone/>
                <wp:docPr id="3" name="直接连接符 2"/>
                <wp:cNvGraphicFramePr/>
                <a:graphic xmlns:a="http://schemas.openxmlformats.org/drawingml/2006/main">
                  <a:graphicData uri="http://schemas.microsoft.com/office/word/2010/wordprocessingShape">
                    <wps:wsp>
                      <wps:cNvCnPr/>
                      <wps:spPr>
                        <a:xfrm>
                          <a:off x="0" y="0"/>
                          <a:ext cx="360045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接连接符 2" o:spid="_x0000_s1026" o:spt="20" style="position:absolute;left:0pt;margin-left:67.8pt;margin-top:31.2pt;height:0pt;width:283.5pt;z-index:251660288;mso-width-relative:page;mso-height-relative:page;" filled="f" stroked="t" coordsize="21600,21600" o:gfxdata="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GyM7&#10;udUAAAAJAQAADwAAAAAAAAABACAAAAAiAAAAZHJzL2Rvd25yZXYueG1sUEsBAhQAFAAAAAgAh07i&#10;QOMO3WTsAQAA2AMAAA4AAAAAAAAAAQAgAAAAJAEAAGRycy9lMm9Eb2MueG1sUEsFBgAAAAAGAAYA&#10;WQEAAIIFAAAAAA==&#10;">
                <v:fill on="f" focussize="0,0"/>
                <v:stroke color="#000000" joinstyle="round"/>
                <v:imagedata o:title=""/>
                <o:lock v:ext="edit" aspectratio="f"/>
              </v:line>
            </w:pict>
          </mc:Fallback>
        </mc:AlternateContent>
      </w:r>
      <w:r>
        <w:rPr>
          <w:rFonts w:hint="eastAsia" w:ascii="宋体" w:hAnsi="宋体" w:cs="宋体"/>
          <w:sz w:val="32"/>
          <w:szCs w:val="32"/>
        </w:rPr>
        <w:t xml:space="preserve">          广西壮族自治区</w:t>
      </w:r>
      <w:r>
        <w:rPr>
          <w:rFonts w:hint="eastAsia" w:ascii="宋体" w:hAnsi="宋体" w:cs="宋体"/>
          <w:sz w:val="32"/>
          <w:szCs w:val="32"/>
          <w:lang w:eastAsia="zh-CN"/>
        </w:rPr>
        <w:t>水运发展中心</w:t>
      </w:r>
    </w:p>
    <w:p w14:paraId="5359F668">
      <w:pPr>
        <w:ind w:firstLine="320" w:firstLineChars="100"/>
        <w:rPr>
          <w:rFonts w:hint="eastAsia" w:ascii="宋体" w:hAnsi="宋体" w:cs="宋体"/>
          <w:sz w:val="32"/>
          <w:szCs w:val="32"/>
        </w:rPr>
      </w:pPr>
    </w:p>
    <w:p w14:paraId="0458384D">
      <w:pPr>
        <w:ind w:firstLine="320" w:firstLineChars="100"/>
        <w:rPr>
          <w:rFonts w:hint="eastAsia" w:ascii="宋体" w:hAnsi="宋体" w:cs="宋体"/>
          <w:sz w:val="32"/>
          <w:szCs w:val="32"/>
        </w:rPr>
      </w:pPr>
      <w:r>
        <w:rPr>
          <w:rFonts w:hint="eastAsia" w:ascii="宋体" w:hAnsi="宋体" w:cs="宋体"/>
          <w:sz w:val="32"/>
          <w:szCs w:val="32"/>
        </w:rPr>
        <w:t>乙 方</w:t>
      </w:r>
    </w:p>
    <w:p w14:paraId="50B97EAD">
      <w:pPr>
        <w:rPr>
          <w:rFonts w:hint="eastAsia" w:ascii="宋体" w:hAnsi="宋体" w:cs="宋体"/>
          <w:sz w:val="32"/>
          <w:szCs w:val="32"/>
        </w:rPr>
      </w:pPr>
      <w:r>
        <w:rPr>
          <w:rFonts w:hint="eastAsia" w:ascii="宋体" w:hAnsi="宋体" w:cs="宋体"/>
          <w:sz w:val="32"/>
          <w:szCs w:val="32"/>
        </w:rPr>
        <w:t xml:space="preserve">   </w:t>
      </w:r>
      <w:r>
        <w:rPr>
          <w:rFonts w:hint="eastAsia" w:ascii="宋体" w:hAnsi="宋体" w:cs="宋体"/>
          <w:b/>
          <w:bCs/>
          <w:sz w:val="32"/>
          <w:szCs w:val="32"/>
        </w:rPr>
        <w:t xml:space="preserve">                    </w:t>
      </w:r>
    </w:p>
    <w:p w14:paraId="2C04FEA7">
      <w:pPr>
        <w:rPr>
          <w:rFonts w:hint="eastAsia" w:ascii="宋体" w:hAnsi="宋体" w:cs="宋体"/>
          <w:sz w:val="32"/>
          <w:szCs w:val="32"/>
        </w:rPr>
      </w:pPr>
      <w:r>
        <w:rPr>
          <w:rFonts w:ascii="宋体" w:hAnsi="宋体" w:cs="宋体"/>
        </w:rPr>
        <mc:AlternateContent>
          <mc:Choice Requires="wps">
            <w:drawing>
              <wp:anchor distT="0" distB="0" distL="114300" distR="114300" simplePos="0" relativeHeight="251661312" behindDoc="0" locked="0" layoutInCell="1" allowOverlap="1">
                <wp:simplePos x="0" y="0"/>
                <wp:positionH relativeFrom="column">
                  <wp:posOffset>955675</wp:posOffset>
                </wp:positionH>
                <wp:positionV relativeFrom="paragraph">
                  <wp:posOffset>9525</wp:posOffset>
                </wp:positionV>
                <wp:extent cx="3667125" cy="0"/>
                <wp:effectExtent l="0" t="4445" r="0" b="5080"/>
                <wp:wrapNone/>
                <wp:docPr id="2" name="直接连接符 1"/>
                <wp:cNvGraphicFramePr/>
                <a:graphic xmlns:a="http://schemas.openxmlformats.org/drawingml/2006/main">
                  <a:graphicData uri="http://schemas.microsoft.com/office/word/2010/wordprocessingShape">
                    <wps:wsp>
                      <wps:cNvCnPr/>
                      <wps:spPr>
                        <a:xfrm>
                          <a:off x="0" y="0"/>
                          <a:ext cx="366712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接连接符 1" o:spid="_x0000_s1026" o:spt="20" style="position:absolute;left:0pt;margin-left:75.25pt;margin-top:0.75pt;height:0pt;width:288.75pt;z-index:251661312;mso-width-relative:page;mso-height-relative:page;" filled="f" stroked="t" coordsize="21600,21600" o:gfxdata="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D3r83dMA&#10;AAAHAQAADwAAAAAAAAABACAAAAAiAAAAZHJzL2Rvd25yZXYueG1sUEsBAhQAFAAAAAgAh07iQHVB&#10;XSjrAQAA2AMAAA4AAAAAAAAAAQAgAAAAIgEAAGRycy9lMm9Eb2MueG1sUEsFBgAAAAAGAAYAWQEA&#10;AH8FAAAAAA==&#10;">
                <v:fill on="f" focussize="0,0"/>
                <v:stroke color="#000000" joinstyle="round"/>
                <v:imagedata o:title=""/>
                <o:lock v:ext="edit" aspectratio="f"/>
              </v:line>
            </w:pict>
          </mc:Fallback>
        </mc:AlternateContent>
      </w:r>
    </w:p>
    <w:p w14:paraId="34434F3F">
      <w:pPr>
        <w:rPr>
          <w:rFonts w:hint="eastAsia" w:ascii="宋体" w:hAnsi="宋体" w:cs="宋体"/>
          <w:sz w:val="32"/>
          <w:szCs w:val="32"/>
        </w:rPr>
      </w:pPr>
    </w:p>
    <w:p w14:paraId="380D7E88">
      <w:pPr>
        <w:rPr>
          <w:rFonts w:hint="eastAsia" w:ascii="宋体" w:hAnsi="宋体" w:cs="宋体"/>
          <w:sz w:val="32"/>
          <w:szCs w:val="32"/>
        </w:rPr>
      </w:pPr>
    </w:p>
    <w:p w14:paraId="594B91D6">
      <w:pPr>
        <w:rPr>
          <w:rFonts w:hint="eastAsia" w:ascii="宋体" w:hAnsi="宋体" w:cs="宋体"/>
          <w:sz w:val="32"/>
          <w:szCs w:val="32"/>
        </w:rPr>
      </w:pPr>
    </w:p>
    <w:p w14:paraId="5193B7CD">
      <w:pPr>
        <w:tabs>
          <w:tab w:val="left" w:pos="2280"/>
        </w:tabs>
        <w:ind w:firstLine="1920" w:firstLineChars="600"/>
        <w:rPr>
          <w:rFonts w:hint="eastAsia" w:ascii="宋体" w:hAnsi="宋体" w:cs="宋体"/>
          <w:sz w:val="32"/>
          <w:szCs w:val="32"/>
        </w:rPr>
      </w:pPr>
      <w:r>
        <w:rPr>
          <w:rFonts w:hint="eastAsia" w:ascii="宋体" w:hAnsi="宋体" w:cs="宋体"/>
          <w:sz w:val="32"/>
          <w:szCs w:val="32"/>
        </w:rPr>
        <w:t>签订地点：南宁市</w:t>
      </w:r>
    </w:p>
    <w:p w14:paraId="78CC9E84">
      <w:pPr>
        <w:tabs>
          <w:tab w:val="left" w:pos="2280"/>
        </w:tabs>
        <w:ind w:firstLine="1920" w:firstLineChars="600"/>
        <w:rPr>
          <w:rFonts w:hint="eastAsia" w:ascii="宋体" w:hAnsi="宋体" w:cs="宋体"/>
          <w:sz w:val="32"/>
          <w:szCs w:val="32"/>
        </w:rPr>
      </w:pPr>
      <w:r>
        <w:rPr>
          <w:rFonts w:hint="eastAsia" w:ascii="宋体" w:hAnsi="宋体" w:cs="宋体"/>
          <w:sz w:val="32"/>
          <w:szCs w:val="32"/>
        </w:rPr>
        <w:t>签订日期：2026年  月  日</w:t>
      </w:r>
    </w:p>
    <w:p w14:paraId="37935C73">
      <w:pPr>
        <w:tabs>
          <w:tab w:val="left" w:pos="9030"/>
        </w:tabs>
        <w:spacing w:line="360" w:lineRule="auto"/>
        <w:ind w:left="315" w:leftChars="150" w:right="210" w:rightChars="100" w:firstLine="640" w:firstLineChars="200"/>
        <w:rPr>
          <w:rFonts w:hint="eastAsia" w:ascii="宋体" w:hAnsi="宋体" w:cs="宋体"/>
          <w:sz w:val="24"/>
        </w:rPr>
      </w:pPr>
      <w:r>
        <w:rPr>
          <w:rFonts w:hint="eastAsia" w:ascii="宋体" w:hAnsi="宋体" w:cs="宋体"/>
          <w:sz w:val="32"/>
          <w:szCs w:val="32"/>
        </w:rPr>
        <w:br w:type="page"/>
      </w:r>
    </w:p>
    <w:p w14:paraId="28481FA8">
      <w:pPr>
        <w:spacing w:line="360" w:lineRule="auto"/>
        <w:ind w:firstLine="480" w:firstLineChars="200"/>
        <w:jc w:val="left"/>
        <w:rPr>
          <w:rFonts w:hint="eastAsia" w:ascii="宋体" w:hAnsi="宋体" w:cs="宋体"/>
          <w:snapToGrid w:val="0"/>
          <w:kern w:val="0"/>
          <w:sz w:val="24"/>
        </w:rPr>
      </w:pPr>
      <w:r>
        <w:rPr>
          <w:rFonts w:hint="eastAsia" w:ascii="宋体" w:hAnsi="宋体" w:cs="宋体"/>
          <w:snapToGrid w:val="0"/>
          <w:kern w:val="0"/>
          <w:sz w:val="24"/>
        </w:rPr>
        <w:t>甲方：</w:t>
      </w:r>
      <w:r>
        <w:rPr>
          <w:rFonts w:hint="eastAsia" w:ascii="宋体" w:hAnsi="宋体" w:cs="宋体"/>
          <w:snapToGrid w:val="0"/>
          <w:kern w:val="0"/>
          <w:sz w:val="24"/>
          <w:u w:val="single"/>
        </w:rPr>
        <w:t>广西壮族自治区</w:t>
      </w:r>
      <w:r>
        <w:rPr>
          <w:rFonts w:hint="eastAsia" w:ascii="宋体" w:hAnsi="宋体" w:cs="宋体"/>
          <w:snapToGrid w:val="0"/>
          <w:kern w:val="0"/>
          <w:sz w:val="24"/>
          <w:u w:val="single"/>
          <w:lang w:eastAsia="zh-CN"/>
        </w:rPr>
        <w:t>水运发展中心</w:t>
      </w:r>
      <w:r>
        <w:rPr>
          <w:rFonts w:hint="eastAsia" w:ascii="宋体" w:hAnsi="宋体" w:cs="宋体"/>
          <w:snapToGrid w:val="0"/>
          <w:kern w:val="0"/>
          <w:sz w:val="24"/>
          <w:u w:val="single"/>
        </w:rPr>
        <w:t xml:space="preserve">  </w:t>
      </w:r>
    </w:p>
    <w:p w14:paraId="58FEE0DB">
      <w:pPr>
        <w:widowControl/>
        <w:spacing w:after="75" w:line="360" w:lineRule="auto"/>
        <w:ind w:firstLine="480" w:firstLineChars="200"/>
        <w:jc w:val="left"/>
        <w:rPr>
          <w:rFonts w:hint="eastAsia" w:ascii="宋体" w:hAnsi="宋体" w:cs="宋体"/>
          <w:snapToGrid w:val="0"/>
          <w:kern w:val="0"/>
          <w:sz w:val="24"/>
        </w:rPr>
      </w:pPr>
      <w:r>
        <w:rPr>
          <w:rFonts w:hint="eastAsia" w:ascii="宋体" w:hAnsi="宋体" w:cs="宋体"/>
          <w:snapToGrid w:val="0"/>
          <w:kern w:val="0"/>
          <w:sz w:val="24"/>
        </w:rPr>
        <w:t>乙方：</w:t>
      </w:r>
      <w:r>
        <w:rPr>
          <w:rFonts w:hint="eastAsia" w:ascii="宋体" w:hAnsi="宋体" w:cs="宋体"/>
          <w:snapToGrid w:val="0"/>
          <w:kern w:val="0"/>
          <w:sz w:val="24"/>
          <w:u w:val="single"/>
        </w:rPr>
        <w:t xml:space="preserve">                            </w:t>
      </w:r>
    </w:p>
    <w:p w14:paraId="15800CCA">
      <w:pPr>
        <w:widowControl/>
        <w:spacing w:line="360" w:lineRule="auto"/>
        <w:ind w:firstLine="480" w:firstLineChars="200"/>
        <w:rPr>
          <w:rFonts w:hint="eastAsia" w:ascii="宋体" w:hAnsi="宋体" w:cs="宋体"/>
          <w:snapToGrid w:val="0"/>
          <w:kern w:val="0"/>
          <w:sz w:val="24"/>
        </w:rPr>
      </w:pPr>
    </w:p>
    <w:p w14:paraId="31DD503C">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双方根据《中华人民共和国民法典》及有关规定，本着平等互利、真诚合作的原则，经协商，就</w:t>
      </w:r>
      <w:r>
        <w:rPr>
          <w:rFonts w:hint="eastAsia" w:ascii="宋体" w:hAnsi="宋体" w:cs="宋体"/>
          <w:snapToGrid w:val="0"/>
          <w:kern w:val="0"/>
          <w:sz w:val="24"/>
          <w:lang w:eastAsia="zh-CN"/>
        </w:rPr>
        <w:t>新增内河航道</w:t>
      </w:r>
      <w:r>
        <w:rPr>
          <w:rFonts w:hint="eastAsia" w:ascii="宋体" w:hAnsi="宋体" w:cs="宋体"/>
          <w:snapToGrid w:val="0"/>
          <w:kern w:val="0"/>
          <w:sz w:val="24"/>
        </w:rPr>
        <w:t>普查工作，达成以下协议：</w:t>
      </w:r>
    </w:p>
    <w:p w14:paraId="3667D02A">
      <w:pPr>
        <w:spacing w:line="360" w:lineRule="auto"/>
        <w:ind w:firstLine="482" w:firstLineChars="200"/>
        <w:rPr>
          <w:rFonts w:hint="eastAsia" w:ascii="宋体" w:hAnsi="宋体" w:cs="宋体"/>
          <w:b/>
          <w:bCs/>
          <w:snapToGrid w:val="0"/>
          <w:kern w:val="0"/>
          <w:sz w:val="24"/>
        </w:rPr>
      </w:pPr>
      <w:r>
        <w:rPr>
          <w:rFonts w:hint="eastAsia" w:ascii="宋体" w:hAnsi="宋体" w:cs="宋体"/>
          <w:b/>
          <w:bCs/>
          <w:snapToGrid w:val="0"/>
          <w:kern w:val="0"/>
          <w:sz w:val="24"/>
        </w:rPr>
        <w:t>一、 本合同依据下列文件签订</w:t>
      </w:r>
    </w:p>
    <w:p w14:paraId="307FDDFA">
      <w:pPr>
        <w:spacing w:line="360" w:lineRule="auto"/>
        <w:ind w:firstLine="480" w:firstLineChars="200"/>
        <w:rPr>
          <w:rFonts w:hint="eastAsia" w:ascii="宋体" w:hAnsi="宋体" w:cs="宋体"/>
          <w:sz w:val="24"/>
        </w:rPr>
      </w:pPr>
      <w:r>
        <w:rPr>
          <w:rFonts w:hint="eastAsia" w:ascii="宋体" w:hAnsi="宋体" w:cs="宋体"/>
          <w:sz w:val="24"/>
        </w:rPr>
        <w:t>（一）《中华人民共和国民法典》。</w:t>
      </w:r>
    </w:p>
    <w:p w14:paraId="6C7815B8">
      <w:pPr>
        <w:spacing w:line="360" w:lineRule="auto"/>
        <w:ind w:firstLine="480" w:firstLineChars="200"/>
        <w:rPr>
          <w:rFonts w:hint="eastAsia" w:ascii="宋体" w:hAnsi="宋体" w:cs="宋体"/>
          <w:sz w:val="24"/>
        </w:rPr>
      </w:pPr>
      <w:r>
        <w:rPr>
          <w:rFonts w:hint="eastAsia" w:ascii="宋体" w:hAnsi="宋体" w:cs="宋体"/>
          <w:sz w:val="24"/>
        </w:rPr>
        <w:t>（二）国家及地方有关技术咨询管理法规和规章。</w:t>
      </w:r>
    </w:p>
    <w:p w14:paraId="78F25C31">
      <w:pPr>
        <w:spacing w:line="360" w:lineRule="auto"/>
        <w:ind w:firstLine="482" w:firstLineChars="200"/>
        <w:rPr>
          <w:rFonts w:hint="eastAsia" w:ascii="宋体" w:hAnsi="宋体" w:cs="宋体"/>
          <w:b/>
          <w:bCs/>
          <w:snapToGrid w:val="0"/>
          <w:kern w:val="0"/>
          <w:sz w:val="24"/>
        </w:rPr>
      </w:pPr>
      <w:r>
        <w:rPr>
          <w:rFonts w:hint="eastAsia" w:ascii="宋体" w:hAnsi="宋体" w:cs="宋体"/>
          <w:b/>
          <w:bCs/>
          <w:snapToGrid w:val="0"/>
          <w:kern w:val="0"/>
          <w:sz w:val="24"/>
        </w:rPr>
        <w:t>二、 乙方承担的工作内容和要求</w:t>
      </w:r>
    </w:p>
    <w:p w14:paraId="2CDD8BF5">
      <w:pPr>
        <w:spacing w:line="360" w:lineRule="auto"/>
        <w:ind w:firstLine="480" w:firstLineChars="200"/>
        <w:rPr>
          <w:rFonts w:hint="eastAsia" w:ascii="宋体" w:hAnsi="宋体" w:cs="宋体"/>
          <w:sz w:val="24"/>
        </w:rPr>
      </w:pPr>
      <w:r>
        <w:rPr>
          <w:rFonts w:hint="eastAsia" w:ascii="宋体" w:hAnsi="宋体" w:cs="宋体"/>
          <w:sz w:val="24"/>
        </w:rPr>
        <w:t>（一）项目名称：</w:t>
      </w:r>
      <w:r>
        <w:rPr>
          <w:rFonts w:hint="eastAsia" w:ascii="宋体" w:hAnsi="宋体" w:cs="宋体"/>
          <w:sz w:val="24"/>
          <w:lang w:eastAsia="zh-CN"/>
        </w:rPr>
        <w:t>新增内河航道</w:t>
      </w:r>
      <w:r>
        <w:rPr>
          <w:rFonts w:hint="eastAsia" w:ascii="宋体" w:hAnsi="宋体" w:cs="宋体"/>
          <w:sz w:val="24"/>
        </w:rPr>
        <w:t>普查工作。</w:t>
      </w:r>
    </w:p>
    <w:p w14:paraId="76F0A8B7">
      <w:pPr>
        <w:widowControl/>
        <w:spacing w:line="360" w:lineRule="auto"/>
        <w:ind w:firstLine="480" w:firstLineChars="200"/>
        <w:jc w:val="left"/>
        <w:rPr>
          <w:rFonts w:hint="eastAsia" w:ascii="宋体" w:hAnsi="宋体"/>
          <w:sz w:val="24"/>
        </w:rPr>
      </w:pPr>
      <w:r>
        <w:rPr>
          <w:rFonts w:hint="eastAsia" w:ascii="宋体" w:hAnsi="宋体" w:cs="宋体"/>
          <w:sz w:val="24"/>
        </w:rPr>
        <w:t>（二）工作范围：</w:t>
      </w:r>
      <w:r>
        <w:rPr>
          <w:rFonts w:hint="eastAsia" w:ascii="宋体" w:hAnsi="宋体"/>
          <w:sz w:val="24"/>
        </w:rPr>
        <w:t>对《广西壮族自治区内河航道与港口布局规划》（桂政发（2024）12号）广西区内新增加的约440km里程航道以及80.6公里中越界河航道进行普查，收集相应地形地貌资料，航道基本状况、航道设施、通航环境等方面内容。</w:t>
      </w:r>
    </w:p>
    <w:p w14:paraId="7A2EFC26">
      <w:pPr>
        <w:widowControl/>
        <w:spacing w:line="360" w:lineRule="auto"/>
        <w:ind w:firstLine="480" w:firstLineChars="200"/>
        <w:jc w:val="left"/>
        <w:rPr>
          <w:rFonts w:hint="eastAsia" w:ascii="宋体" w:hAnsi="宋体" w:cs="宋体"/>
          <w:sz w:val="24"/>
        </w:rPr>
      </w:pPr>
      <w:r>
        <w:rPr>
          <w:rFonts w:hint="eastAsia" w:ascii="宋体" w:hAnsi="宋体"/>
          <w:sz w:val="24"/>
        </w:rPr>
        <w:t>交付成果包括：。</w:t>
      </w:r>
    </w:p>
    <w:p w14:paraId="35725861">
      <w:pPr>
        <w:widowControl/>
        <w:spacing w:line="360" w:lineRule="auto"/>
        <w:ind w:firstLine="480" w:firstLineChars="200"/>
        <w:jc w:val="left"/>
        <w:rPr>
          <w:rFonts w:hint="eastAsia" w:ascii="宋体" w:hAnsi="宋体" w:cs="宋体"/>
          <w:sz w:val="24"/>
          <w:lang w:bidi="ar"/>
        </w:rPr>
      </w:pPr>
      <w:r>
        <w:rPr>
          <w:rFonts w:hint="eastAsia" w:ascii="宋体" w:hAnsi="宋体" w:cs="宋体"/>
          <w:sz w:val="24"/>
        </w:rPr>
        <w:t>（三）工作内容：依据有关规定、规范、标准，开展</w:t>
      </w:r>
      <w:r>
        <w:rPr>
          <w:rFonts w:hint="eastAsia" w:ascii="宋体" w:hAnsi="宋体" w:cs="宋体"/>
          <w:sz w:val="24"/>
          <w:lang w:eastAsia="zh-CN"/>
        </w:rPr>
        <w:t>新增内河航道</w:t>
      </w:r>
      <w:r>
        <w:rPr>
          <w:rFonts w:hint="eastAsia" w:ascii="宋体" w:hAnsi="宋体" w:cs="宋体"/>
          <w:sz w:val="24"/>
        </w:rPr>
        <w:t>必要的地形测量、地质勘察和水文资料等收集工作等，调查航道基本状况、航道设施、通航环境等相关内容。包括但不限于以下</w:t>
      </w:r>
      <w:bookmarkStart w:id="77" w:name="OLE_LINK28"/>
      <w:r>
        <w:rPr>
          <w:rFonts w:hint="eastAsia" w:ascii="宋体" w:hAnsi="宋体" w:cs="宋体"/>
          <w:sz w:val="24"/>
        </w:rPr>
        <w:t>主要工作：</w:t>
      </w:r>
    </w:p>
    <w:p w14:paraId="423259E6">
      <w:pPr>
        <w:widowControl/>
        <w:spacing w:line="360" w:lineRule="auto"/>
        <w:ind w:firstLine="480" w:firstLineChars="200"/>
        <w:jc w:val="left"/>
        <w:rPr>
          <w:rFonts w:hint="eastAsia" w:ascii="宋体" w:hAnsi="宋体"/>
          <w:sz w:val="24"/>
        </w:rPr>
      </w:pPr>
      <w:r>
        <w:rPr>
          <w:rFonts w:hint="eastAsia" w:ascii="宋体" w:hAnsi="宋体"/>
          <w:sz w:val="24"/>
          <w:lang w:bidi="ar"/>
        </w:rPr>
        <w:t>1.必要</w:t>
      </w:r>
      <w:r>
        <w:rPr>
          <w:rFonts w:hint="eastAsia" w:ascii="宋体" w:hAnsi="宋体"/>
          <w:sz w:val="24"/>
        </w:rPr>
        <w:t>地形测量和地质勘察及水</w:t>
      </w:r>
      <w:bookmarkEnd w:id="77"/>
      <w:r>
        <w:rPr>
          <w:rFonts w:hint="eastAsia" w:ascii="宋体" w:hAnsi="宋体"/>
          <w:sz w:val="24"/>
        </w:rPr>
        <w:t>文资料收集；</w:t>
      </w:r>
    </w:p>
    <w:p w14:paraId="29959B68">
      <w:pPr>
        <w:widowControl/>
        <w:spacing w:line="360" w:lineRule="auto"/>
        <w:ind w:firstLine="480" w:firstLineChars="200"/>
        <w:jc w:val="left"/>
        <w:rPr>
          <w:rFonts w:hint="eastAsia" w:ascii="宋体" w:hAnsi="宋体"/>
          <w:sz w:val="24"/>
        </w:rPr>
      </w:pPr>
      <w:r>
        <w:rPr>
          <w:rFonts w:hint="eastAsia" w:ascii="宋体" w:hAnsi="宋体"/>
          <w:sz w:val="24"/>
        </w:rPr>
        <w:t>2.调查航道基本状况、航道设施、通航环境等相关资料和内容；</w:t>
      </w:r>
    </w:p>
    <w:p w14:paraId="38AC86C6">
      <w:pPr>
        <w:widowControl/>
        <w:spacing w:line="360" w:lineRule="auto"/>
        <w:ind w:firstLine="480" w:firstLineChars="200"/>
        <w:jc w:val="left"/>
        <w:rPr>
          <w:rFonts w:hint="eastAsia" w:ascii="宋体" w:hAnsi="宋体"/>
          <w:sz w:val="24"/>
        </w:rPr>
      </w:pPr>
      <w:r>
        <w:rPr>
          <w:rFonts w:hint="eastAsia" w:ascii="宋体" w:hAnsi="宋体"/>
          <w:sz w:val="24"/>
        </w:rPr>
        <w:t>3.编制</w:t>
      </w:r>
      <w:r>
        <w:rPr>
          <w:rFonts w:hint="eastAsia" w:ascii="宋体" w:hAnsi="宋体"/>
          <w:sz w:val="24"/>
          <w:lang w:eastAsia="zh-CN"/>
        </w:rPr>
        <w:t>新增内河航道</w:t>
      </w:r>
      <w:r>
        <w:rPr>
          <w:rFonts w:hint="eastAsia" w:ascii="宋体" w:hAnsi="宋体"/>
          <w:sz w:val="24"/>
        </w:rPr>
        <w:t>普查工作成果报告。</w:t>
      </w:r>
    </w:p>
    <w:p w14:paraId="7B342E12">
      <w:pPr>
        <w:widowControl/>
        <w:spacing w:line="360" w:lineRule="auto"/>
        <w:ind w:firstLine="480" w:firstLineChars="200"/>
        <w:jc w:val="left"/>
        <w:rPr>
          <w:rFonts w:hint="eastAsia" w:ascii="宋体" w:hAnsi="宋体"/>
          <w:sz w:val="24"/>
        </w:rPr>
      </w:pPr>
      <w:r>
        <w:rPr>
          <w:rFonts w:hint="eastAsia" w:ascii="宋体" w:hAnsi="宋体"/>
          <w:sz w:val="24"/>
        </w:rPr>
        <w:t>（四）交付成果：经专家评审的</w:t>
      </w:r>
      <w:r>
        <w:rPr>
          <w:rFonts w:hint="eastAsia" w:ascii="宋体" w:hAnsi="宋体"/>
          <w:sz w:val="24"/>
          <w:lang w:eastAsia="zh-CN"/>
        </w:rPr>
        <w:t>新增内河航道</w:t>
      </w:r>
      <w:r>
        <w:rPr>
          <w:rFonts w:hint="eastAsia" w:ascii="宋体" w:hAnsi="宋体"/>
          <w:sz w:val="24"/>
        </w:rPr>
        <w:t>普查工作成果报告及必要的图纸8份、电子光盘2张。</w:t>
      </w:r>
    </w:p>
    <w:p w14:paraId="764B9D84">
      <w:pPr>
        <w:spacing w:line="360" w:lineRule="auto"/>
        <w:ind w:firstLine="482" w:firstLineChars="200"/>
        <w:rPr>
          <w:rFonts w:hint="eastAsia" w:ascii="宋体" w:hAnsi="宋体" w:cs="宋体"/>
          <w:b/>
          <w:bCs/>
          <w:snapToGrid w:val="0"/>
          <w:kern w:val="0"/>
          <w:sz w:val="24"/>
        </w:rPr>
      </w:pPr>
      <w:r>
        <w:rPr>
          <w:rFonts w:hint="eastAsia" w:ascii="宋体" w:hAnsi="宋体" w:cs="宋体"/>
          <w:b/>
          <w:bCs/>
          <w:snapToGrid w:val="0"/>
          <w:kern w:val="0"/>
          <w:sz w:val="24"/>
        </w:rPr>
        <w:t>三、合同履行期限</w:t>
      </w:r>
    </w:p>
    <w:p w14:paraId="5F239122">
      <w:pPr>
        <w:widowControl/>
        <w:spacing w:line="360" w:lineRule="auto"/>
        <w:ind w:firstLine="482" w:firstLineChars="200"/>
        <w:jc w:val="left"/>
        <w:rPr>
          <w:rFonts w:hint="eastAsia" w:ascii="宋体" w:hAnsi="宋体" w:cs="宋体"/>
          <w:sz w:val="24"/>
        </w:rPr>
      </w:pPr>
      <w:bookmarkStart w:id="78" w:name="_Hlk150934534"/>
      <w:r>
        <w:rPr>
          <w:rFonts w:hint="eastAsia" w:ascii="宋体" w:hAnsi="宋体" w:cs="宋体"/>
          <w:b/>
          <w:bCs/>
          <w:snapToGrid w:val="0"/>
          <w:kern w:val="0"/>
          <w:sz w:val="24"/>
        </w:rPr>
        <w:t>合同履行期限：</w:t>
      </w:r>
      <w:bookmarkEnd w:id="78"/>
      <w:r>
        <w:rPr>
          <w:rFonts w:hint="eastAsia" w:ascii="宋体" w:hAnsi="宋体" w:cs="宋体"/>
          <w:b/>
          <w:bCs/>
          <w:snapToGrid w:val="0"/>
          <w:kern w:val="0"/>
          <w:sz w:val="24"/>
        </w:rPr>
        <w:t>合同签订后180日历天</w:t>
      </w:r>
      <w:r>
        <w:rPr>
          <w:rFonts w:hint="eastAsia" w:ascii="宋体" w:hAnsi="宋体" w:cs="宋体"/>
          <w:sz w:val="24"/>
          <w:lang w:bidi="ar"/>
        </w:rPr>
        <w:t>。</w:t>
      </w:r>
    </w:p>
    <w:p w14:paraId="68B9B97C">
      <w:pPr>
        <w:spacing w:line="360" w:lineRule="auto"/>
        <w:ind w:firstLine="482" w:firstLineChars="200"/>
        <w:rPr>
          <w:rFonts w:hint="eastAsia" w:ascii="宋体" w:hAnsi="宋体" w:cs="宋体"/>
          <w:b/>
          <w:bCs/>
          <w:snapToGrid w:val="0"/>
          <w:kern w:val="0"/>
          <w:sz w:val="24"/>
        </w:rPr>
      </w:pPr>
      <w:r>
        <w:rPr>
          <w:rFonts w:hint="eastAsia" w:ascii="宋体" w:hAnsi="宋体" w:cs="宋体"/>
          <w:b/>
          <w:bCs/>
          <w:snapToGrid w:val="0"/>
          <w:kern w:val="0"/>
          <w:sz w:val="24"/>
        </w:rPr>
        <w:t>四、费用及其支付方式</w:t>
      </w:r>
    </w:p>
    <w:p w14:paraId="1710BE10">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（一）费用总额</w:t>
      </w:r>
    </w:p>
    <w:p w14:paraId="3985F483">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合同总价为人民币（大写）</w:t>
      </w:r>
      <w:r>
        <w:rPr>
          <w:rFonts w:hint="eastAsia" w:ascii="宋体" w:hAnsi="宋体" w:cs="宋体"/>
          <w:snapToGrid w:val="0"/>
          <w:kern w:val="0"/>
          <w:sz w:val="24"/>
          <w:u w:val="single"/>
        </w:rPr>
        <w:t xml:space="preserve">     </w:t>
      </w:r>
      <w:r>
        <w:rPr>
          <w:rFonts w:hint="eastAsia" w:ascii="宋体" w:hAnsi="宋体" w:cs="宋体"/>
          <w:snapToGrid w:val="0"/>
          <w:kern w:val="0"/>
          <w:sz w:val="24"/>
        </w:rPr>
        <w:t>元整（¥</w:t>
      </w:r>
      <w:r>
        <w:rPr>
          <w:rFonts w:hint="eastAsia" w:ascii="宋体" w:hAnsi="宋体" w:cs="宋体"/>
          <w:snapToGrid w:val="0"/>
          <w:kern w:val="0"/>
          <w:sz w:val="24"/>
          <w:u w:val="single"/>
        </w:rPr>
        <w:t xml:space="preserve">   </w:t>
      </w:r>
      <w:r>
        <w:rPr>
          <w:rFonts w:hint="eastAsia" w:ascii="宋体" w:hAnsi="宋体" w:cs="宋体"/>
          <w:snapToGrid w:val="0"/>
          <w:kern w:val="0"/>
          <w:sz w:val="24"/>
        </w:rPr>
        <w:t>）。本合同为固定总价合同，履行本合同服务所需的全部费用均计入合同价格中，由乙方包干使用。</w:t>
      </w:r>
    </w:p>
    <w:p w14:paraId="42648214">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（二）支付方式</w:t>
      </w:r>
    </w:p>
    <w:p w14:paraId="0DCF0C7D">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1.第一期支付</w:t>
      </w:r>
    </w:p>
    <w:p w14:paraId="3BFAE3D4">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合同签署后，由</w:t>
      </w:r>
      <w:r>
        <w:rPr>
          <w:rFonts w:hint="eastAsia" w:ascii="宋体" w:hAnsi="宋体" w:cs="宋体"/>
          <w:snapToGrid w:val="0"/>
          <w:kern w:val="0"/>
          <w:sz w:val="24"/>
        </w:rPr>
        <w:t>乙方</w:t>
      </w:r>
      <w:r>
        <w:rPr>
          <w:rFonts w:hint="eastAsia" w:ascii="宋体" w:hAnsi="宋体" w:cs="宋体"/>
          <w:sz w:val="24"/>
          <w:lang w:bidi="ar"/>
        </w:rPr>
        <w:t>提交</w:t>
      </w:r>
      <w:r>
        <w:rPr>
          <w:rFonts w:hint="eastAsia" w:ascii="宋体" w:hAnsi="宋体" w:cs="宋体"/>
          <w:snapToGrid w:val="0"/>
          <w:kern w:val="0"/>
          <w:sz w:val="24"/>
        </w:rPr>
        <w:t>第一期</w:t>
      </w:r>
      <w:r>
        <w:rPr>
          <w:rFonts w:hint="eastAsia" w:ascii="宋体" w:hAnsi="宋体" w:cs="宋体"/>
          <w:sz w:val="24"/>
          <w:lang w:bidi="ar"/>
        </w:rPr>
        <w:t>支付申请及提供等额的增值税发票，</w:t>
      </w:r>
      <w:r>
        <w:rPr>
          <w:rFonts w:hint="eastAsia" w:ascii="宋体" w:hAnsi="宋体" w:cs="宋体"/>
          <w:snapToGrid w:val="0"/>
          <w:kern w:val="0"/>
          <w:sz w:val="24"/>
        </w:rPr>
        <w:t>甲方</w:t>
      </w:r>
      <w:r>
        <w:rPr>
          <w:rFonts w:hint="eastAsia" w:ascii="宋体" w:hAnsi="宋体" w:cs="宋体"/>
          <w:sz w:val="24"/>
          <w:lang w:bidi="ar"/>
        </w:rPr>
        <w:t>收到</w:t>
      </w:r>
      <w:r>
        <w:rPr>
          <w:rFonts w:hint="eastAsia" w:ascii="宋体" w:hAnsi="宋体" w:cs="宋体"/>
          <w:snapToGrid w:val="0"/>
          <w:kern w:val="0"/>
          <w:sz w:val="24"/>
        </w:rPr>
        <w:t>第一期</w:t>
      </w:r>
      <w:r>
        <w:rPr>
          <w:rFonts w:hint="eastAsia" w:ascii="宋体" w:hAnsi="宋体" w:cs="宋体"/>
          <w:sz w:val="24"/>
          <w:lang w:bidi="ar"/>
        </w:rPr>
        <w:t>支付申请材料后14日历天内，向</w:t>
      </w:r>
      <w:r>
        <w:rPr>
          <w:rFonts w:hint="eastAsia" w:ascii="宋体" w:hAnsi="宋体" w:cs="宋体"/>
          <w:snapToGrid w:val="0"/>
          <w:kern w:val="0"/>
          <w:sz w:val="24"/>
        </w:rPr>
        <w:t>乙方</w:t>
      </w:r>
      <w:r>
        <w:rPr>
          <w:rFonts w:hint="eastAsia" w:ascii="宋体" w:hAnsi="宋体" w:cs="宋体"/>
          <w:sz w:val="24"/>
          <w:lang w:bidi="ar"/>
        </w:rPr>
        <w:t>支付合同金额的50%。</w:t>
      </w:r>
    </w:p>
    <w:p w14:paraId="0C29A6E8">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2.第二期支付</w:t>
      </w:r>
    </w:p>
    <w:p w14:paraId="46F81320">
      <w:pPr>
        <w:spacing w:line="360" w:lineRule="auto"/>
        <w:ind w:firstLine="480" w:firstLineChars="200"/>
        <w:rPr>
          <w:rFonts w:hint="eastAsia" w:ascii="宋体" w:hAnsi="宋体" w:cs="宋体"/>
          <w:b/>
          <w:bCs/>
          <w:snapToGrid w:val="0"/>
          <w:kern w:val="0"/>
          <w:sz w:val="24"/>
        </w:rPr>
      </w:pPr>
      <w:r>
        <w:rPr>
          <w:rFonts w:hint="eastAsia" w:ascii="宋体" w:hAnsi="宋体" w:cs="宋体"/>
          <w:sz w:val="24"/>
          <w:lang w:bidi="ar"/>
        </w:rPr>
        <w:t>在所有合同工作完成后，由乙方向甲方提出验收申请，项目验收合格后，乙方提交</w:t>
      </w:r>
      <w:r>
        <w:rPr>
          <w:rFonts w:hint="eastAsia" w:ascii="宋体" w:hAnsi="宋体" w:cs="宋体"/>
          <w:snapToGrid w:val="0"/>
          <w:kern w:val="0"/>
          <w:sz w:val="24"/>
        </w:rPr>
        <w:t>第二期</w:t>
      </w:r>
      <w:r>
        <w:rPr>
          <w:rFonts w:hint="eastAsia" w:ascii="宋体" w:hAnsi="宋体" w:cs="宋体"/>
          <w:sz w:val="24"/>
          <w:lang w:bidi="ar"/>
        </w:rPr>
        <w:t>支付申请及提供等额的增值税发票，甲方收到支付材料后14日历天内支付合同剩余款项。</w:t>
      </w:r>
    </w:p>
    <w:p w14:paraId="314067F2">
      <w:pPr>
        <w:spacing w:line="360" w:lineRule="auto"/>
        <w:ind w:firstLine="482" w:firstLineChars="200"/>
        <w:rPr>
          <w:rFonts w:hint="eastAsia" w:ascii="宋体" w:hAnsi="宋体" w:cs="宋体"/>
          <w:b/>
          <w:bCs/>
          <w:snapToGrid w:val="0"/>
          <w:kern w:val="0"/>
          <w:sz w:val="24"/>
        </w:rPr>
      </w:pPr>
      <w:r>
        <w:rPr>
          <w:rFonts w:hint="eastAsia" w:ascii="宋体" w:hAnsi="宋体" w:cs="宋体"/>
          <w:b/>
          <w:bCs/>
          <w:snapToGrid w:val="0"/>
          <w:kern w:val="0"/>
          <w:sz w:val="24"/>
        </w:rPr>
        <w:t>五、履约保证金</w:t>
      </w:r>
    </w:p>
    <w:p w14:paraId="7F59967A">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乙方在签订合同之前，向甲方提交金额为签约合同价的</w:t>
      </w:r>
      <w:r>
        <w:rPr>
          <w:rFonts w:hint="eastAsia" w:ascii="宋体" w:hAnsi="宋体" w:cs="宋体"/>
          <w:snapToGrid w:val="0"/>
          <w:kern w:val="0"/>
          <w:sz w:val="24"/>
          <w:lang w:val="en-US" w:eastAsia="zh-CN"/>
        </w:rPr>
        <w:t>5</w:t>
      </w:r>
      <w:r>
        <w:rPr>
          <w:rFonts w:hint="eastAsia" w:ascii="宋体" w:hAnsi="宋体" w:cs="宋体"/>
          <w:snapToGrid w:val="0"/>
          <w:kern w:val="0"/>
          <w:sz w:val="24"/>
        </w:rPr>
        <w:t>%的履约保证金。乙方未按约定提交履约保证金的，视为乙方放弃中标资格，甲方有权不予与其签订合同；因此给甲方造成损失的，乙方还应承担相应的赔偿责任。</w:t>
      </w:r>
    </w:p>
    <w:p w14:paraId="19486CD3">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 xml:space="preserve"> 履约保证金可采用履约银行保函或银行转账的形式。</w:t>
      </w:r>
    </w:p>
    <w:p w14:paraId="6F41C0AE">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（1）若采用银行保函形式，应由国有商业或股份制商业银行出具，并保证其有效。执行本条规定所需的费用由乙方承担。保函的正本由甲方保存。</w:t>
      </w:r>
    </w:p>
    <w:p w14:paraId="1F2E6FE5">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（2）若采用银行转账形式，应当从乙方基本账户转出，且全额一次性转入甲方指定账号，并注明“</w:t>
      </w:r>
      <w:r>
        <w:rPr>
          <w:rFonts w:hint="eastAsia" w:ascii="宋体" w:hAnsi="宋体" w:cs="宋体"/>
          <w:bCs/>
          <w:sz w:val="24"/>
          <w:lang w:eastAsia="zh-CN"/>
        </w:rPr>
        <w:t>新增内河航道</w:t>
      </w:r>
      <w:r>
        <w:rPr>
          <w:rFonts w:hint="eastAsia" w:ascii="宋体" w:hAnsi="宋体" w:cs="宋体"/>
          <w:bCs/>
          <w:sz w:val="24"/>
        </w:rPr>
        <w:t>普查工作</w:t>
      </w:r>
      <w:r>
        <w:rPr>
          <w:rFonts w:hint="eastAsia" w:ascii="宋体" w:hAnsi="宋体" w:cs="宋体"/>
          <w:snapToGrid w:val="0"/>
          <w:kern w:val="0"/>
          <w:sz w:val="24"/>
        </w:rPr>
        <w:t>履约保证金”，并且确保在中标通知书发出之日起30日内到账，否则，其履约担保视为无效。</w:t>
      </w:r>
    </w:p>
    <w:p w14:paraId="0B610172">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合同项目顺利执行完毕并验收合格后，履约保证金一次性无息退还。</w:t>
      </w:r>
    </w:p>
    <w:p w14:paraId="5CE3AF63">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履约保证金指定账户：</w:t>
      </w:r>
    </w:p>
    <w:p w14:paraId="53D705AD">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开户名称：广西壮族自治区</w:t>
      </w:r>
      <w:r>
        <w:rPr>
          <w:rFonts w:hint="eastAsia" w:ascii="宋体" w:hAnsi="宋体" w:cs="宋体"/>
          <w:snapToGrid w:val="0"/>
          <w:kern w:val="0"/>
          <w:sz w:val="24"/>
          <w:lang w:eastAsia="zh-CN"/>
        </w:rPr>
        <w:t>港航发展中心</w:t>
      </w:r>
      <w:r>
        <w:rPr>
          <w:rFonts w:hint="eastAsia" w:ascii="宋体" w:hAnsi="宋体" w:cs="宋体"/>
          <w:snapToGrid w:val="0"/>
          <w:kern w:val="0"/>
          <w:sz w:val="24"/>
        </w:rPr>
        <w:t xml:space="preserve">  </w:t>
      </w:r>
    </w:p>
    <w:p w14:paraId="64D5A776">
      <w:pPr>
        <w:widowControl/>
        <w:spacing w:line="360" w:lineRule="auto"/>
        <w:ind w:firstLine="480" w:firstLineChars="200"/>
        <w:rPr>
          <w:rFonts w:hint="eastAsia" w:ascii="宋体" w:hAnsi="宋体" w:eastAsia="宋体" w:cs="宋体"/>
          <w:b w:val="0"/>
          <w:bCs w:val="0"/>
          <w:snapToGrid w:val="0"/>
          <w:color w:val="auto"/>
          <w:kern w:val="0"/>
          <w:sz w:val="24"/>
          <w:szCs w:val="24"/>
          <w:lang w:val="en-US" w:eastAsia="zh-CN"/>
        </w:rPr>
      </w:pPr>
      <w:r>
        <w:rPr>
          <w:rFonts w:hint="eastAsia" w:ascii="宋体" w:hAnsi="宋体" w:eastAsia="宋体" w:cs="宋体"/>
          <w:b w:val="0"/>
          <w:bCs w:val="0"/>
          <w:snapToGrid w:val="0"/>
          <w:color w:val="auto"/>
          <w:kern w:val="0"/>
          <w:sz w:val="24"/>
          <w:szCs w:val="24"/>
          <w:lang w:val="en-US" w:eastAsia="zh-CN"/>
        </w:rPr>
        <w:t xml:space="preserve">开户银行：工行南宁市枫林路支行 </w:t>
      </w:r>
    </w:p>
    <w:p w14:paraId="04B49C20">
      <w:pPr>
        <w:widowControl/>
        <w:spacing w:line="360" w:lineRule="auto"/>
        <w:ind w:firstLine="480" w:firstLineChars="200"/>
        <w:rPr>
          <w:rFonts w:hint="eastAsia" w:ascii="宋体" w:hAnsi="宋体" w:cs="宋体"/>
          <w:snapToGrid w:val="0"/>
          <w:kern w:val="0"/>
          <w:sz w:val="24"/>
        </w:rPr>
      </w:pPr>
      <w:r>
        <w:rPr>
          <w:rFonts w:hint="eastAsia" w:ascii="宋体" w:hAnsi="宋体" w:eastAsia="宋体" w:cs="宋体"/>
          <w:b w:val="0"/>
          <w:bCs w:val="0"/>
          <w:snapToGrid w:val="0"/>
          <w:color w:val="auto"/>
          <w:kern w:val="0"/>
          <w:sz w:val="24"/>
          <w:szCs w:val="24"/>
          <w:lang w:val="en-US" w:eastAsia="zh-CN"/>
        </w:rPr>
        <w:t>银行账号：2102101109221001515</w:t>
      </w:r>
    </w:p>
    <w:p w14:paraId="1607438F">
      <w:pPr>
        <w:widowControl/>
        <w:spacing w:line="360" w:lineRule="auto"/>
        <w:ind w:firstLine="482" w:firstLineChars="200"/>
        <w:rPr>
          <w:rFonts w:hint="eastAsia" w:ascii="宋体" w:hAnsi="宋体" w:cs="宋体"/>
          <w:b/>
          <w:bCs/>
          <w:snapToGrid w:val="0"/>
          <w:kern w:val="0"/>
          <w:sz w:val="24"/>
        </w:rPr>
      </w:pPr>
      <w:r>
        <w:rPr>
          <w:rFonts w:hint="eastAsia" w:ascii="宋体" w:hAnsi="宋体" w:cs="宋体"/>
          <w:b/>
          <w:bCs/>
          <w:snapToGrid w:val="0"/>
          <w:kern w:val="0"/>
          <w:sz w:val="24"/>
        </w:rPr>
        <w:t>六、资料的归属</w:t>
      </w:r>
    </w:p>
    <w:p w14:paraId="0D7C005A">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（一）所有提交给甲方的相关的资料的最后文本，包括为履行</w:t>
      </w:r>
      <w:r>
        <w:rPr>
          <w:rFonts w:hint="eastAsia" w:ascii="宋体" w:hAnsi="宋体" w:cs="宋体"/>
          <w:bCs/>
          <w:sz w:val="24"/>
          <w:lang w:eastAsia="zh-CN"/>
        </w:rPr>
        <w:t>新增内河航道</w:t>
      </w:r>
      <w:r>
        <w:rPr>
          <w:rFonts w:hint="eastAsia" w:ascii="宋体" w:hAnsi="宋体" w:cs="宋体"/>
          <w:bCs/>
          <w:sz w:val="24"/>
        </w:rPr>
        <w:t>普查工作</w:t>
      </w:r>
      <w:r>
        <w:rPr>
          <w:rFonts w:hint="eastAsia" w:ascii="宋体" w:hAnsi="宋体" w:cs="宋体"/>
          <w:snapToGrid w:val="0"/>
          <w:kern w:val="0"/>
          <w:sz w:val="24"/>
        </w:rPr>
        <w:t>范围所编制的文件、计划和证明资料等，都属于甲方的财产，乙方在提交给委托方之前应将上述资料进行整理归类和编制索引。</w:t>
      </w:r>
    </w:p>
    <w:p w14:paraId="68A2A149">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（二）乙方可保存上述资料的复印件，包括甲方提供的资料，但未经甲方的书面同意，乙方不得将上述资料用于其它任何项目。</w:t>
      </w:r>
    </w:p>
    <w:p w14:paraId="3FA3D7E2">
      <w:pPr>
        <w:spacing w:line="360" w:lineRule="auto"/>
        <w:ind w:firstLine="482" w:firstLineChars="200"/>
        <w:rPr>
          <w:rFonts w:hint="eastAsia" w:ascii="宋体" w:hAnsi="宋体" w:cs="宋体"/>
          <w:b/>
          <w:bCs/>
          <w:snapToGrid w:val="0"/>
          <w:kern w:val="0"/>
          <w:sz w:val="24"/>
        </w:rPr>
      </w:pPr>
      <w:r>
        <w:rPr>
          <w:rFonts w:hint="eastAsia" w:ascii="宋体" w:hAnsi="宋体" w:cs="宋体"/>
          <w:b/>
          <w:bCs/>
          <w:snapToGrid w:val="0"/>
          <w:kern w:val="0"/>
          <w:sz w:val="24"/>
        </w:rPr>
        <w:t>七、双方的责任和义务</w:t>
      </w:r>
    </w:p>
    <w:p w14:paraId="64B97B04">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（一）甲方的责任和义务：</w:t>
      </w:r>
    </w:p>
    <w:p w14:paraId="2A254174">
      <w:pPr>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1.在乙方按照本合同规定履行其义务后，甲方应根据本合同约定的金额及支付方式向乙方支付合同费用。</w:t>
      </w:r>
    </w:p>
    <w:p w14:paraId="6305FE3B">
      <w:pPr>
        <w:spacing w:line="360" w:lineRule="auto"/>
        <w:ind w:firstLine="480" w:firstLineChars="200"/>
        <w:rPr>
          <w:rFonts w:ascii="宋体" w:hAnsi="宋体" w:cs="宋体"/>
          <w:snapToGrid w:val="0"/>
          <w:kern w:val="0"/>
          <w:sz w:val="24"/>
        </w:rPr>
      </w:pPr>
      <w:r>
        <w:rPr>
          <w:rFonts w:hint="eastAsia" w:ascii="宋体" w:hAnsi="宋体" w:cs="宋体"/>
          <w:snapToGrid w:val="0"/>
          <w:kern w:val="0"/>
          <w:sz w:val="24"/>
        </w:rPr>
        <w:t>2.甲方</w:t>
      </w:r>
      <w:r>
        <w:rPr>
          <w:rFonts w:ascii="宋体" w:hAnsi="宋体" w:cs="宋体"/>
          <w:snapToGrid w:val="0"/>
          <w:kern w:val="0"/>
          <w:sz w:val="24"/>
        </w:rPr>
        <w:t>不承担在</w:t>
      </w:r>
      <w:r>
        <w:rPr>
          <w:rFonts w:hint="eastAsia" w:ascii="宋体" w:hAnsi="宋体" w:cs="宋体"/>
          <w:snapToGrid w:val="0"/>
          <w:kern w:val="0"/>
          <w:sz w:val="24"/>
        </w:rPr>
        <w:t>乙方开展</w:t>
      </w:r>
      <w:r>
        <w:rPr>
          <w:rFonts w:hint="eastAsia" w:ascii="宋体" w:hAnsi="宋体" w:cs="宋体"/>
          <w:sz w:val="24"/>
          <w:lang w:eastAsia="zh-CN"/>
        </w:rPr>
        <w:t>新增内河航道</w:t>
      </w:r>
      <w:r>
        <w:rPr>
          <w:rFonts w:hint="eastAsia" w:ascii="宋体" w:hAnsi="宋体" w:cs="宋体"/>
          <w:sz w:val="24"/>
        </w:rPr>
        <w:t>普查工作</w:t>
      </w:r>
      <w:r>
        <w:rPr>
          <w:rFonts w:ascii="宋体" w:hAnsi="宋体" w:cs="宋体"/>
          <w:snapToGrid w:val="0"/>
          <w:kern w:val="0"/>
          <w:sz w:val="24"/>
        </w:rPr>
        <w:t>中发生安全责任事故的责任。</w:t>
      </w:r>
    </w:p>
    <w:p w14:paraId="5CA8D964">
      <w:pPr>
        <w:spacing w:line="360" w:lineRule="auto"/>
        <w:ind w:firstLine="480" w:firstLineChars="200"/>
        <w:rPr>
          <w:rFonts w:hint="default" w:ascii="宋体" w:hAnsi="宋体" w:eastAsia="宋体" w:cs="宋体"/>
          <w:snapToGrid w:val="0"/>
          <w:kern w:val="0"/>
          <w:sz w:val="24"/>
          <w:lang w:val="en-US" w:eastAsia="zh-CN"/>
        </w:rPr>
      </w:pPr>
      <w:r>
        <w:rPr>
          <w:rFonts w:hint="eastAsia" w:ascii="宋体" w:hAnsi="宋体" w:cs="宋体"/>
          <w:snapToGrid w:val="0"/>
          <w:kern w:val="0"/>
          <w:sz w:val="24"/>
          <w:lang w:val="en-US" w:eastAsia="zh-CN"/>
        </w:rPr>
        <w:t>3.</w:t>
      </w:r>
      <w:r>
        <w:rPr>
          <w:rFonts w:hint="eastAsia" w:ascii="宋体" w:hAnsi="宋体" w:cs="宋体"/>
          <w:snapToGrid w:val="0"/>
          <w:kern w:val="0"/>
          <w:sz w:val="24"/>
        </w:rPr>
        <w:t>甲方</w:t>
      </w:r>
      <w:r>
        <w:rPr>
          <w:rFonts w:hint="eastAsia" w:ascii="宋体" w:hAnsi="宋体" w:cs="宋体"/>
          <w:snapToGrid w:val="0"/>
          <w:kern w:val="0"/>
          <w:sz w:val="24"/>
          <w:lang w:eastAsia="zh-CN"/>
        </w:rPr>
        <w:t>项目负责人：</w:t>
      </w:r>
      <w:r>
        <w:rPr>
          <w:rFonts w:hint="eastAsia" w:ascii="宋体" w:hAnsi="宋体" w:cs="宋体"/>
          <w:snapToGrid w:val="0"/>
          <w:kern w:val="0"/>
          <w:sz w:val="24"/>
          <w:lang w:val="en-US" w:eastAsia="zh-CN"/>
        </w:rPr>
        <w:t xml:space="preserve"> </w:t>
      </w:r>
      <w:r>
        <w:rPr>
          <w:rFonts w:hint="eastAsia" w:ascii="宋体" w:hAnsi="宋体" w:cs="宋体"/>
          <w:snapToGrid w:val="0"/>
          <w:kern w:val="0"/>
          <w:sz w:val="24"/>
          <w:lang w:eastAsia="zh-CN"/>
        </w:rPr>
        <w:t>技术负责人：</w:t>
      </w:r>
      <w:r>
        <w:rPr>
          <w:rFonts w:hint="eastAsia" w:ascii="宋体" w:hAnsi="宋体" w:cs="宋体"/>
          <w:snapToGrid w:val="0"/>
          <w:kern w:val="0"/>
          <w:sz w:val="24"/>
          <w:lang w:val="en-US" w:eastAsia="zh-CN"/>
        </w:rPr>
        <w:t xml:space="preserve"> </w:t>
      </w:r>
    </w:p>
    <w:p w14:paraId="659F031C">
      <w:pPr>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（二）乙方的责任和义务</w:t>
      </w:r>
    </w:p>
    <w:p w14:paraId="1B878DFB">
      <w:pPr>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1.根据甲方委托内容，</w:t>
      </w:r>
      <w:r>
        <w:rPr>
          <w:rFonts w:hint="eastAsia" w:ascii="宋体" w:hAnsi="宋体" w:cs="宋体"/>
          <w:sz w:val="24"/>
          <w:lang w:bidi="ar"/>
        </w:rPr>
        <w:t>组织人员</w:t>
      </w:r>
      <w:r>
        <w:rPr>
          <w:rFonts w:hint="eastAsia" w:ascii="宋体" w:hAnsi="宋体" w:cs="宋体"/>
          <w:snapToGrid w:val="0"/>
          <w:kern w:val="0"/>
          <w:sz w:val="24"/>
        </w:rPr>
        <w:t>依法开展</w:t>
      </w:r>
      <w:r>
        <w:rPr>
          <w:rFonts w:hint="eastAsia" w:ascii="宋体" w:hAnsi="宋体" w:cs="宋体"/>
          <w:sz w:val="24"/>
          <w:lang w:eastAsia="zh-CN"/>
        </w:rPr>
        <w:t>新增内河航道</w:t>
      </w:r>
      <w:r>
        <w:rPr>
          <w:rFonts w:hint="eastAsia" w:ascii="宋体" w:hAnsi="宋体" w:cs="宋体"/>
          <w:sz w:val="24"/>
        </w:rPr>
        <w:t>普查工作勘察、测量和资料收集及普查工作</w:t>
      </w:r>
      <w:r>
        <w:rPr>
          <w:rFonts w:hint="eastAsia" w:ascii="宋体" w:hAnsi="宋体" w:cs="宋体"/>
          <w:snapToGrid w:val="0"/>
          <w:kern w:val="0"/>
          <w:sz w:val="24"/>
        </w:rPr>
        <w:t>；在合同约定期限内，完成合同内容。</w:t>
      </w:r>
    </w:p>
    <w:p w14:paraId="59F2A253">
      <w:pPr>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2.设置</w:t>
      </w:r>
      <w:r>
        <w:rPr>
          <w:rFonts w:hint="eastAsia" w:ascii="宋体" w:hAnsi="宋体" w:cs="宋体"/>
          <w:bCs/>
          <w:sz w:val="24"/>
          <w:lang w:eastAsia="zh-CN"/>
        </w:rPr>
        <w:t>新增内河航道</w:t>
      </w:r>
      <w:r>
        <w:rPr>
          <w:rFonts w:hint="eastAsia" w:ascii="宋体" w:hAnsi="宋体" w:cs="宋体"/>
          <w:bCs/>
          <w:sz w:val="24"/>
        </w:rPr>
        <w:t>普查工作</w:t>
      </w:r>
      <w:r>
        <w:rPr>
          <w:rFonts w:hint="eastAsia" w:ascii="宋体" w:hAnsi="宋体" w:cs="宋体"/>
          <w:snapToGrid w:val="0"/>
          <w:kern w:val="0"/>
          <w:sz w:val="24"/>
        </w:rPr>
        <w:t>管理机构，配备、配足满足要求的管理人员，制定与</w:t>
      </w:r>
      <w:r>
        <w:rPr>
          <w:rFonts w:hint="eastAsia" w:ascii="宋体" w:hAnsi="宋体" w:cs="宋体"/>
          <w:bCs/>
          <w:sz w:val="24"/>
          <w:lang w:eastAsia="zh-CN"/>
        </w:rPr>
        <w:t>新增内河航道</w:t>
      </w:r>
      <w:r>
        <w:rPr>
          <w:rFonts w:hint="eastAsia" w:ascii="宋体" w:hAnsi="宋体" w:cs="宋体"/>
          <w:bCs/>
          <w:sz w:val="24"/>
        </w:rPr>
        <w:t>普查工作</w:t>
      </w:r>
      <w:r>
        <w:rPr>
          <w:rFonts w:hint="eastAsia" w:ascii="宋体" w:hAnsi="宋体" w:cs="宋体"/>
          <w:snapToGrid w:val="0"/>
          <w:kern w:val="0"/>
          <w:sz w:val="24"/>
        </w:rPr>
        <w:t>项目相关的各项管理制度，保证项目质量、安全、进度、成本、环境保护等工作在可控范围，按要求完成合同任务。</w:t>
      </w:r>
    </w:p>
    <w:p w14:paraId="4DFF11D3">
      <w:pPr>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3.负责</w:t>
      </w:r>
      <w:r>
        <w:rPr>
          <w:rFonts w:hint="eastAsia" w:ascii="宋体" w:hAnsi="宋体" w:cs="宋体"/>
          <w:bCs/>
          <w:sz w:val="24"/>
          <w:lang w:eastAsia="zh-CN"/>
        </w:rPr>
        <w:t>新增内河航道</w:t>
      </w:r>
      <w:r>
        <w:rPr>
          <w:rFonts w:hint="eastAsia" w:ascii="宋体" w:hAnsi="宋体" w:cs="宋体"/>
          <w:bCs/>
          <w:sz w:val="24"/>
        </w:rPr>
        <w:t>普查工作勘察和测量</w:t>
      </w:r>
      <w:r>
        <w:rPr>
          <w:rFonts w:hint="eastAsia" w:ascii="宋体" w:hAnsi="宋体" w:cs="宋体"/>
          <w:snapToGrid w:val="0"/>
          <w:kern w:val="0"/>
          <w:sz w:val="24"/>
        </w:rPr>
        <w:t>工作现场管理。</w:t>
      </w:r>
    </w:p>
    <w:p w14:paraId="1C880DE5">
      <w:pPr>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4.不得擅自调整</w:t>
      </w:r>
      <w:r>
        <w:rPr>
          <w:rFonts w:hint="eastAsia" w:ascii="宋体" w:hAnsi="宋体" w:cs="宋体"/>
          <w:bCs/>
          <w:sz w:val="24"/>
          <w:lang w:eastAsia="zh-CN"/>
        </w:rPr>
        <w:t>新增内河航道</w:t>
      </w:r>
      <w:r>
        <w:rPr>
          <w:rFonts w:hint="eastAsia" w:ascii="宋体" w:hAnsi="宋体" w:cs="宋体"/>
          <w:bCs/>
          <w:sz w:val="24"/>
        </w:rPr>
        <w:t>普查工作采购</w:t>
      </w:r>
      <w:r>
        <w:rPr>
          <w:rFonts w:hint="eastAsia" w:ascii="宋体" w:hAnsi="宋体" w:cs="宋体"/>
          <w:snapToGrid w:val="0"/>
          <w:kern w:val="0"/>
          <w:sz w:val="24"/>
        </w:rPr>
        <w:t>内容、规模、标准，严格执行确定的合同费用。</w:t>
      </w:r>
    </w:p>
    <w:p w14:paraId="53E3D720">
      <w:pPr>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5.依法依规开展勘察测量有关工作，确保不发生安全责任事故。</w:t>
      </w:r>
    </w:p>
    <w:p w14:paraId="52B3A6F7">
      <w:pPr>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6.未经甲方同意，乙方不得将本合同中的任何权利、义务转让给第三方。</w:t>
      </w:r>
    </w:p>
    <w:p w14:paraId="6E3CBA30">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7.乙方应根据有关法律法规和国家现行有关技术标准、规范和规程要求，以及主管部门要求，完成合同工作。</w:t>
      </w:r>
    </w:p>
    <w:p w14:paraId="29553BBB">
      <w:pPr>
        <w:widowControl/>
        <w:spacing w:line="360" w:lineRule="auto"/>
        <w:ind w:firstLine="480" w:firstLineChars="200"/>
        <w:rPr>
          <w:rFonts w:hint="eastAsia" w:ascii="宋体" w:hAnsi="宋体" w:cs="宋体"/>
          <w:sz w:val="24"/>
          <w:lang w:bidi="ar"/>
        </w:rPr>
      </w:pPr>
      <w:r>
        <w:rPr>
          <w:rFonts w:hint="eastAsia" w:ascii="宋体" w:hAnsi="宋体" w:cs="宋体"/>
          <w:sz w:val="24"/>
          <w:lang w:bidi="ar"/>
        </w:rPr>
        <w:t>8.乙方承担本项目必要的基础数据资料收集，完成整个项目的服务工作，并保证资料数据准确，满足服务要求。</w:t>
      </w:r>
    </w:p>
    <w:p w14:paraId="2D99CF1A">
      <w:pPr>
        <w:spacing w:line="360" w:lineRule="auto"/>
        <w:ind w:firstLine="480" w:firstLineChars="200"/>
        <w:rPr>
          <w:rFonts w:hint="default" w:ascii="宋体" w:hAnsi="宋体" w:eastAsia="宋体" w:cs="宋体"/>
          <w:snapToGrid w:val="0"/>
          <w:kern w:val="0"/>
          <w:sz w:val="24"/>
          <w:lang w:val="en-US" w:eastAsia="zh-CN"/>
        </w:rPr>
      </w:pPr>
      <w:r>
        <w:rPr>
          <w:rFonts w:hint="eastAsia" w:ascii="宋体" w:hAnsi="宋体" w:cs="宋体"/>
          <w:snapToGrid w:val="0"/>
          <w:kern w:val="0"/>
          <w:sz w:val="24"/>
          <w:lang w:val="en-US" w:eastAsia="zh-CN"/>
        </w:rPr>
        <w:t>9.</w:t>
      </w:r>
      <w:r>
        <w:rPr>
          <w:rFonts w:hint="eastAsia" w:ascii="宋体" w:hAnsi="宋体" w:cs="宋体"/>
          <w:sz w:val="24"/>
          <w:lang w:bidi="ar"/>
        </w:rPr>
        <w:t>乙</w:t>
      </w:r>
      <w:r>
        <w:rPr>
          <w:rFonts w:hint="eastAsia" w:ascii="宋体" w:hAnsi="宋体" w:cs="宋体"/>
          <w:snapToGrid w:val="0"/>
          <w:kern w:val="0"/>
          <w:sz w:val="24"/>
        </w:rPr>
        <w:t>方</w:t>
      </w:r>
      <w:r>
        <w:rPr>
          <w:rFonts w:hint="eastAsia" w:ascii="宋体" w:hAnsi="宋体" w:cs="宋体"/>
          <w:snapToGrid w:val="0"/>
          <w:kern w:val="0"/>
          <w:sz w:val="24"/>
          <w:lang w:eastAsia="zh-CN"/>
        </w:rPr>
        <w:t>项目负责人：</w:t>
      </w:r>
      <w:r>
        <w:rPr>
          <w:rFonts w:hint="eastAsia" w:ascii="宋体" w:hAnsi="宋体" w:cs="宋体"/>
          <w:snapToGrid w:val="0"/>
          <w:kern w:val="0"/>
          <w:sz w:val="24"/>
          <w:lang w:val="en-US" w:eastAsia="zh-CN"/>
        </w:rPr>
        <w:t xml:space="preserve"> </w:t>
      </w:r>
    </w:p>
    <w:p w14:paraId="2F0A85D5">
      <w:pPr>
        <w:widowControl/>
        <w:spacing w:line="360" w:lineRule="auto"/>
        <w:ind w:firstLine="482" w:firstLineChars="200"/>
        <w:jc w:val="left"/>
        <w:rPr>
          <w:rFonts w:hint="eastAsia" w:ascii="宋体" w:hAnsi="宋体" w:cs="宋体"/>
          <w:b/>
          <w:bCs/>
          <w:snapToGrid w:val="0"/>
          <w:kern w:val="0"/>
          <w:sz w:val="24"/>
        </w:rPr>
      </w:pPr>
      <w:r>
        <w:rPr>
          <w:rFonts w:hint="eastAsia" w:ascii="宋体" w:hAnsi="宋体" w:cs="宋体"/>
          <w:b/>
          <w:bCs/>
          <w:snapToGrid w:val="0"/>
          <w:kern w:val="0"/>
          <w:sz w:val="24"/>
        </w:rPr>
        <w:t>八、服务质量</w:t>
      </w:r>
    </w:p>
    <w:p w14:paraId="3AB9FD7E">
      <w:pPr>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质量标准：按国家有关法律法规和行业规定，符合合格标准，并通过验收。</w:t>
      </w:r>
    </w:p>
    <w:p w14:paraId="1F4CE849">
      <w:pPr>
        <w:widowControl/>
        <w:spacing w:line="360" w:lineRule="auto"/>
        <w:ind w:firstLine="482" w:firstLineChars="200"/>
        <w:jc w:val="left"/>
        <w:rPr>
          <w:rFonts w:hint="eastAsia" w:ascii="宋体" w:hAnsi="宋体" w:cs="宋体"/>
          <w:b/>
          <w:bCs/>
          <w:snapToGrid w:val="0"/>
          <w:kern w:val="0"/>
          <w:sz w:val="24"/>
        </w:rPr>
      </w:pPr>
      <w:r>
        <w:rPr>
          <w:rFonts w:hint="eastAsia" w:ascii="宋体" w:hAnsi="宋体" w:cs="宋体"/>
          <w:b/>
          <w:bCs/>
          <w:snapToGrid w:val="0"/>
          <w:kern w:val="0"/>
          <w:sz w:val="24"/>
        </w:rPr>
        <w:t>九、违约责任</w:t>
      </w:r>
    </w:p>
    <w:p w14:paraId="2AE8A97A">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如双方违反本合同约定，违约方应当按照《中华人民共和国民法典》有关条款的规定承担违约责任。</w:t>
      </w:r>
    </w:p>
    <w:p w14:paraId="7E8DD342">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（一）违反本合同第八条约定，乙方无正当理由未按约定期限组织完成的，每逾期一天，按合同金额的万分之三从应付合同款中扣除违约金。</w:t>
      </w:r>
    </w:p>
    <w:p w14:paraId="748C8B8D">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（二）甲方未在规定时间内付款且经乙方催促仍不支付的，从乙方催促之日起每逾期一天，按合同金额的万分之三向乙方偿付违约金。</w:t>
      </w:r>
    </w:p>
    <w:p w14:paraId="5A7F30B1">
      <w:pPr>
        <w:widowControl/>
        <w:spacing w:line="360" w:lineRule="auto"/>
        <w:ind w:firstLine="482" w:firstLineChars="200"/>
        <w:rPr>
          <w:rFonts w:hint="eastAsia" w:ascii="宋体" w:hAnsi="宋体" w:cs="宋体"/>
          <w:b/>
          <w:bCs/>
          <w:snapToGrid w:val="0"/>
          <w:kern w:val="0"/>
          <w:sz w:val="24"/>
        </w:rPr>
      </w:pPr>
      <w:r>
        <w:rPr>
          <w:rFonts w:hint="eastAsia" w:ascii="宋体" w:hAnsi="宋体" w:cs="宋体"/>
          <w:b/>
          <w:bCs/>
          <w:snapToGrid w:val="0"/>
          <w:kern w:val="0"/>
          <w:sz w:val="24"/>
        </w:rPr>
        <w:t>十、争议的解决方法</w:t>
      </w:r>
    </w:p>
    <w:p w14:paraId="2E42BF75">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在履行本合同的过程中发生争议，双方应友好协商解决。双方当事人和解或调解不成，依法向甲方所在地人民法院提起诉讼解决。</w:t>
      </w:r>
    </w:p>
    <w:p w14:paraId="31C8DBDD">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由于不可抗力造成本合同不能履行时，受不可抗力影响的一方应当立即将有关情况通知另一方，因不可抗力造成的任何损失，均由受损失方自行承担。</w:t>
      </w:r>
    </w:p>
    <w:p w14:paraId="22DF3F08">
      <w:pPr>
        <w:widowControl/>
        <w:spacing w:line="360" w:lineRule="auto"/>
        <w:ind w:firstLine="482" w:firstLineChars="200"/>
        <w:jc w:val="left"/>
        <w:rPr>
          <w:rFonts w:hint="eastAsia" w:ascii="宋体" w:hAnsi="宋体" w:cs="宋体"/>
          <w:b/>
          <w:bCs/>
          <w:snapToGrid w:val="0"/>
          <w:kern w:val="0"/>
          <w:sz w:val="24"/>
        </w:rPr>
      </w:pPr>
      <w:r>
        <w:rPr>
          <w:rFonts w:hint="eastAsia" w:ascii="宋体" w:hAnsi="宋体" w:cs="宋体"/>
          <w:b/>
          <w:bCs/>
          <w:snapToGrid w:val="0"/>
          <w:kern w:val="0"/>
          <w:sz w:val="24"/>
        </w:rPr>
        <w:t>十一、其他</w:t>
      </w:r>
    </w:p>
    <w:p w14:paraId="31C9581A">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（一）本合同一式陆份，甲方执伍份，乙方执壹份，具有同等法律效力。</w:t>
      </w:r>
    </w:p>
    <w:p w14:paraId="029A4EE2">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（二）本合同由甲方法定代表人或授权</w:t>
      </w:r>
      <w:r>
        <w:rPr>
          <w:rFonts w:hint="eastAsia" w:ascii="宋体" w:hAnsi="宋体" w:cs="宋体"/>
          <w:snapToGrid w:val="0"/>
          <w:kern w:val="0"/>
          <w:sz w:val="24"/>
          <w:lang w:eastAsia="zh-CN"/>
        </w:rPr>
        <w:t>代理人</w:t>
      </w:r>
      <w:r>
        <w:rPr>
          <w:rFonts w:hint="eastAsia" w:ascii="宋体" w:hAnsi="宋体" w:cs="宋体"/>
          <w:snapToGrid w:val="0"/>
          <w:kern w:val="0"/>
          <w:sz w:val="24"/>
        </w:rPr>
        <w:t>、乙方法定代表人或授权</w:t>
      </w:r>
      <w:r>
        <w:rPr>
          <w:rFonts w:hint="eastAsia" w:ascii="宋体" w:hAnsi="宋体" w:cs="宋体"/>
          <w:snapToGrid w:val="0"/>
          <w:kern w:val="0"/>
          <w:sz w:val="24"/>
          <w:lang w:eastAsia="zh-CN"/>
        </w:rPr>
        <w:t>代理人</w:t>
      </w:r>
      <w:r>
        <w:rPr>
          <w:rFonts w:hint="eastAsia" w:ascii="宋体" w:hAnsi="宋体" w:cs="宋体"/>
          <w:snapToGrid w:val="0"/>
          <w:kern w:val="0"/>
          <w:sz w:val="24"/>
        </w:rPr>
        <w:t>签署并加盖合同专用章或单位公章后生效。</w:t>
      </w:r>
    </w:p>
    <w:p w14:paraId="6975CE12">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（三）本合同未尽事宜由双方协商解决（或双方另行签订补充书面协议，补充协议是合同的组成部分）。</w:t>
      </w:r>
    </w:p>
    <w:p w14:paraId="177B6896">
      <w:pPr>
        <w:widowControl/>
        <w:spacing w:line="360" w:lineRule="auto"/>
        <w:ind w:firstLine="480" w:firstLineChars="200"/>
        <w:rPr>
          <w:rFonts w:hint="eastAsia" w:ascii="宋体" w:hAnsi="宋体" w:cs="宋体"/>
          <w:snapToGrid w:val="0"/>
          <w:kern w:val="0"/>
          <w:sz w:val="24"/>
        </w:rPr>
      </w:pPr>
      <w:r>
        <w:rPr>
          <w:rFonts w:hint="eastAsia" w:ascii="宋体" w:hAnsi="宋体" w:cs="宋体"/>
          <w:snapToGrid w:val="0"/>
          <w:kern w:val="0"/>
          <w:sz w:val="24"/>
        </w:rPr>
        <w:t>（四）甲乙双方中的任何一方如更改其名称、开户银行、银行账号时均应及时书面通知对方。甲乙双方的联系方式、开户信息确认如下：</w:t>
      </w:r>
    </w:p>
    <w:p w14:paraId="1152140A">
      <w:pPr>
        <w:widowControl/>
        <w:spacing w:line="440" w:lineRule="atLeast"/>
        <w:ind w:firstLine="480" w:firstLineChars="200"/>
        <w:jc w:val="left"/>
        <w:rPr>
          <w:rFonts w:hint="eastAsia" w:ascii="宋体" w:hAnsi="宋体" w:cs="宋体"/>
          <w:sz w:val="24"/>
        </w:rPr>
      </w:pPr>
    </w:p>
    <w:tbl>
      <w:tblPr>
        <w:tblStyle w:val="25"/>
        <w:tblW w:w="9606" w:type="dxa"/>
        <w:tblInd w:w="-106"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75"/>
        <w:gridCol w:w="2327"/>
        <w:gridCol w:w="1784"/>
        <w:gridCol w:w="729"/>
        <w:gridCol w:w="164"/>
        <w:gridCol w:w="1408"/>
        <w:gridCol w:w="2519"/>
      </w:tblGrid>
      <w:tr w14:paraId="19A9E7C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10" w:hRule="exact"/>
        </w:trPr>
        <w:tc>
          <w:tcPr>
            <w:tcW w:w="675" w:type="dxa"/>
            <w:vMerge w:val="restart"/>
            <w:tcBorders>
              <w:top w:val="single" w:color="auto" w:sz="12" w:space="0"/>
            </w:tcBorders>
            <w:vAlign w:val="center"/>
          </w:tcPr>
          <w:p w14:paraId="7492DFD1">
            <w:pPr>
              <w:jc w:val="center"/>
              <w:rPr>
                <w:rFonts w:hint="eastAsia" w:ascii="宋体" w:hAnsi="宋体" w:cs="宋体"/>
                <w:sz w:val="24"/>
              </w:rPr>
            </w:pPr>
            <w:r>
              <w:rPr>
                <w:rFonts w:hint="eastAsia" w:ascii="宋体" w:hAnsi="宋体" w:cs="宋体"/>
                <w:sz w:val="24"/>
              </w:rPr>
              <w:t>甲方</w:t>
            </w:r>
          </w:p>
        </w:tc>
        <w:tc>
          <w:tcPr>
            <w:tcW w:w="2327" w:type="dxa"/>
            <w:tcBorders>
              <w:top w:val="single" w:color="auto" w:sz="12" w:space="0"/>
            </w:tcBorders>
            <w:vAlign w:val="center"/>
          </w:tcPr>
          <w:p w14:paraId="5AEFC3D8">
            <w:pPr>
              <w:jc w:val="center"/>
              <w:rPr>
                <w:rFonts w:hint="eastAsia" w:ascii="宋体" w:hAnsi="宋体" w:cs="宋体"/>
                <w:sz w:val="24"/>
              </w:rPr>
            </w:pPr>
            <w:r>
              <w:rPr>
                <w:rFonts w:hint="eastAsia" w:ascii="宋体" w:hAnsi="宋体" w:cs="宋体"/>
                <w:sz w:val="24"/>
                <w:lang w:eastAsia="zh-CN"/>
              </w:rPr>
              <w:t>单位</w:t>
            </w:r>
            <w:r>
              <w:rPr>
                <w:rFonts w:hint="eastAsia" w:ascii="宋体" w:hAnsi="宋体" w:cs="宋体"/>
                <w:sz w:val="24"/>
              </w:rPr>
              <w:t>名称</w:t>
            </w:r>
          </w:p>
        </w:tc>
        <w:tc>
          <w:tcPr>
            <w:tcW w:w="4085" w:type="dxa"/>
            <w:gridSpan w:val="4"/>
            <w:tcBorders>
              <w:top w:val="single" w:color="auto" w:sz="12" w:space="0"/>
            </w:tcBorders>
            <w:vAlign w:val="center"/>
          </w:tcPr>
          <w:p w14:paraId="73BB69E2">
            <w:pPr>
              <w:jc w:val="center"/>
              <w:rPr>
                <w:rFonts w:hint="eastAsia" w:ascii="宋体" w:hAnsi="宋体" w:eastAsia="宋体" w:cs="宋体"/>
                <w:sz w:val="24"/>
                <w:lang w:eastAsia="zh-CN"/>
              </w:rPr>
            </w:pPr>
            <w:r>
              <w:rPr>
                <w:rFonts w:hint="eastAsia" w:ascii="宋体" w:hAnsi="宋体" w:cs="宋体"/>
                <w:sz w:val="24"/>
              </w:rPr>
              <w:t>广西壮族自治区</w:t>
            </w:r>
            <w:r>
              <w:rPr>
                <w:rFonts w:hint="eastAsia" w:ascii="宋体" w:hAnsi="宋体" w:cs="宋体"/>
                <w:sz w:val="24"/>
                <w:lang w:eastAsia="zh-CN"/>
              </w:rPr>
              <w:t>水运发展中心</w:t>
            </w:r>
          </w:p>
        </w:tc>
        <w:tc>
          <w:tcPr>
            <w:tcW w:w="2519" w:type="dxa"/>
            <w:vMerge w:val="restart"/>
            <w:tcBorders>
              <w:top w:val="single" w:color="auto" w:sz="12" w:space="0"/>
            </w:tcBorders>
            <w:vAlign w:val="center"/>
          </w:tcPr>
          <w:p w14:paraId="2B42DDF4">
            <w:pPr>
              <w:spacing w:line="360" w:lineRule="auto"/>
              <w:rPr>
                <w:rFonts w:hint="eastAsia" w:ascii="宋体" w:hAnsi="宋体" w:cs="宋体"/>
                <w:sz w:val="24"/>
              </w:rPr>
            </w:pPr>
            <w:r>
              <w:rPr>
                <w:rFonts w:hint="eastAsia" w:ascii="宋体" w:hAnsi="宋体" w:cs="宋体"/>
                <w:sz w:val="24"/>
              </w:rPr>
              <w:t>单位公章</w:t>
            </w:r>
          </w:p>
          <w:p w14:paraId="3B0E06BD">
            <w:pPr>
              <w:rPr>
                <w:rFonts w:hint="eastAsia" w:ascii="宋体" w:hAnsi="宋体" w:cs="宋体"/>
                <w:sz w:val="24"/>
              </w:rPr>
            </w:pPr>
          </w:p>
          <w:p w14:paraId="6C3BA01C">
            <w:pPr>
              <w:rPr>
                <w:rFonts w:hint="eastAsia" w:ascii="宋体" w:hAnsi="宋体" w:cs="宋体"/>
                <w:sz w:val="24"/>
              </w:rPr>
            </w:pPr>
          </w:p>
          <w:p w14:paraId="4ACBCF99">
            <w:pPr>
              <w:rPr>
                <w:rFonts w:hint="eastAsia" w:ascii="宋体" w:hAnsi="宋体" w:cs="宋体"/>
                <w:sz w:val="24"/>
              </w:rPr>
            </w:pPr>
          </w:p>
          <w:p w14:paraId="4EDAFF2F">
            <w:pPr>
              <w:rPr>
                <w:rFonts w:hint="eastAsia" w:ascii="宋体" w:hAnsi="宋体" w:cs="宋体"/>
                <w:sz w:val="24"/>
              </w:rPr>
            </w:pPr>
          </w:p>
          <w:p w14:paraId="084F5770">
            <w:pPr>
              <w:ind w:firstLine="720" w:firstLineChars="300"/>
              <w:rPr>
                <w:rFonts w:hint="eastAsia" w:ascii="宋体" w:hAnsi="宋体" w:cs="宋体"/>
                <w:sz w:val="24"/>
              </w:rPr>
            </w:pPr>
            <w:r>
              <w:rPr>
                <w:rFonts w:hint="eastAsia" w:ascii="宋体" w:hAnsi="宋体" w:cs="宋体"/>
                <w:sz w:val="24"/>
              </w:rPr>
              <w:t>年  月  日</w:t>
            </w:r>
          </w:p>
          <w:p w14:paraId="130DD6D7">
            <w:pPr>
              <w:rPr>
                <w:rFonts w:hint="eastAsia" w:ascii="宋体" w:hAnsi="宋体" w:cs="宋体"/>
                <w:sz w:val="24"/>
              </w:rPr>
            </w:pPr>
          </w:p>
        </w:tc>
      </w:tr>
      <w:tr w14:paraId="5A34DBE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7" w:hRule="atLeast"/>
        </w:trPr>
        <w:tc>
          <w:tcPr>
            <w:tcW w:w="675" w:type="dxa"/>
            <w:vMerge w:val="continue"/>
            <w:vAlign w:val="center"/>
          </w:tcPr>
          <w:p w14:paraId="3557B4C7">
            <w:pPr>
              <w:jc w:val="center"/>
              <w:rPr>
                <w:rFonts w:hint="eastAsia" w:ascii="宋体" w:hAnsi="宋体" w:cs="宋体"/>
                <w:sz w:val="24"/>
              </w:rPr>
            </w:pPr>
          </w:p>
        </w:tc>
        <w:tc>
          <w:tcPr>
            <w:tcW w:w="2327" w:type="dxa"/>
            <w:vAlign w:val="center"/>
          </w:tcPr>
          <w:p w14:paraId="674F561B">
            <w:pPr>
              <w:jc w:val="center"/>
              <w:rPr>
                <w:rFonts w:hint="eastAsia" w:ascii="宋体" w:hAnsi="宋体" w:cs="宋体"/>
                <w:sz w:val="24"/>
              </w:rPr>
            </w:pPr>
            <w:r>
              <w:rPr>
                <w:rFonts w:hint="eastAsia" w:ascii="宋体" w:hAnsi="宋体" w:cs="宋体"/>
                <w:sz w:val="24"/>
              </w:rPr>
              <w:t>法定代表人或委托代理人签字或盖章</w:t>
            </w:r>
          </w:p>
        </w:tc>
        <w:tc>
          <w:tcPr>
            <w:tcW w:w="4085" w:type="dxa"/>
            <w:gridSpan w:val="4"/>
            <w:vAlign w:val="center"/>
          </w:tcPr>
          <w:p w14:paraId="086D4906">
            <w:pPr>
              <w:jc w:val="center"/>
              <w:rPr>
                <w:rFonts w:hint="eastAsia" w:ascii="宋体" w:hAnsi="宋体" w:cs="宋体"/>
                <w:sz w:val="24"/>
              </w:rPr>
            </w:pPr>
          </w:p>
        </w:tc>
        <w:tc>
          <w:tcPr>
            <w:tcW w:w="2519" w:type="dxa"/>
            <w:vMerge w:val="continue"/>
            <w:vAlign w:val="center"/>
          </w:tcPr>
          <w:p w14:paraId="0E3FBDC8">
            <w:pPr>
              <w:rPr>
                <w:rFonts w:hint="eastAsia" w:ascii="宋体" w:hAnsi="宋体" w:cs="宋体"/>
                <w:sz w:val="24"/>
              </w:rPr>
            </w:pPr>
          </w:p>
        </w:tc>
      </w:tr>
      <w:tr w14:paraId="146E02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exact"/>
        </w:trPr>
        <w:tc>
          <w:tcPr>
            <w:tcW w:w="675" w:type="dxa"/>
            <w:vMerge w:val="continue"/>
            <w:vAlign w:val="center"/>
          </w:tcPr>
          <w:p w14:paraId="5273975D">
            <w:pPr>
              <w:jc w:val="center"/>
              <w:rPr>
                <w:rFonts w:hint="eastAsia" w:ascii="宋体" w:hAnsi="宋体" w:cs="宋体"/>
                <w:sz w:val="24"/>
              </w:rPr>
            </w:pPr>
          </w:p>
        </w:tc>
        <w:tc>
          <w:tcPr>
            <w:tcW w:w="2327" w:type="dxa"/>
            <w:vAlign w:val="center"/>
          </w:tcPr>
          <w:p w14:paraId="0FD9A767">
            <w:pPr>
              <w:jc w:val="center"/>
              <w:rPr>
                <w:rFonts w:hint="eastAsia" w:ascii="宋体" w:hAnsi="宋体" w:cs="宋体"/>
                <w:sz w:val="24"/>
              </w:rPr>
            </w:pPr>
            <w:r>
              <w:rPr>
                <w:rFonts w:hint="eastAsia" w:ascii="宋体" w:hAnsi="宋体" w:cs="宋体"/>
                <w:sz w:val="24"/>
              </w:rPr>
              <w:t>联系（经办）人</w:t>
            </w:r>
          </w:p>
        </w:tc>
        <w:tc>
          <w:tcPr>
            <w:tcW w:w="4085" w:type="dxa"/>
            <w:gridSpan w:val="4"/>
            <w:vAlign w:val="center"/>
          </w:tcPr>
          <w:p w14:paraId="2A74A3B5">
            <w:pPr>
              <w:jc w:val="center"/>
              <w:rPr>
                <w:rFonts w:hint="eastAsia" w:ascii="宋体" w:hAnsi="宋体" w:cs="宋体"/>
                <w:sz w:val="24"/>
              </w:rPr>
            </w:pPr>
          </w:p>
        </w:tc>
        <w:tc>
          <w:tcPr>
            <w:tcW w:w="2519" w:type="dxa"/>
            <w:vMerge w:val="continue"/>
            <w:vAlign w:val="center"/>
          </w:tcPr>
          <w:p w14:paraId="24516935">
            <w:pPr>
              <w:rPr>
                <w:rFonts w:hint="eastAsia" w:ascii="宋体" w:hAnsi="宋体" w:cs="宋体"/>
                <w:sz w:val="24"/>
              </w:rPr>
            </w:pPr>
          </w:p>
        </w:tc>
      </w:tr>
      <w:tr w14:paraId="66EC58B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06" w:hRule="exact"/>
        </w:trPr>
        <w:tc>
          <w:tcPr>
            <w:tcW w:w="675" w:type="dxa"/>
            <w:vMerge w:val="continue"/>
            <w:vAlign w:val="center"/>
          </w:tcPr>
          <w:p w14:paraId="743B5B40">
            <w:pPr>
              <w:jc w:val="center"/>
              <w:rPr>
                <w:rFonts w:hint="eastAsia" w:ascii="宋体" w:hAnsi="宋体" w:cs="宋体"/>
                <w:sz w:val="24"/>
              </w:rPr>
            </w:pPr>
          </w:p>
        </w:tc>
        <w:tc>
          <w:tcPr>
            <w:tcW w:w="2327" w:type="dxa"/>
            <w:vAlign w:val="center"/>
          </w:tcPr>
          <w:p w14:paraId="77D089E0">
            <w:pPr>
              <w:adjustRightInd w:val="0"/>
              <w:snapToGrid w:val="0"/>
              <w:jc w:val="center"/>
              <w:rPr>
                <w:rFonts w:hint="eastAsia" w:ascii="宋体" w:hAnsi="宋体" w:cs="宋体"/>
                <w:sz w:val="24"/>
              </w:rPr>
            </w:pPr>
            <w:r>
              <w:rPr>
                <w:rFonts w:hint="eastAsia" w:ascii="宋体" w:hAnsi="宋体" w:cs="宋体"/>
                <w:sz w:val="24"/>
              </w:rPr>
              <w:t>住  所</w:t>
            </w:r>
          </w:p>
          <w:p w14:paraId="5C7F7073">
            <w:pPr>
              <w:jc w:val="center"/>
              <w:rPr>
                <w:rFonts w:hint="eastAsia" w:ascii="宋体" w:hAnsi="宋体" w:cs="宋体"/>
                <w:sz w:val="24"/>
              </w:rPr>
            </w:pPr>
            <w:r>
              <w:rPr>
                <w:rFonts w:hint="eastAsia" w:ascii="宋体" w:hAnsi="宋体" w:cs="宋体"/>
                <w:sz w:val="24"/>
              </w:rPr>
              <w:t>（通讯地址）</w:t>
            </w:r>
          </w:p>
        </w:tc>
        <w:tc>
          <w:tcPr>
            <w:tcW w:w="4085" w:type="dxa"/>
            <w:gridSpan w:val="4"/>
            <w:vAlign w:val="center"/>
          </w:tcPr>
          <w:p w14:paraId="7C5CEDBD">
            <w:pPr>
              <w:snapToGrid w:val="0"/>
              <w:jc w:val="center"/>
              <w:rPr>
                <w:rFonts w:hint="eastAsia" w:ascii="宋体" w:hAnsi="宋体" w:cs="宋体"/>
                <w:sz w:val="24"/>
              </w:rPr>
            </w:pPr>
          </w:p>
        </w:tc>
        <w:tc>
          <w:tcPr>
            <w:tcW w:w="2519" w:type="dxa"/>
            <w:vMerge w:val="continue"/>
            <w:vAlign w:val="center"/>
          </w:tcPr>
          <w:p w14:paraId="42CE410C">
            <w:pPr>
              <w:rPr>
                <w:rFonts w:hint="eastAsia" w:ascii="宋体" w:hAnsi="宋体" w:cs="宋体"/>
                <w:sz w:val="24"/>
              </w:rPr>
            </w:pPr>
          </w:p>
        </w:tc>
      </w:tr>
      <w:tr w14:paraId="55E7812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67" w:hRule="exact"/>
        </w:trPr>
        <w:tc>
          <w:tcPr>
            <w:tcW w:w="675" w:type="dxa"/>
            <w:vMerge w:val="continue"/>
            <w:vAlign w:val="center"/>
          </w:tcPr>
          <w:p w14:paraId="60A9BBCD">
            <w:pPr>
              <w:jc w:val="center"/>
              <w:rPr>
                <w:rFonts w:hint="eastAsia" w:ascii="宋体" w:hAnsi="宋体" w:cs="宋体"/>
                <w:sz w:val="24"/>
              </w:rPr>
            </w:pPr>
          </w:p>
        </w:tc>
        <w:tc>
          <w:tcPr>
            <w:tcW w:w="2327" w:type="dxa"/>
            <w:vAlign w:val="center"/>
          </w:tcPr>
          <w:p w14:paraId="3D80A1B3">
            <w:pPr>
              <w:adjustRightInd w:val="0"/>
              <w:snapToGrid w:val="0"/>
              <w:jc w:val="center"/>
              <w:rPr>
                <w:rFonts w:hint="eastAsia" w:ascii="宋体" w:hAnsi="宋体" w:cs="宋体"/>
                <w:sz w:val="24"/>
              </w:rPr>
            </w:pPr>
            <w:r>
              <w:rPr>
                <w:rFonts w:hint="eastAsia" w:ascii="宋体" w:hAnsi="宋体" w:cs="宋体"/>
                <w:sz w:val="24"/>
              </w:rPr>
              <w:t>电  话</w:t>
            </w:r>
          </w:p>
        </w:tc>
        <w:tc>
          <w:tcPr>
            <w:tcW w:w="1784" w:type="dxa"/>
            <w:vAlign w:val="center"/>
          </w:tcPr>
          <w:p w14:paraId="4E5B95B9">
            <w:pPr>
              <w:adjustRightInd w:val="0"/>
              <w:snapToGrid w:val="0"/>
              <w:jc w:val="left"/>
              <w:rPr>
                <w:rFonts w:hint="eastAsia" w:ascii="宋体" w:hAnsi="宋体" w:cs="宋体"/>
                <w:sz w:val="24"/>
              </w:rPr>
            </w:pPr>
          </w:p>
        </w:tc>
        <w:tc>
          <w:tcPr>
            <w:tcW w:w="729" w:type="dxa"/>
            <w:vAlign w:val="center"/>
          </w:tcPr>
          <w:p w14:paraId="2F56E593">
            <w:pPr>
              <w:adjustRightInd w:val="0"/>
              <w:snapToGrid w:val="0"/>
              <w:jc w:val="center"/>
              <w:rPr>
                <w:rFonts w:hint="eastAsia" w:ascii="宋体" w:hAnsi="宋体" w:cs="宋体"/>
                <w:sz w:val="24"/>
              </w:rPr>
            </w:pPr>
            <w:r>
              <w:rPr>
                <w:rFonts w:hint="eastAsia" w:ascii="宋体" w:hAnsi="宋体" w:cs="宋体"/>
                <w:sz w:val="24"/>
              </w:rPr>
              <w:t>邮政</w:t>
            </w:r>
          </w:p>
          <w:p w14:paraId="49679A83">
            <w:pPr>
              <w:adjustRightInd w:val="0"/>
              <w:snapToGrid w:val="0"/>
              <w:jc w:val="center"/>
              <w:rPr>
                <w:rFonts w:hint="eastAsia" w:ascii="宋体" w:hAnsi="宋体" w:cs="宋体"/>
                <w:sz w:val="24"/>
              </w:rPr>
            </w:pPr>
            <w:r>
              <w:rPr>
                <w:rFonts w:hint="eastAsia" w:ascii="宋体" w:hAnsi="宋体" w:cs="宋体"/>
                <w:sz w:val="24"/>
              </w:rPr>
              <w:t>编码</w:t>
            </w:r>
          </w:p>
        </w:tc>
        <w:tc>
          <w:tcPr>
            <w:tcW w:w="1572" w:type="dxa"/>
            <w:gridSpan w:val="2"/>
            <w:vAlign w:val="center"/>
          </w:tcPr>
          <w:p w14:paraId="02B57A53">
            <w:pPr>
              <w:jc w:val="center"/>
              <w:rPr>
                <w:rFonts w:hint="eastAsia" w:ascii="宋体" w:hAnsi="宋体" w:cs="宋体"/>
                <w:sz w:val="24"/>
              </w:rPr>
            </w:pPr>
          </w:p>
        </w:tc>
        <w:tc>
          <w:tcPr>
            <w:tcW w:w="2519" w:type="dxa"/>
            <w:vMerge w:val="continue"/>
            <w:vAlign w:val="center"/>
          </w:tcPr>
          <w:p w14:paraId="4B6CCDC2">
            <w:pPr>
              <w:rPr>
                <w:rFonts w:hint="eastAsia" w:ascii="宋体" w:hAnsi="宋体" w:cs="宋体"/>
                <w:sz w:val="24"/>
              </w:rPr>
            </w:pPr>
          </w:p>
        </w:tc>
      </w:tr>
      <w:tr w14:paraId="268A2FF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exact"/>
        </w:trPr>
        <w:tc>
          <w:tcPr>
            <w:tcW w:w="675" w:type="dxa"/>
            <w:vMerge w:val="continue"/>
            <w:vAlign w:val="center"/>
          </w:tcPr>
          <w:p w14:paraId="7924F935">
            <w:pPr>
              <w:jc w:val="center"/>
              <w:rPr>
                <w:rFonts w:hint="eastAsia" w:ascii="宋体" w:hAnsi="宋体" w:cs="宋体"/>
                <w:sz w:val="24"/>
              </w:rPr>
            </w:pPr>
          </w:p>
        </w:tc>
        <w:tc>
          <w:tcPr>
            <w:tcW w:w="4840" w:type="dxa"/>
            <w:gridSpan w:val="3"/>
            <w:vAlign w:val="center"/>
          </w:tcPr>
          <w:p w14:paraId="5B5A7DF6">
            <w:pPr>
              <w:jc w:val="center"/>
              <w:rPr>
                <w:rFonts w:hint="eastAsia" w:ascii="宋体" w:hAnsi="宋体" w:cs="宋体"/>
                <w:sz w:val="24"/>
              </w:rPr>
            </w:pPr>
            <w:r>
              <w:rPr>
                <w:rFonts w:hint="eastAsia" w:ascii="宋体" w:hAnsi="宋体" w:cs="宋体"/>
                <w:sz w:val="24"/>
              </w:rPr>
              <w:t>传真</w:t>
            </w:r>
          </w:p>
        </w:tc>
        <w:tc>
          <w:tcPr>
            <w:tcW w:w="1572" w:type="dxa"/>
            <w:gridSpan w:val="2"/>
            <w:vAlign w:val="center"/>
          </w:tcPr>
          <w:p w14:paraId="4E18B40C">
            <w:pPr>
              <w:jc w:val="center"/>
              <w:rPr>
                <w:rFonts w:hint="eastAsia" w:ascii="宋体" w:hAnsi="宋体" w:cs="宋体"/>
                <w:sz w:val="24"/>
              </w:rPr>
            </w:pPr>
          </w:p>
        </w:tc>
        <w:tc>
          <w:tcPr>
            <w:tcW w:w="2519" w:type="dxa"/>
            <w:vMerge w:val="continue"/>
            <w:vAlign w:val="center"/>
          </w:tcPr>
          <w:p w14:paraId="140E2FEC">
            <w:pPr>
              <w:rPr>
                <w:rFonts w:hint="eastAsia" w:ascii="宋体" w:hAnsi="宋体" w:cs="宋体"/>
                <w:sz w:val="24"/>
              </w:rPr>
            </w:pPr>
          </w:p>
        </w:tc>
      </w:tr>
      <w:tr w14:paraId="6FC7C6F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exact"/>
        </w:trPr>
        <w:tc>
          <w:tcPr>
            <w:tcW w:w="675" w:type="dxa"/>
            <w:vMerge w:val="restart"/>
            <w:vAlign w:val="center"/>
          </w:tcPr>
          <w:p w14:paraId="418CD065">
            <w:pPr>
              <w:jc w:val="center"/>
              <w:rPr>
                <w:rFonts w:hint="eastAsia" w:ascii="宋体" w:hAnsi="宋体" w:cs="宋体"/>
                <w:sz w:val="24"/>
              </w:rPr>
            </w:pPr>
            <w:r>
              <w:rPr>
                <w:rFonts w:hint="eastAsia" w:ascii="宋体" w:hAnsi="宋体" w:cs="宋体"/>
                <w:sz w:val="24"/>
              </w:rPr>
              <w:t>乙方</w:t>
            </w:r>
          </w:p>
        </w:tc>
        <w:tc>
          <w:tcPr>
            <w:tcW w:w="2327" w:type="dxa"/>
            <w:vAlign w:val="center"/>
          </w:tcPr>
          <w:p w14:paraId="3117D2DE">
            <w:pPr>
              <w:jc w:val="center"/>
              <w:rPr>
                <w:rFonts w:hint="eastAsia" w:ascii="宋体" w:hAnsi="宋体" w:cs="宋体"/>
                <w:sz w:val="24"/>
              </w:rPr>
            </w:pPr>
            <w:r>
              <w:rPr>
                <w:rFonts w:hint="eastAsia" w:ascii="宋体" w:hAnsi="宋体" w:cs="宋体"/>
                <w:sz w:val="24"/>
                <w:lang w:eastAsia="zh-CN"/>
              </w:rPr>
              <w:t>单位</w:t>
            </w:r>
            <w:r>
              <w:rPr>
                <w:rFonts w:hint="eastAsia" w:ascii="宋体" w:hAnsi="宋体" w:cs="宋体"/>
                <w:sz w:val="24"/>
              </w:rPr>
              <w:t>名称</w:t>
            </w:r>
          </w:p>
        </w:tc>
        <w:tc>
          <w:tcPr>
            <w:tcW w:w="4085" w:type="dxa"/>
            <w:gridSpan w:val="4"/>
            <w:vAlign w:val="center"/>
          </w:tcPr>
          <w:p w14:paraId="61680606">
            <w:pPr>
              <w:snapToGrid w:val="0"/>
              <w:jc w:val="center"/>
              <w:rPr>
                <w:rFonts w:hint="eastAsia" w:ascii="宋体" w:hAnsi="宋体" w:cs="宋体"/>
                <w:sz w:val="24"/>
              </w:rPr>
            </w:pPr>
          </w:p>
        </w:tc>
        <w:tc>
          <w:tcPr>
            <w:tcW w:w="2519" w:type="dxa"/>
            <w:vMerge w:val="restart"/>
            <w:vAlign w:val="center"/>
          </w:tcPr>
          <w:p w14:paraId="277BD2EB">
            <w:pPr>
              <w:spacing w:line="360" w:lineRule="auto"/>
              <w:rPr>
                <w:rFonts w:hint="eastAsia" w:ascii="宋体" w:hAnsi="宋体" w:cs="宋体"/>
                <w:sz w:val="24"/>
              </w:rPr>
            </w:pPr>
            <w:r>
              <w:rPr>
                <w:rFonts w:hint="eastAsia" w:ascii="宋体" w:hAnsi="宋体" w:cs="宋体"/>
                <w:sz w:val="24"/>
              </w:rPr>
              <w:t>单位公章</w:t>
            </w:r>
          </w:p>
          <w:p w14:paraId="752A763A">
            <w:pPr>
              <w:rPr>
                <w:rFonts w:hint="eastAsia" w:ascii="宋体" w:hAnsi="宋体" w:cs="宋体"/>
                <w:sz w:val="24"/>
              </w:rPr>
            </w:pPr>
          </w:p>
          <w:p w14:paraId="42D9CF95">
            <w:pPr>
              <w:rPr>
                <w:rFonts w:hint="eastAsia" w:ascii="宋体" w:hAnsi="宋体" w:cs="宋体"/>
                <w:sz w:val="24"/>
              </w:rPr>
            </w:pPr>
          </w:p>
          <w:p w14:paraId="6C12E469">
            <w:pPr>
              <w:rPr>
                <w:rFonts w:hint="eastAsia" w:ascii="宋体" w:hAnsi="宋体" w:cs="宋体"/>
                <w:sz w:val="24"/>
              </w:rPr>
            </w:pPr>
          </w:p>
          <w:p w14:paraId="69D8D2CD">
            <w:pPr>
              <w:rPr>
                <w:rFonts w:hint="eastAsia" w:ascii="宋体" w:hAnsi="宋体" w:cs="宋体"/>
                <w:sz w:val="24"/>
              </w:rPr>
            </w:pPr>
          </w:p>
          <w:p w14:paraId="6CB45415">
            <w:pPr>
              <w:ind w:firstLine="720" w:firstLineChars="300"/>
              <w:rPr>
                <w:rFonts w:hint="eastAsia" w:ascii="宋体" w:hAnsi="宋体" w:cs="宋体"/>
                <w:sz w:val="24"/>
              </w:rPr>
            </w:pPr>
            <w:r>
              <w:rPr>
                <w:rFonts w:hint="eastAsia" w:ascii="宋体" w:hAnsi="宋体" w:cs="宋体"/>
                <w:sz w:val="24"/>
              </w:rPr>
              <w:t>年  月  日</w:t>
            </w:r>
          </w:p>
          <w:p w14:paraId="04DEFE19">
            <w:pPr>
              <w:rPr>
                <w:rFonts w:hint="eastAsia" w:ascii="宋体" w:hAnsi="宋体" w:cs="宋体"/>
                <w:sz w:val="24"/>
              </w:rPr>
            </w:pPr>
          </w:p>
          <w:p w14:paraId="6AFE0058">
            <w:pPr>
              <w:rPr>
                <w:rFonts w:hint="eastAsia" w:ascii="宋体" w:hAnsi="宋体" w:cs="宋体"/>
                <w:sz w:val="24"/>
              </w:rPr>
            </w:pPr>
          </w:p>
        </w:tc>
      </w:tr>
      <w:tr w14:paraId="52D59E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exact"/>
        </w:trPr>
        <w:tc>
          <w:tcPr>
            <w:tcW w:w="675" w:type="dxa"/>
            <w:vMerge w:val="continue"/>
            <w:vAlign w:val="center"/>
          </w:tcPr>
          <w:p w14:paraId="16902FD0">
            <w:pPr>
              <w:jc w:val="center"/>
              <w:rPr>
                <w:rFonts w:hint="eastAsia" w:ascii="宋体" w:hAnsi="宋体" w:cs="宋体"/>
                <w:sz w:val="24"/>
              </w:rPr>
            </w:pPr>
          </w:p>
        </w:tc>
        <w:tc>
          <w:tcPr>
            <w:tcW w:w="2327" w:type="dxa"/>
            <w:vAlign w:val="center"/>
          </w:tcPr>
          <w:p w14:paraId="34301F36">
            <w:pPr>
              <w:jc w:val="center"/>
              <w:rPr>
                <w:rFonts w:hint="eastAsia" w:ascii="宋体" w:hAnsi="宋体" w:cs="宋体"/>
                <w:sz w:val="24"/>
              </w:rPr>
            </w:pPr>
            <w:r>
              <w:rPr>
                <w:rFonts w:hint="eastAsia" w:ascii="宋体" w:hAnsi="宋体" w:cs="宋体"/>
                <w:sz w:val="24"/>
              </w:rPr>
              <w:t>法定代表人或委托代理人签字或盖章</w:t>
            </w:r>
          </w:p>
        </w:tc>
        <w:tc>
          <w:tcPr>
            <w:tcW w:w="4085" w:type="dxa"/>
            <w:gridSpan w:val="4"/>
            <w:vAlign w:val="center"/>
          </w:tcPr>
          <w:p w14:paraId="51A6FA37">
            <w:pPr>
              <w:jc w:val="center"/>
              <w:rPr>
                <w:rFonts w:hint="eastAsia" w:ascii="宋体" w:hAnsi="宋体" w:cs="宋体"/>
                <w:sz w:val="24"/>
              </w:rPr>
            </w:pPr>
          </w:p>
        </w:tc>
        <w:tc>
          <w:tcPr>
            <w:tcW w:w="2519" w:type="dxa"/>
            <w:vMerge w:val="continue"/>
            <w:vAlign w:val="center"/>
          </w:tcPr>
          <w:p w14:paraId="2040810D">
            <w:pPr>
              <w:rPr>
                <w:rFonts w:hint="eastAsia" w:ascii="宋体" w:hAnsi="宋体" w:cs="宋体"/>
                <w:sz w:val="24"/>
              </w:rPr>
            </w:pPr>
          </w:p>
        </w:tc>
      </w:tr>
      <w:tr w14:paraId="3989C05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exact"/>
        </w:trPr>
        <w:tc>
          <w:tcPr>
            <w:tcW w:w="675" w:type="dxa"/>
            <w:vMerge w:val="continue"/>
            <w:vAlign w:val="center"/>
          </w:tcPr>
          <w:p w14:paraId="3A7135F9">
            <w:pPr>
              <w:jc w:val="center"/>
              <w:rPr>
                <w:rFonts w:hint="eastAsia" w:ascii="宋体" w:hAnsi="宋体" w:cs="宋体"/>
                <w:sz w:val="24"/>
              </w:rPr>
            </w:pPr>
          </w:p>
        </w:tc>
        <w:tc>
          <w:tcPr>
            <w:tcW w:w="2327" w:type="dxa"/>
            <w:vAlign w:val="center"/>
          </w:tcPr>
          <w:p w14:paraId="635240EB">
            <w:pPr>
              <w:jc w:val="center"/>
              <w:rPr>
                <w:rFonts w:hint="eastAsia" w:ascii="宋体" w:hAnsi="宋体" w:cs="宋体"/>
                <w:sz w:val="24"/>
              </w:rPr>
            </w:pPr>
            <w:r>
              <w:rPr>
                <w:rFonts w:hint="eastAsia" w:ascii="宋体" w:hAnsi="宋体" w:cs="宋体"/>
                <w:sz w:val="24"/>
              </w:rPr>
              <w:t>联系（经办）人</w:t>
            </w:r>
          </w:p>
        </w:tc>
        <w:tc>
          <w:tcPr>
            <w:tcW w:w="4085" w:type="dxa"/>
            <w:gridSpan w:val="4"/>
            <w:vAlign w:val="center"/>
          </w:tcPr>
          <w:p w14:paraId="10D44C86">
            <w:pPr>
              <w:jc w:val="center"/>
              <w:rPr>
                <w:rFonts w:hint="eastAsia" w:ascii="宋体" w:hAnsi="宋体" w:cs="宋体"/>
                <w:sz w:val="24"/>
              </w:rPr>
            </w:pPr>
          </w:p>
        </w:tc>
        <w:tc>
          <w:tcPr>
            <w:tcW w:w="2519" w:type="dxa"/>
            <w:vMerge w:val="continue"/>
            <w:vAlign w:val="center"/>
          </w:tcPr>
          <w:p w14:paraId="65DA439E">
            <w:pPr>
              <w:jc w:val="center"/>
              <w:rPr>
                <w:rFonts w:hint="eastAsia" w:ascii="宋体" w:hAnsi="宋体" w:cs="宋体"/>
                <w:sz w:val="24"/>
              </w:rPr>
            </w:pPr>
          </w:p>
        </w:tc>
      </w:tr>
      <w:tr w14:paraId="2560D34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26" w:hRule="exact"/>
        </w:trPr>
        <w:tc>
          <w:tcPr>
            <w:tcW w:w="675" w:type="dxa"/>
            <w:vMerge w:val="continue"/>
            <w:vAlign w:val="center"/>
          </w:tcPr>
          <w:p w14:paraId="622B4215">
            <w:pPr>
              <w:jc w:val="center"/>
              <w:rPr>
                <w:rFonts w:hint="eastAsia" w:ascii="宋体" w:hAnsi="宋体" w:cs="宋体"/>
                <w:sz w:val="24"/>
              </w:rPr>
            </w:pPr>
          </w:p>
        </w:tc>
        <w:tc>
          <w:tcPr>
            <w:tcW w:w="2327" w:type="dxa"/>
            <w:vAlign w:val="center"/>
          </w:tcPr>
          <w:p w14:paraId="1B0A21D0">
            <w:pPr>
              <w:adjustRightInd w:val="0"/>
              <w:snapToGrid w:val="0"/>
              <w:jc w:val="center"/>
              <w:rPr>
                <w:rFonts w:hint="eastAsia" w:ascii="宋体" w:hAnsi="宋体" w:cs="宋体"/>
                <w:sz w:val="24"/>
              </w:rPr>
            </w:pPr>
            <w:r>
              <w:rPr>
                <w:rFonts w:hint="eastAsia" w:ascii="宋体" w:hAnsi="宋体" w:cs="宋体"/>
                <w:sz w:val="24"/>
              </w:rPr>
              <w:t>住  所</w:t>
            </w:r>
          </w:p>
          <w:p w14:paraId="70D28DDD">
            <w:pPr>
              <w:jc w:val="center"/>
              <w:rPr>
                <w:rFonts w:hint="eastAsia" w:ascii="宋体" w:hAnsi="宋体" w:cs="宋体"/>
                <w:sz w:val="24"/>
              </w:rPr>
            </w:pPr>
            <w:r>
              <w:rPr>
                <w:rFonts w:hint="eastAsia" w:ascii="宋体" w:hAnsi="宋体" w:cs="宋体"/>
                <w:sz w:val="24"/>
              </w:rPr>
              <w:t>（通讯地址）</w:t>
            </w:r>
          </w:p>
        </w:tc>
        <w:tc>
          <w:tcPr>
            <w:tcW w:w="4085" w:type="dxa"/>
            <w:gridSpan w:val="4"/>
            <w:vAlign w:val="center"/>
          </w:tcPr>
          <w:p w14:paraId="034ADB46">
            <w:pPr>
              <w:snapToGrid w:val="0"/>
              <w:jc w:val="center"/>
              <w:rPr>
                <w:rFonts w:hint="eastAsia" w:ascii="宋体" w:hAnsi="宋体" w:cs="宋体"/>
                <w:sz w:val="24"/>
              </w:rPr>
            </w:pPr>
          </w:p>
        </w:tc>
        <w:tc>
          <w:tcPr>
            <w:tcW w:w="2519" w:type="dxa"/>
            <w:vMerge w:val="continue"/>
            <w:vAlign w:val="center"/>
          </w:tcPr>
          <w:p w14:paraId="0EFE0DEC">
            <w:pPr>
              <w:jc w:val="center"/>
              <w:rPr>
                <w:rFonts w:hint="eastAsia" w:ascii="宋体" w:hAnsi="宋体" w:cs="宋体"/>
                <w:sz w:val="24"/>
              </w:rPr>
            </w:pPr>
          </w:p>
        </w:tc>
      </w:tr>
      <w:tr w14:paraId="4045316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42" w:hRule="exact"/>
        </w:trPr>
        <w:tc>
          <w:tcPr>
            <w:tcW w:w="675" w:type="dxa"/>
            <w:vMerge w:val="continue"/>
            <w:vAlign w:val="center"/>
          </w:tcPr>
          <w:p w14:paraId="3A5268CA">
            <w:pPr>
              <w:jc w:val="center"/>
              <w:rPr>
                <w:rFonts w:hint="eastAsia" w:ascii="宋体" w:hAnsi="宋体" w:cs="宋体"/>
                <w:sz w:val="24"/>
              </w:rPr>
            </w:pPr>
          </w:p>
        </w:tc>
        <w:tc>
          <w:tcPr>
            <w:tcW w:w="2327" w:type="dxa"/>
            <w:vAlign w:val="center"/>
          </w:tcPr>
          <w:p w14:paraId="07524B7D">
            <w:pPr>
              <w:adjustRightInd w:val="0"/>
              <w:snapToGrid w:val="0"/>
              <w:jc w:val="center"/>
              <w:rPr>
                <w:rFonts w:hint="eastAsia" w:ascii="宋体" w:hAnsi="宋体" w:cs="宋体"/>
                <w:sz w:val="24"/>
              </w:rPr>
            </w:pPr>
            <w:r>
              <w:rPr>
                <w:rFonts w:hint="eastAsia" w:ascii="宋体" w:hAnsi="宋体" w:cs="宋体"/>
                <w:sz w:val="24"/>
              </w:rPr>
              <w:t>电  话</w:t>
            </w:r>
          </w:p>
        </w:tc>
        <w:tc>
          <w:tcPr>
            <w:tcW w:w="1784" w:type="dxa"/>
            <w:vAlign w:val="center"/>
          </w:tcPr>
          <w:p w14:paraId="1BF056CD">
            <w:pPr>
              <w:adjustRightInd w:val="0"/>
              <w:snapToGrid w:val="0"/>
              <w:jc w:val="left"/>
              <w:rPr>
                <w:rFonts w:hint="eastAsia" w:ascii="宋体" w:hAnsi="宋体" w:cs="宋体"/>
                <w:sz w:val="24"/>
              </w:rPr>
            </w:pPr>
          </w:p>
        </w:tc>
        <w:tc>
          <w:tcPr>
            <w:tcW w:w="893" w:type="dxa"/>
            <w:gridSpan w:val="2"/>
            <w:vAlign w:val="center"/>
          </w:tcPr>
          <w:p w14:paraId="33111B2D">
            <w:pPr>
              <w:adjustRightInd w:val="0"/>
              <w:snapToGrid w:val="0"/>
              <w:jc w:val="center"/>
              <w:rPr>
                <w:rFonts w:hint="eastAsia" w:ascii="宋体" w:hAnsi="宋体" w:cs="宋体"/>
                <w:sz w:val="24"/>
              </w:rPr>
            </w:pPr>
            <w:r>
              <w:rPr>
                <w:rFonts w:hint="eastAsia" w:ascii="宋体" w:hAnsi="宋体" w:cs="宋体"/>
                <w:sz w:val="24"/>
              </w:rPr>
              <w:t>邮政编码</w:t>
            </w:r>
          </w:p>
        </w:tc>
        <w:tc>
          <w:tcPr>
            <w:tcW w:w="1408" w:type="dxa"/>
            <w:vAlign w:val="center"/>
          </w:tcPr>
          <w:p w14:paraId="03FB517A">
            <w:pPr>
              <w:jc w:val="center"/>
              <w:rPr>
                <w:rFonts w:hint="eastAsia" w:ascii="宋体" w:hAnsi="宋体" w:cs="宋体"/>
                <w:sz w:val="24"/>
              </w:rPr>
            </w:pPr>
          </w:p>
        </w:tc>
        <w:tc>
          <w:tcPr>
            <w:tcW w:w="2519" w:type="dxa"/>
            <w:vMerge w:val="continue"/>
            <w:vAlign w:val="center"/>
          </w:tcPr>
          <w:p w14:paraId="7E9C9291">
            <w:pPr>
              <w:jc w:val="center"/>
              <w:rPr>
                <w:rFonts w:hint="eastAsia" w:ascii="宋体" w:hAnsi="宋体" w:cs="宋体"/>
                <w:sz w:val="24"/>
              </w:rPr>
            </w:pPr>
          </w:p>
        </w:tc>
      </w:tr>
      <w:tr w14:paraId="5B5423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23" w:hRule="exact"/>
        </w:trPr>
        <w:tc>
          <w:tcPr>
            <w:tcW w:w="675" w:type="dxa"/>
            <w:vMerge w:val="continue"/>
            <w:vAlign w:val="center"/>
          </w:tcPr>
          <w:p w14:paraId="17483B6B">
            <w:pPr>
              <w:jc w:val="center"/>
              <w:rPr>
                <w:rFonts w:hint="eastAsia" w:ascii="宋体" w:hAnsi="宋体" w:cs="宋体"/>
                <w:sz w:val="24"/>
              </w:rPr>
            </w:pPr>
          </w:p>
        </w:tc>
        <w:tc>
          <w:tcPr>
            <w:tcW w:w="2327" w:type="dxa"/>
            <w:vAlign w:val="center"/>
          </w:tcPr>
          <w:p w14:paraId="527BA1D5">
            <w:pPr>
              <w:jc w:val="center"/>
              <w:rPr>
                <w:rFonts w:hint="eastAsia" w:ascii="宋体" w:hAnsi="宋体" w:cs="宋体"/>
                <w:sz w:val="24"/>
              </w:rPr>
            </w:pPr>
            <w:r>
              <w:rPr>
                <w:rFonts w:hint="eastAsia" w:ascii="宋体" w:hAnsi="宋体" w:cs="宋体"/>
                <w:sz w:val="24"/>
              </w:rPr>
              <w:t>开户银行</w:t>
            </w:r>
          </w:p>
        </w:tc>
        <w:tc>
          <w:tcPr>
            <w:tcW w:w="1784" w:type="dxa"/>
            <w:vAlign w:val="center"/>
          </w:tcPr>
          <w:p w14:paraId="716F1606">
            <w:pPr>
              <w:jc w:val="center"/>
              <w:rPr>
                <w:rFonts w:hint="eastAsia" w:ascii="宋体" w:hAnsi="宋体" w:cs="宋体"/>
                <w:sz w:val="24"/>
              </w:rPr>
            </w:pPr>
          </w:p>
        </w:tc>
        <w:tc>
          <w:tcPr>
            <w:tcW w:w="893" w:type="dxa"/>
            <w:gridSpan w:val="2"/>
            <w:vAlign w:val="center"/>
          </w:tcPr>
          <w:p w14:paraId="5B17641F">
            <w:pPr>
              <w:jc w:val="center"/>
              <w:rPr>
                <w:rFonts w:hint="eastAsia" w:ascii="宋体" w:hAnsi="宋体" w:cs="宋体"/>
                <w:sz w:val="24"/>
              </w:rPr>
            </w:pPr>
            <w:r>
              <w:rPr>
                <w:rFonts w:hint="eastAsia" w:ascii="宋体" w:hAnsi="宋体" w:cs="宋体"/>
                <w:sz w:val="24"/>
              </w:rPr>
              <w:t>传真</w:t>
            </w:r>
          </w:p>
        </w:tc>
        <w:tc>
          <w:tcPr>
            <w:tcW w:w="1408" w:type="dxa"/>
            <w:vAlign w:val="center"/>
          </w:tcPr>
          <w:p w14:paraId="40044674">
            <w:pPr>
              <w:snapToGrid w:val="0"/>
              <w:jc w:val="center"/>
              <w:rPr>
                <w:rFonts w:hint="eastAsia" w:ascii="宋体" w:hAnsi="宋体" w:cs="宋体"/>
                <w:sz w:val="24"/>
              </w:rPr>
            </w:pPr>
          </w:p>
        </w:tc>
        <w:tc>
          <w:tcPr>
            <w:tcW w:w="2519" w:type="dxa"/>
            <w:vMerge w:val="continue"/>
            <w:vAlign w:val="center"/>
          </w:tcPr>
          <w:p w14:paraId="4B982455">
            <w:pPr>
              <w:snapToGrid w:val="0"/>
              <w:jc w:val="center"/>
              <w:rPr>
                <w:rFonts w:hint="eastAsia" w:ascii="宋体" w:hAnsi="宋体" w:cs="宋体"/>
                <w:sz w:val="24"/>
              </w:rPr>
            </w:pPr>
          </w:p>
        </w:tc>
      </w:tr>
      <w:tr w14:paraId="549FDEA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exact"/>
        </w:trPr>
        <w:tc>
          <w:tcPr>
            <w:tcW w:w="675" w:type="dxa"/>
            <w:vMerge w:val="continue"/>
            <w:vAlign w:val="center"/>
          </w:tcPr>
          <w:p w14:paraId="5A3FA9E5">
            <w:pPr>
              <w:jc w:val="center"/>
              <w:rPr>
                <w:rFonts w:hint="eastAsia" w:ascii="宋体" w:hAnsi="宋体" w:cs="宋体"/>
                <w:sz w:val="24"/>
              </w:rPr>
            </w:pPr>
          </w:p>
        </w:tc>
        <w:tc>
          <w:tcPr>
            <w:tcW w:w="2327" w:type="dxa"/>
            <w:vAlign w:val="center"/>
          </w:tcPr>
          <w:p w14:paraId="0D6B9A53">
            <w:pPr>
              <w:jc w:val="center"/>
              <w:rPr>
                <w:rFonts w:hint="eastAsia" w:ascii="宋体" w:hAnsi="宋体" w:cs="宋体"/>
                <w:sz w:val="24"/>
              </w:rPr>
            </w:pPr>
            <w:r>
              <w:rPr>
                <w:rFonts w:hint="eastAsia" w:ascii="宋体" w:hAnsi="宋体" w:cs="宋体"/>
                <w:sz w:val="24"/>
              </w:rPr>
              <w:t>账  号</w:t>
            </w:r>
          </w:p>
        </w:tc>
        <w:tc>
          <w:tcPr>
            <w:tcW w:w="4085" w:type="dxa"/>
            <w:gridSpan w:val="4"/>
            <w:vAlign w:val="center"/>
          </w:tcPr>
          <w:p w14:paraId="4E90DCF0">
            <w:pPr>
              <w:jc w:val="center"/>
              <w:rPr>
                <w:rFonts w:hint="eastAsia" w:ascii="宋体" w:hAnsi="宋体" w:cs="宋体"/>
                <w:sz w:val="24"/>
              </w:rPr>
            </w:pPr>
          </w:p>
        </w:tc>
        <w:tc>
          <w:tcPr>
            <w:tcW w:w="2519" w:type="dxa"/>
            <w:vMerge w:val="continue"/>
            <w:vAlign w:val="center"/>
          </w:tcPr>
          <w:p w14:paraId="4551D3D9">
            <w:pPr>
              <w:jc w:val="center"/>
              <w:rPr>
                <w:rFonts w:hint="eastAsia" w:ascii="宋体" w:hAnsi="宋体" w:cs="宋体"/>
                <w:sz w:val="24"/>
              </w:rPr>
            </w:pPr>
          </w:p>
        </w:tc>
      </w:tr>
      <w:bookmarkEnd w:id="71"/>
      <w:bookmarkEnd w:id="72"/>
      <w:bookmarkEnd w:id="73"/>
      <w:bookmarkEnd w:id="74"/>
      <w:bookmarkEnd w:id="75"/>
      <w:bookmarkEnd w:id="76"/>
    </w:tbl>
    <w:p w14:paraId="4D520553"/>
    <w:sectPr>
      <w:headerReference r:id="rId8" w:type="first"/>
      <w:footerReference r:id="rId10" w:type="first"/>
      <w:headerReference r:id="rId7" w:type="default"/>
      <w:footerReference r:id="rId9" w:type="default"/>
      <w:pgSz w:w="11906" w:h="16838"/>
      <w:pgMar w:top="1134" w:right="1134" w:bottom="1134" w:left="1134" w:header="851" w:footer="567"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幼圆">
    <w:altName w:val="宋体"/>
    <w:panose1 w:val="02010509060101010101"/>
    <w:charset w:val="86"/>
    <w:family w:val="modern"/>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ED1EF5">
    <w:pPr>
      <w:pStyle w:val="5"/>
      <w:tabs>
        <w:tab w:val="center" w:pos="4439"/>
        <w:tab w:val="clear" w:pos="4153"/>
      </w:tabs>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57785" cy="131445"/>
              <wp:effectExtent l="0" t="0" r="0" b="0"/>
              <wp:wrapNone/>
              <wp:docPr id="7" name="文本框 7"/>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14:paraId="202514DE">
                          <w:pPr>
                            <w:pStyle w:val="5"/>
                          </w:pPr>
                          <w:r>
                            <w:fldChar w:fldCharType="begin"/>
                          </w:r>
                          <w:r>
                            <w:instrText xml:space="preserve"> PAGE  \* MERGEFORMAT </w:instrText>
                          </w:r>
                          <w:r>
                            <w:fldChar w:fldCharType="separate"/>
                          </w:r>
                          <w:r>
                            <w:t>20</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61312;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4vdRNAAAAACAQAADwAAAAAAAAABACAAAAAiAAAAZHJzL2Rvd25yZXYueG1s&#10;UEsBAhQAFAAAAAgAh07iQNG89CvHAQAAigMAAA4AAAAAAAAAAQAgAAAAHwEAAGRycy9lMm9Eb2Mu&#10;eG1sUEsFBgAAAAAGAAYAWQEAAFgFAAAAAA==&#10;">
              <v:fill on="f" focussize="0,0"/>
              <v:stroke on="f"/>
              <v:imagedata o:title=""/>
              <o:lock v:ext="edit" aspectratio="f"/>
              <v:textbox inset="0mm,0mm,0mm,0mm" style="mso-fit-shape-to-text:t;">
                <w:txbxContent>
                  <w:p w14:paraId="202514DE">
                    <w:pPr>
                      <w:pStyle w:val="5"/>
                    </w:pPr>
                    <w:r>
                      <w:fldChar w:fldCharType="begin"/>
                    </w:r>
                    <w:r>
                      <w:instrText xml:space="preserve"> PAGE  \* MERGEFORMAT </w:instrText>
                    </w:r>
                    <w:r>
                      <w:fldChar w:fldCharType="separate"/>
                    </w:r>
                    <w:r>
                      <w:t>20</w:t>
                    </w:r>
                    <w:r>
                      <w:fldChar w:fldCharType="end"/>
                    </w:r>
                  </w:p>
                </w:txbxContent>
              </v:textbox>
            </v:shape>
          </w:pict>
        </mc:Fallback>
      </mc:AlternateContent>
    </w:r>
  </w:p>
  <w:p w14:paraId="3CC680E8">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F8B187">
    <w:pPr>
      <w:pStyle w:val="5"/>
      <w:tabs>
        <w:tab w:val="center" w:pos="4439"/>
        <w:tab w:val="clear" w:pos="4153"/>
      </w:tabs>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14935" cy="153035"/>
              <wp:effectExtent l="0" t="0" r="0" b="0"/>
              <wp:wrapNone/>
              <wp:docPr id="5" name="文本框 5"/>
              <wp:cNvGraphicFramePr/>
              <a:graphic xmlns:a="http://schemas.openxmlformats.org/drawingml/2006/main">
                <a:graphicData uri="http://schemas.microsoft.com/office/word/2010/wordprocessingShape">
                  <wps:wsp>
                    <wps:cNvSpPr txBox="1"/>
                    <wps:spPr>
                      <a:xfrm>
                        <a:off x="0" y="0"/>
                        <a:ext cx="114935" cy="153035"/>
                      </a:xfrm>
                      <a:prstGeom prst="rect">
                        <a:avLst/>
                      </a:prstGeom>
                      <a:noFill/>
                      <a:ln>
                        <a:noFill/>
                      </a:ln>
                    </wps:spPr>
                    <wps:txbx>
                      <w:txbxContent>
                        <w:p w14:paraId="3D5AE6B0"/>
                      </w:txbxContent>
                    </wps:txbx>
                    <wps:bodyPr wrap="none" lIns="0" tIns="0" rIns="0" bIns="0">
                      <a:spAutoFit/>
                    </wps:bodyPr>
                  </wps:wsp>
                </a:graphicData>
              </a:graphic>
            </wp:anchor>
          </w:drawing>
        </mc:Choice>
        <mc:Fallback>
          <w:pict>
            <v:shape id="_x0000_s1026" o:spid="_x0000_s1026" o:spt="202" type="#_x0000_t202" style="position:absolute;left:0pt;margin-top:0pt;height:12.05pt;width:9.05pt;mso-position-horizontal:center;mso-position-horizontal-relative:margin;mso-wrap-style:none;z-index:251662336;mso-width-relative:page;mso-height-relative:page;" filled="f" stroked="f" coordsize="21600,21600" o:gfxdata="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AkFT5rQAAAAAwEAAA8AAAAAAAAAAQAgAAAAIgAAAGRycy9kb3ducmV2LnhtbFBL&#10;AQIUABQAAAAIAIdO4kBUxB8bxQEAAIsDAAAOAAAAAAAAAAEAIAAAAB8BAABkcnMvZTJvRG9jLnht&#10;bFBLBQYAAAAABgAGAFkBAABWBQAAAAA=&#10;">
              <v:fill on="f" focussize="0,0"/>
              <v:stroke on="f"/>
              <v:imagedata o:title=""/>
              <o:lock v:ext="edit" aspectratio="f"/>
              <v:textbox inset="0mm,0mm,0mm,0mm" style="mso-fit-shape-to-text:t;">
                <w:txbxContent>
                  <w:p w14:paraId="3D5AE6B0"/>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D18968">
    <w:pPr>
      <w:pStyle w:val="5"/>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0" b="0"/>
              <wp:wrapNone/>
              <wp:docPr id="6" name="文本框 6"/>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wps:spPr>
                    <wps:txbx>
                      <w:txbxContent>
                        <w:p w14:paraId="034C1663">
                          <w:pPr>
                            <w:pStyle w:val="5"/>
                            <w:jc w:val="center"/>
                          </w:pPr>
                          <w:r>
                            <w:fldChar w:fldCharType="begin"/>
                          </w:r>
                          <w:r>
                            <w:instrText xml:space="preserve"> PAGE  \* MERGEFORMAT </w:instrText>
                          </w:r>
                          <w:r>
                            <w:fldChar w:fldCharType="separate"/>
                          </w:r>
                          <w:r>
                            <w:t>37</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D5X5J0AAAAAMBAAAPAAAAAAAAAAEAIAAAACIAAABkcnMvZG93bnJldi54bWxQ&#10;SwECFAAUAAAACACHTuJAt87d2MYBAACLAwAADgAAAAAAAAABACAAAAAfAQAAZHJzL2Uyb0RvYy54&#10;bWxQSwUGAAAAAAYABgBZAQAAVwUAAAAA&#10;">
              <v:fill on="f" focussize="0,0"/>
              <v:stroke on="f"/>
              <v:imagedata o:title=""/>
              <o:lock v:ext="edit" aspectratio="f"/>
              <v:textbox inset="0mm,0mm,0mm,0mm" style="mso-fit-shape-to-text:t;">
                <w:txbxContent>
                  <w:p w14:paraId="034C1663">
                    <w:pPr>
                      <w:pStyle w:val="5"/>
                      <w:jc w:val="center"/>
                    </w:pPr>
                    <w:r>
                      <w:fldChar w:fldCharType="begin"/>
                    </w:r>
                    <w:r>
                      <w:instrText xml:space="preserve"> PAGE  \* MERGEFORMAT </w:instrText>
                    </w:r>
                    <w:r>
                      <w:fldChar w:fldCharType="separate"/>
                    </w:r>
                    <w:r>
                      <w:t>37</w:t>
                    </w:r>
                    <w:r>
                      <w:fldChar w:fldCharType="end"/>
                    </w:r>
                  </w:p>
                </w:txbxContent>
              </v:textbox>
            </v:shape>
          </w:pict>
        </mc:Fallback>
      </mc:AlternateContent>
    </w:r>
  </w:p>
  <w:p w14:paraId="7A9135AB">
    <w:pPr>
      <w:pStyle w:val="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2B0B2F">
    <w:pPr>
      <w:pStyle w:val="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wps:spPr>
                    <wps:txbx>
                      <w:txbxContent>
                        <w:p w14:paraId="6CF8D92C">
                          <w:pPr>
                            <w:pStyle w:val="5"/>
                          </w:pP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60288;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Q+V+SdAAAAADAQAADwAAAAAAAAABACAAAAAiAAAAZHJzL2Rvd25yZXYueG1s&#10;UEsBAhQAFAAAAAgAh07iQDhQJ3LHAQAAiwMAAA4AAAAAAAAAAQAgAAAAHwEAAGRycy9lMm9Eb2Mu&#10;eG1sUEsFBgAAAAAGAAYAWQEAAFgFAAAAAA==&#10;">
              <v:fill on="f" focussize="0,0"/>
              <v:stroke on="f"/>
              <v:imagedata o:title=""/>
              <o:lock v:ext="edit" aspectratio="f"/>
              <v:textbox inset="0mm,0mm,0mm,0mm" style="mso-fit-shape-to-text:t;">
                <w:txbxContent>
                  <w:p w14:paraId="6CF8D92C">
                    <w:pPr>
                      <w:pStyle w:val="5"/>
                    </w:pPr>
                    <w:r>
                      <w:rPr>
                        <w:rFonts w:hint="eastAsia"/>
                      </w:rPr>
                      <w:fldChar w:fldCharType="begin"/>
                    </w:r>
                    <w:r>
                      <w:rPr>
                        <w:rFonts w:hint="eastAsia"/>
                      </w:rPr>
                      <w:instrText xml:space="preserve"> PAGE  \* MERGEFORMAT </w:instrText>
                    </w:r>
                    <w:r>
                      <w:rPr>
                        <w:rFonts w:hint="eastAsia"/>
                      </w:rPr>
                      <w:fldChar w:fldCharType="separate"/>
                    </w:r>
                    <w:r>
                      <w:t>29</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5F93F1">
    <w:pPr>
      <w:pStyle w:val="1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54EF65">
    <w:pPr>
      <w:pStyle w:val="19"/>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E91F55">
    <w:pPr>
      <w:pStyle w:val="19"/>
      <w:pBdr>
        <w:bottom w:val="none" w:color="auto" w:sz="0" w:space="0"/>
      </w:pBdr>
      <w:tabs>
        <w:tab w:val="center" w:pos="0"/>
        <w:tab w:val="left" w:pos="8306"/>
        <w:tab w:val="clear" w:pos="4153"/>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372E98">
    <w:pPr>
      <w:pStyle w:val="19"/>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c1OTAyNjUwMzAwOTUzNDY4MDgzZGQ4NmQxNDljMzUifQ=="/>
  </w:docVars>
  <w:rsids>
    <w:rsidRoot w:val="34C93999"/>
    <w:rsid w:val="00031DDC"/>
    <w:rsid w:val="000562EF"/>
    <w:rsid w:val="00100220"/>
    <w:rsid w:val="001077E5"/>
    <w:rsid w:val="00120044"/>
    <w:rsid w:val="001249E5"/>
    <w:rsid w:val="00217420"/>
    <w:rsid w:val="0024633E"/>
    <w:rsid w:val="002472DC"/>
    <w:rsid w:val="002A321A"/>
    <w:rsid w:val="002E0DBD"/>
    <w:rsid w:val="003455C0"/>
    <w:rsid w:val="00376890"/>
    <w:rsid w:val="003914E4"/>
    <w:rsid w:val="003E3442"/>
    <w:rsid w:val="00437639"/>
    <w:rsid w:val="004759B0"/>
    <w:rsid w:val="004A045B"/>
    <w:rsid w:val="004A514D"/>
    <w:rsid w:val="004B2FF5"/>
    <w:rsid w:val="004C23B8"/>
    <w:rsid w:val="004E307E"/>
    <w:rsid w:val="00513135"/>
    <w:rsid w:val="005750CF"/>
    <w:rsid w:val="00644C63"/>
    <w:rsid w:val="0067215E"/>
    <w:rsid w:val="00683A90"/>
    <w:rsid w:val="006C541A"/>
    <w:rsid w:val="006D1841"/>
    <w:rsid w:val="006F21CF"/>
    <w:rsid w:val="0074337D"/>
    <w:rsid w:val="007D211E"/>
    <w:rsid w:val="007F27CB"/>
    <w:rsid w:val="007F6099"/>
    <w:rsid w:val="008452BD"/>
    <w:rsid w:val="0085534A"/>
    <w:rsid w:val="0087406B"/>
    <w:rsid w:val="009471D6"/>
    <w:rsid w:val="009545EB"/>
    <w:rsid w:val="00994BE9"/>
    <w:rsid w:val="009E6F8A"/>
    <w:rsid w:val="00A05834"/>
    <w:rsid w:val="00A364FC"/>
    <w:rsid w:val="00A60484"/>
    <w:rsid w:val="00AA1ED5"/>
    <w:rsid w:val="00AF6A6D"/>
    <w:rsid w:val="00B46F21"/>
    <w:rsid w:val="00B47223"/>
    <w:rsid w:val="00B8222F"/>
    <w:rsid w:val="00B839B2"/>
    <w:rsid w:val="00BF6D0E"/>
    <w:rsid w:val="00C26B47"/>
    <w:rsid w:val="00C50E49"/>
    <w:rsid w:val="00C74A07"/>
    <w:rsid w:val="00C96759"/>
    <w:rsid w:val="00CC1689"/>
    <w:rsid w:val="00D028CA"/>
    <w:rsid w:val="00D12EC0"/>
    <w:rsid w:val="00D45E9B"/>
    <w:rsid w:val="00D47719"/>
    <w:rsid w:val="00D80D26"/>
    <w:rsid w:val="00D856B9"/>
    <w:rsid w:val="00DA6169"/>
    <w:rsid w:val="00E46AD2"/>
    <w:rsid w:val="00E73E52"/>
    <w:rsid w:val="00EA17BF"/>
    <w:rsid w:val="00FC0845"/>
    <w:rsid w:val="00FD2DED"/>
    <w:rsid w:val="00FE2F43"/>
    <w:rsid w:val="00FF15CF"/>
    <w:rsid w:val="015837E7"/>
    <w:rsid w:val="019404F8"/>
    <w:rsid w:val="01B97F5E"/>
    <w:rsid w:val="023A2582"/>
    <w:rsid w:val="0241242E"/>
    <w:rsid w:val="02532161"/>
    <w:rsid w:val="02FF20EF"/>
    <w:rsid w:val="03121CB1"/>
    <w:rsid w:val="03327053"/>
    <w:rsid w:val="03F86B1C"/>
    <w:rsid w:val="047D34C5"/>
    <w:rsid w:val="04EA18B4"/>
    <w:rsid w:val="04F80D9E"/>
    <w:rsid w:val="05017C52"/>
    <w:rsid w:val="056C0210"/>
    <w:rsid w:val="05AC2A96"/>
    <w:rsid w:val="05D073C6"/>
    <w:rsid w:val="06093262"/>
    <w:rsid w:val="0650484D"/>
    <w:rsid w:val="06B55160"/>
    <w:rsid w:val="06DD0D61"/>
    <w:rsid w:val="06E1398D"/>
    <w:rsid w:val="06E65352"/>
    <w:rsid w:val="074F5A1D"/>
    <w:rsid w:val="07635DC6"/>
    <w:rsid w:val="08176E0E"/>
    <w:rsid w:val="08640C24"/>
    <w:rsid w:val="08C77405"/>
    <w:rsid w:val="08FB7730"/>
    <w:rsid w:val="08FC70AE"/>
    <w:rsid w:val="0925661E"/>
    <w:rsid w:val="099D590A"/>
    <w:rsid w:val="09CC40B1"/>
    <w:rsid w:val="0AEB7501"/>
    <w:rsid w:val="0B083329"/>
    <w:rsid w:val="0B705B32"/>
    <w:rsid w:val="0B7F7B23"/>
    <w:rsid w:val="0C154AE6"/>
    <w:rsid w:val="0C71390F"/>
    <w:rsid w:val="0C780787"/>
    <w:rsid w:val="0CAC2B9A"/>
    <w:rsid w:val="0CFD1647"/>
    <w:rsid w:val="0D693D8C"/>
    <w:rsid w:val="0DC14423"/>
    <w:rsid w:val="0E630A57"/>
    <w:rsid w:val="0EC145B8"/>
    <w:rsid w:val="0ECC18E9"/>
    <w:rsid w:val="0F2D5DBF"/>
    <w:rsid w:val="0F87169C"/>
    <w:rsid w:val="10233173"/>
    <w:rsid w:val="102962AF"/>
    <w:rsid w:val="115351DC"/>
    <w:rsid w:val="11651569"/>
    <w:rsid w:val="11CE52C6"/>
    <w:rsid w:val="1238175F"/>
    <w:rsid w:val="12C435FB"/>
    <w:rsid w:val="13D50C28"/>
    <w:rsid w:val="13FF1575"/>
    <w:rsid w:val="14171240"/>
    <w:rsid w:val="144D4C62"/>
    <w:rsid w:val="14F25809"/>
    <w:rsid w:val="15055A09"/>
    <w:rsid w:val="153A762E"/>
    <w:rsid w:val="15D76C42"/>
    <w:rsid w:val="172C078B"/>
    <w:rsid w:val="178D2C0D"/>
    <w:rsid w:val="17F7561A"/>
    <w:rsid w:val="18517B09"/>
    <w:rsid w:val="185C36C6"/>
    <w:rsid w:val="18610CDC"/>
    <w:rsid w:val="189310B2"/>
    <w:rsid w:val="189A5F9C"/>
    <w:rsid w:val="18AE37F5"/>
    <w:rsid w:val="1930354C"/>
    <w:rsid w:val="199B6470"/>
    <w:rsid w:val="1A516B2E"/>
    <w:rsid w:val="1A5D3725"/>
    <w:rsid w:val="1A7E6175"/>
    <w:rsid w:val="1AA21A2F"/>
    <w:rsid w:val="1AE00FE3"/>
    <w:rsid w:val="1AFC6F03"/>
    <w:rsid w:val="1B23068A"/>
    <w:rsid w:val="1B8A054A"/>
    <w:rsid w:val="1B997902"/>
    <w:rsid w:val="1C01115D"/>
    <w:rsid w:val="1C7E3439"/>
    <w:rsid w:val="1C827473"/>
    <w:rsid w:val="1D216C8C"/>
    <w:rsid w:val="1D594AE3"/>
    <w:rsid w:val="1E2A6984"/>
    <w:rsid w:val="1E525660"/>
    <w:rsid w:val="1F19738B"/>
    <w:rsid w:val="1F3033A9"/>
    <w:rsid w:val="1F3507CD"/>
    <w:rsid w:val="1F9C381F"/>
    <w:rsid w:val="200077CF"/>
    <w:rsid w:val="20880961"/>
    <w:rsid w:val="2091237A"/>
    <w:rsid w:val="20992FDD"/>
    <w:rsid w:val="20BD316F"/>
    <w:rsid w:val="20BE4ACB"/>
    <w:rsid w:val="20BF7061"/>
    <w:rsid w:val="20E95A81"/>
    <w:rsid w:val="20EC5803"/>
    <w:rsid w:val="21073EBF"/>
    <w:rsid w:val="21246D4B"/>
    <w:rsid w:val="21510141"/>
    <w:rsid w:val="21837F15"/>
    <w:rsid w:val="21AE2AB8"/>
    <w:rsid w:val="222B119F"/>
    <w:rsid w:val="22381879"/>
    <w:rsid w:val="224156DA"/>
    <w:rsid w:val="22EE13BE"/>
    <w:rsid w:val="23571659"/>
    <w:rsid w:val="236B2A0F"/>
    <w:rsid w:val="23D7424E"/>
    <w:rsid w:val="241237D2"/>
    <w:rsid w:val="242B31D9"/>
    <w:rsid w:val="24341D04"/>
    <w:rsid w:val="244D480A"/>
    <w:rsid w:val="2547125A"/>
    <w:rsid w:val="263A355B"/>
    <w:rsid w:val="263D5FAD"/>
    <w:rsid w:val="26547F15"/>
    <w:rsid w:val="266E0A9E"/>
    <w:rsid w:val="26FE003E"/>
    <w:rsid w:val="27206206"/>
    <w:rsid w:val="272F01F7"/>
    <w:rsid w:val="274E2D73"/>
    <w:rsid w:val="27894FA0"/>
    <w:rsid w:val="27D2215A"/>
    <w:rsid w:val="27F76F67"/>
    <w:rsid w:val="281A0EA7"/>
    <w:rsid w:val="284877C3"/>
    <w:rsid w:val="28701767"/>
    <w:rsid w:val="28836A4D"/>
    <w:rsid w:val="28A144DE"/>
    <w:rsid w:val="28C606E7"/>
    <w:rsid w:val="29394A5F"/>
    <w:rsid w:val="29B82726"/>
    <w:rsid w:val="29C67536"/>
    <w:rsid w:val="2A333220"/>
    <w:rsid w:val="2A4012A5"/>
    <w:rsid w:val="2AEA2DB3"/>
    <w:rsid w:val="2B4F631D"/>
    <w:rsid w:val="2B8D1D21"/>
    <w:rsid w:val="2BDC1346"/>
    <w:rsid w:val="2BEC4909"/>
    <w:rsid w:val="2C26606D"/>
    <w:rsid w:val="2CB25CD8"/>
    <w:rsid w:val="2CDA6E57"/>
    <w:rsid w:val="2DB87C25"/>
    <w:rsid w:val="2DDB94E8"/>
    <w:rsid w:val="2DE4019A"/>
    <w:rsid w:val="2DFA422D"/>
    <w:rsid w:val="2ED82DE9"/>
    <w:rsid w:val="2F01691D"/>
    <w:rsid w:val="2F567BD9"/>
    <w:rsid w:val="2F93694C"/>
    <w:rsid w:val="2FA77026"/>
    <w:rsid w:val="2FA94CBA"/>
    <w:rsid w:val="2FB64A2C"/>
    <w:rsid w:val="2FF243C4"/>
    <w:rsid w:val="30A36FF1"/>
    <w:rsid w:val="30AE74B8"/>
    <w:rsid w:val="30E57806"/>
    <w:rsid w:val="30E76319"/>
    <w:rsid w:val="31061FC9"/>
    <w:rsid w:val="31275E90"/>
    <w:rsid w:val="31D202DB"/>
    <w:rsid w:val="31D65C22"/>
    <w:rsid w:val="32003B98"/>
    <w:rsid w:val="32FA5B5D"/>
    <w:rsid w:val="32FD48AE"/>
    <w:rsid w:val="330A7EFD"/>
    <w:rsid w:val="3330157F"/>
    <w:rsid w:val="33B81DE8"/>
    <w:rsid w:val="33FF67B9"/>
    <w:rsid w:val="34060480"/>
    <w:rsid w:val="34173F47"/>
    <w:rsid w:val="34A96881"/>
    <w:rsid w:val="34C93999"/>
    <w:rsid w:val="34D2403C"/>
    <w:rsid w:val="34E25605"/>
    <w:rsid w:val="3540170E"/>
    <w:rsid w:val="357065AB"/>
    <w:rsid w:val="35CB558F"/>
    <w:rsid w:val="35D703D8"/>
    <w:rsid w:val="36BA61CA"/>
    <w:rsid w:val="375816CF"/>
    <w:rsid w:val="375BD3A9"/>
    <w:rsid w:val="37795AC3"/>
    <w:rsid w:val="378219F7"/>
    <w:rsid w:val="37A815D5"/>
    <w:rsid w:val="37BB699A"/>
    <w:rsid w:val="381E7F4D"/>
    <w:rsid w:val="3861455A"/>
    <w:rsid w:val="38DE5291"/>
    <w:rsid w:val="38DF7CCF"/>
    <w:rsid w:val="390037A2"/>
    <w:rsid w:val="39691347"/>
    <w:rsid w:val="39B567E8"/>
    <w:rsid w:val="39FA28E7"/>
    <w:rsid w:val="3A016079"/>
    <w:rsid w:val="3A1A6AE5"/>
    <w:rsid w:val="3A457788"/>
    <w:rsid w:val="3A5F6B29"/>
    <w:rsid w:val="3B4958D4"/>
    <w:rsid w:val="3B5B73B5"/>
    <w:rsid w:val="3BC04D42"/>
    <w:rsid w:val="3BE70255"/>
    <w:rsid w:val="3BE90E02"/>
    <w:rsid w:val="3C3C0578"/>
    <w:rsid w:val="3C812E4B"/>
    <w:rsid w:val="3CB6196A"/>
    <w:rsid w:val="3CC74ACF"/>
    <w:rsid w:val="3CDC4C15"/>
    <w:rsid w:val="3D5C7EC0"/>
    <w:rsid w:val="3D772DA7"/>
    <w:rsid w:val="3E110989"/>
    <w:rsid w:val="3E182556"/>
    <w:rsid w:val="3E1A3C76"/>
    <w:rsid w:val="3E3068D7"/>
    <w:rsid w:val="3EBF1848"/>
    <w:rsid w:val="3EC534C3"/>
    <w:rsid w:val="3F0C16C4"/>
    <w:rsid w:val="3F3F4625"/>
    <w:rsid w:val="3F6D4C9E"/>
    <w:rsid w:val="3F740BAA"/>
    <w:rsid w:val="3FA33136"/>
    <w:rsid w:val="3FAC745B"/>
    <w:rsid w:val="400224F5"/>
    <w:rsid w:val="403A1C8F"/>
    <w:rsid w:val="40592CD6"/>
    <w:rsid w:val="40EA5463"/>
    <w:rsid w:val="41166258"/>
    <w:rsid w:val="4139028D"/>
    <w:rsid w:val="415B5189"/>
    <w:rsid w:val="418E68AF"/>
    <w:rsid w:val="420D12B8"/>
    <w:rsid w:val="422453BF"/>
    <w:rsid w:val="424F6D01"/>
    <w:rsid w:val="429D02B3"/>
    <w:rsid w:val="43186F5D"/>
    <w:rsid w:val="441F3676"/>
    <w:rsid w:val="442E38B7"/>
    <w:rsid w:val="444035EC"/>
    <w:rsid w:val="445552E9"/>
    <w:rsid w:val="44BF2B1E"/>
    <w:rsid w:val="451821CA"/>
    <w:rsid w:val="451D4333"/>
    <w:rsid w:val="4610259D"/>
    <w:rsid w:val="46B53161"/>
    <w:rsid w:val="46C2653A"/>
    <w:rsid w:val="46D71FE6"/>
    <w:rsid w:val="46DD59F3"/>
    <w:rsid w:val="46F26477"/>
    <w:rsid w:val="473453C9"/>
    <w:rsid w:val="477135F2"/>
    <w:rsid w:val="481D7ECC"/>
    <w:rsid w:val="487A43A9"/>
    <w:rsid w:val="48A24DF2"/>
    <w:rsid w:val="48EC2473"/>
    <w:rsid w:val="4910358D"/>
    <w:rsid w:val="49325BF9"/>
    <w:rsid w:val="4A7A7858"/>
    <w:rsid w:val="4A833DDE"/>
    <w:rsid w:val="4AAD1497"/>
    <w:rsid w:val="4AF60EA8"/>
    <w:rsid w:val="4B766399"/>
    <w:rsid w:val="4B9B6A46"/>
    <w:rsid w:val="4CAE4D4E"/>
    <w:rsid w:val="4D061CEA"/>
    <w:rsid w:val="4D3079B0"/>
    <w:rsid w:val="4D483CFB"/>
    <w:rsid w:val="4DC17E7F"/>
    <w:rsid w:val="4DC766D9"/>
    <w:rsid w:val="4DC837F1"/>
    <w:rsid w:val="4DE43E38"/>
    <w:rsid w:val="4E57207E"/>
    <w:rsid w:val="4E577EB0"/>
    <w:rsid w:val="4E643CA3"/>
    <w:rsid w:val="4E8B0801"/>
    <w:rsid w:val="4EEA0D24"/>
    <w:rsid w:val="4F906C8C"/>
    <w:rsid w:val="4FA15887"/>
    <w:rsid w:val="4FEB6B02"/>
    <w:rsid w:val="500110B1"/>
    <w:rsid w:val="509E0FCE"/>
    <w:rsid w:val="51023383"/>
    <w:rsid w:val="51220301"/>
    <w:rsid w:val="517D19DC"/>
    <w:rsid w:val="52232583"/>
    <w:rsid w:val="522B77E3"/>
    <w:rsid w:val="52434B27"/>
    <w:rsid w:val="526C64D6"/>
    <w:rsid w:val="526F3A1A"/>
    <w:rsid w:val="53364665"/>
    <w:rsid w:val="543F741C"/>
    <w:rsid w:val="54431BBA"/>
    <w:rsid w:val="551366B0"/>
    <w:rsid w:val="551E6BFD"/>
    <w:rsid w:val="55412866"/>
    <w:rsid w:val="557E5D22"/>
    <w:rsid w:val="55E55DA1"/>
    <w:rsid w:val="55F52488"/>
    <w:rsid w:val="560B3A5A"/>
    <w:rsid w:val="5687029A"/>
    <w:rsid w:val="57011E43"/>
    <w:rsid w:val="5712706A"/>
    <w:rsid w:val="5758166F"/>
    <w:rsid w:val="587C2220"/>
    <w:rsid w:val="58F0571B"/>
    <w:rsid w:val="59800714"/>
    <w:rsid w:val="59C97EB4"/>
    <w:rsid w:val="59CD1026"/>
    <w:rsid w:val="59F34F31"/>
    <w:rsid w:val="5A3148B5"/>
    <w:rsid w:val="5A6D0B73"/>
    <w:rsid w:val="5B94358B"/>
    <w:rsid w:val="5C213F6E"/>
    <w:rsid w:val="5C965BD2"/>
    <w:rsid w:val="5CB96961"/>
    <w:rsid w:val="5CBB20D7"/>
    <w:rsid w:val="5D4265D8"/>
    <w:rsid w:val="5D557CB0"/>
    <w:rsid w:val="5EA902B4"/>
    <w:rsid w:val="5F2F6EFE"/>
    <w:rsid w:val="5F334C6A"/>
    <w:rsid w:val="5F3956A4"/>
    <w:rsid w:val="5F3A9E27"/>
    <w:rsid w:val="5F7C5450"/>
    <w:rsid w:val="600357A2"/>
    <w:rsid w:val="600734E4"/>
    <w:rsid w:val="60132BBC"/>
    <w:rsid w:val="6154211C"/>
    <w:rsid w:val="615C0D42"/>
    <w:rsid w:val="620D2688"/>
    <w:rsid w:val="625B6C51"/>
    <w:rsid w:val="62AF477F"/>
    <w:rsid w:val="62DE63D1"/>
    <w:rsid w:val="62DF24F6"/>
    <w:rsid w:val="634C54F0"/>
    <w:rsid w:val="6361115D"/>
    <w:rsid w:val="637D564F"/>
    <w:rsid w:val="638E7A78"/>
    <w:rsid w:val="63CC7D09"/>
    <w:rsid w:val="642239BF"/>
    <w:rsid w:val="645111D2"/>
    <w:rsid w:val="6460463E"/>
    <w:rsid w:val="64C16798"/>
    <w:rsid w:val="64CC60FB"/>
    <w:rsid w:val="64EF4547"/>
    <w:rsid w:val="64F00543"/>
    <w:rsid w:val="64F41B5D"/>
    <w:rsid w:val="6519323D"/>
    <w:rsid w:val="65292C1E"/>
    <w:rsid w:val="65570F81"/>
    <w:rsid w:val="65586590"/>
    <w:rsid w:val="65701CA0"/>
    <w:rsid w:val="65A40EB0"/>
    <w:rsid w:val="65A42D3E"/>
    <w:rsid w:val="65A74E21"/>
    <w:rsid w:val="65BD23B8"/>
    <w:rsid w:val="668533B4"/>
    <w:rsid w:val="670912D2"/>
    <w:rsid w:val="670C06CC"/>
    <w:rsid w:val="6759661E"/>
    <w:rsid w:val="68201F24"/>
    <w:rsid w:val="68303D68"/>
    <w:rsid w:val="683C3F47"/>
    <w:rsid w:val="689B6EBF"/>
    <w:rsid w:val="68A65864"/>
    <w:rsid w:val="68F86230"/>
    <w:rsid w:val="69054339"/>
    <w:rsid w:val="6A070584"/>
    <w:rsid w:val="6A2904FB"/>
    <w:rsid w:val="6A4175F2"/>
    <w:rsid w:val="6B982E39"/>
    <w:rsid w:val="6BB61B32"/>
    <w:rsid w:val="6BEA6F9E"/>
    <w:rsid w:val="6C0905E4"/>
    <w:rsid w:val="6C87065C"/>
    <w:rsid w:val="6CBA151E"/>
    <w:rsid w:val="6CC44F34"/>
    <w:rsid w:val="6D447383"/>
    <w:rsid w:val="6D45389E"/>
    <w:rsid w:val="6D617FAC"/>
    <w:rsid w:val="6D773F73"/>
    <w:rsid w:val="6D8048D6"/>
    <w:rsid w:val="6D806C9D"/>
    <w:rsid w:val="6D8845E0"/>
    <w:rsid w:val="6F763A18"/>
    <w:rsid w:val="6F9E1043"/>
    <w:rsid w:val="6FF03E60"/>
    <w:rsid w:val="6FFC562B"/>
    <w:rsid w:val="6FFF9462"/>
    <w:rsid w:val="701F6731"/>
    <w:rsid w:val="703E3ADE"/>
    <w:rsid w:val="7091303E"/>
    <w:rsid w:val="70D96BE4"/>
    <w:rsid w:val="719731AA"/>
    <w:rsid w:val="72600832"/>
    <w:rsid w:val="72626453"/>
    <w:rsid w:val="729A188F"/>
    <w:rsid w:val="732857F3"/>
    <w:rsid w:val="73813156"/>
    <w:rsid w:val="73BF31A6"/>
    <w:rsid w:val="742D5082"/>
    <w:rsid w:val="7444344F"/>
    <w:rsid w:val="7475174F"/>
    <w:rsid w:val="74842EFD"/>
    <w:rsid w:val="752217B8"/>
    <w:rsid w:val="75322959"/>
    <w:rsid w:val="75D24C43"/>
    <w:rsid w:val="75D9C1FB"/>
    <w:rsid w:val="76FD65E3"/>
    <w:rsid w:val="777F385B"/>
    <w:rsid w:val="77B7D072"/>
    <w:rsid w:val="7835413B"/>
    <w:rsid w:val="78643027"/>
    <w:rsid w:val="78FB3A2D"/>
    <w:rsid w:val="78FBE2E9"/>
    <w:rsid w:val="79751067"/>
    <w:rsid w:val="79ED83A9"/>
    <w:rsid w:val="79FA49EF"/>
    <w:rsid w:val="7A2111EE"/>
    <w:rsid w:val="7A971BA9"/>
    <w:rsid w:val="7B4406C9"/>
    <w:rsid w:val="7B8F3F36"/>
    <w:rsid w:val="7BC462D5"/>
    <w:rsid w:val="7BE424D4"/>
    <w:rsid w:val="7BE6385A"/>
    <w:rsid w:val="7BEDAB3F"/>
    <w:rsid w:val="7C773856"/>
    <w:rsid w:val="7CC876FF"/>
    <w:rsid w:val="7CCE07CD"/>
    <w:rsid w:val="7D084461"/>
    <w:rsid w:val="7D6F7B12"/>
    <w:rsid w:val="7D9B0C98"/>
    <w:rsid w:val="7DA0340B"/>
    <w:rsid w:val="7DBF3E05"/>
    <w:rsid w:val="7DFE02F7"/>
    <w:rsid w:val="7E066731"/>
    <w:rsid w:val="7E7A34BE"/>
    <w:rsid w:val="7E8458A8"/>
    <w:rsid w:val="7ECB2820"/>
    <w:rsid w:val="7F2802D8"/>
    <w:rsid w:val="7F6530A9"/>
    <w:rsid w:val="7F6F6FA7"/>
    <w:rsid w:val="7FB73BE7"/>
    <w:rsid w:val="7FE722DE"/>
    <w:rsid w:val="7FFAE390"/>
    <w:rsid w:val="7FFDCA44"/>
    <w:rsid w:val="7FFF7199"/>
    <w:rsid w:val="8EEEE644"/>
    <w:rsid w:val="9DFE7EA4"/>
    <w:rsid w:val="B7CE34E3"/>
    <w:rsid w:val="BBEFBB2E"/>
    <w:rsid w:val="BD68E148"/>
    <w:rsid w:val="BFABC73B"/>
    <w:rsid w:val="BFBD0CF5"/>
    <w:rsid w:val="CB7B2F97"/>
    <w:rsid w:val="CBB7A07C"/>
    <w:rsid w:val="CFFC5471"/>
    <w:rsid w:val="E34D1BFE"/>
    <w:rsid w:val="EFBFA2F6"/>
    <w:rsid w:val="F8BBC25D"/>
    <w:rsid w:val="FA6F2BB0"/>
    <w:rsid w:val="FD3651C9"/>
    <w:rsid w:val="FDFB5E4E"/>
    <w:rsid w:val="FE3E1195"/>
    <w:rsid w:val="FF4FCBD6"/>
    <w:rsid w:val="FFDAD0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nhideWhenUsed="0" w:uiPriority="9"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iPriority="99"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qFormat/>
    <w:uiPriority w:val="9"/>
    <w:pPr>
      <w:keepNext/>
      <w:keepLines/>
      <w:spacing w:before="340" w:after="330" w:line="578" w:lineRule="auto"/>
      <w:outlineLvl w:val="0"/>
    </w:pPr>
    <w:rPr>
      <w:b/>
      <w:bCs/>
      <w:kern w:val="44"/>
      <w:sz w:val="44"/>
      <w:szCs w:val="44"/>
    </w:rPr>
  </w:style>
  <w:style w:type="paragraph" w:styleId="7">
    <w:name w:val="heading 2"/>
    <w:basedOn w:val="1"/>
    <w:next w:val="1"/>
    <w:qFormat/>
    <w:uiPriority w:val="0"/>
    <w:pPr>
      <w:keepNext/>
      <w:keepLines/>
      <w:spacing w:before="260" w:after="260" w:line="416" w:lineRule="auto"/>
      <w:jc w:val="center"/>
      <w:outlineLvl w:val="1"/>
    </w:pPr>
    <w:rPr>
      <w:rFonts w:ascii="黑体" w:hAnsi="宋体" w:eastAsia="黑体"/>
      <w:b/>
      <w:bCs/>
      <w:sz w:val="36"/>
      <w:szCs w:val="32"/>
    </w:rPr>
  </w:style>
  <w:style w:type="paragraph" w:styleId="8">
    <w:name w:val="heading 5"/>
    <w:basedOn w:val="1"/>
    <w:next w:val="9"/>
    <w:qFormat/>
    <w:uiPriority w:val="9"/>
    <w:pPr>
      <w:keepNext/>
      <w:keepLines/>
      <w:spacing w:before="280" w:after="290" w:line="376" w:lineRule="auto"/>
      <w:outlineLvl w:val="4"/>
    </w:pPr>
    <w:rPr>
      <w:b/>
      <w:bCs/>
      <w:sz w:val="28"/>
      <w:szCs w:val="28"/>
    </w:rPr>
  </w:style>
  <w:style w:type="paragraph" w:styleId="10">
    <w:name w:val="heading 6"/>
    <w:basedOn w:val="1"/>
    <w:next w:val="1"/>
    <w:qFormat/>
    <w:uiPriority w:val="0"/>
    <w:pPr>
      <w:keepNext/>
      <w:keepLines/>
      <w:spacing w:line="360" w:lineRule="auto"/>
      <w:outlineLvl w:val="5"/>
    </w:pPr>
    <w:rPr>
      <w:b/>
      <w:bCs/>
      <w:szCs w:val="32"/>
    </w:rPr>
  </w:style>
  <w:style w:type="character" w:default="1" w:styleId="26">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2">
    <w:name w:val="Message Header"/>
    <w:basedOn w:val="1"/>
    <w:next w:val="3"/>
    <w:qFormat/>
    <w:uiPriority w:val="0"/>
    <w:pPr>
      <w:pBdr>
        <w:top w:val="none" w:color="auto" w:sz="0" w:space="1"/>
        <w:left w:val="none" w:color="auto" w:sz="0" w:space="1"/>
        <w:bottom w:val="none" w:color="auto" w:sz="0" w:space="1"/>
        <w:right w:val="none" w:color="auto" w:sz="0" w:space="1"/>
      </w:pBdr>
      <w:shd w:val="pct20" w:color="auto" w:fill="auto"/>
      <w:kinsoku w:val="0"/>
      <w:overflowPunct w:val="0"/>
      <w:spacing w:line="360" w:lineRule="auto"/>
    </w:pPr>
    <w:rPr>
      <w:rFonts w:ascii="Arial" w:hAnsi="Arial"/>
      <w:sz w:val="28"/>
    </w:rPr>
  </w:style>
  <w:style w:type="paragraph" w:styleId="3">
    <w:name w:val="Body Text"/>
    <w:basedOn w:val="1"/>
    <w:next w:val="4"/>
    <w:unhideWhenUsed/>
    <w:qFormat/>
    <w:uiPriority w:val="0"/>
    <w:pPr>
      <w:spacing w:after="120"/>
    </w:pPr>
  </w:style>
  <w:style w:type="paragraph" w:customStyle="1" w:styleId="4">
    <w:name w:val="Body Text First Indent1"/>
    <w:basedOn w:val="5"/>
    <w:qFormat/>
    <w:uiPriority w:val="0"/>
    <w:pPr>
      <w:tabs>
        <w:tab w:val="center" w:pos="4153"/>
        <w:tab w:val="right" w:pos="8306"/>
      </w:tabs>
      <w:spacing w:line="360" w:lineRule="auto"/>
      <w:ind w:firstLine="420" w:firstLineChars="100"/>
    </w:pPr>
  </w:style>
  <w:style w:type="paragraph" w:styleId="5">
    <w:name w:val="footer"/>
    <w:basedOn w:val="1"/>
    <w:unhideWhenUsed/>
    <w:qFormat/>
    <w:uiPriority w:val="99"/>
    <w:pPr>
      <w:tabs>
        <w:tab w:val="center" w:pos="4153"/>
        <w:tab w:val="right" w:pos="8306"/>
      </w:tabs>
      <w:snapToGrid w:val="0"/>
      <w:jc w:val="left"/>
    </w:pPr>
    <w:rPr>
      <w:kern w:val="0"/>
      <w:sz w:val="18"/>
      <w:szCs w:val="18"/>
    </w:rPr>
  </w:style>
  <w:style w:type="paragraph" w:styleId="9">
    <w:name w:val="Normal Indent"/>
    <w:basedOn w:val="1"/>
    <w:qFormat/>
    <w:uiPriority w:val="0"/>
    <w:pPr>
      <w:ind w:firstLine="420"/>
    </w:pPr>
    <w:rPr>
      <w:szCs w:val="20"/>
    </w:rPr>
  </w:style>
  <w:style w:type="paragraph" w:styleId="11">
    <w:name w:val="caption"/>
    <w:basedOn w:val="1"/>
    <w:next w:val="1"/>
    <w:qFormat/>
    <w:uiPriority w:val="0"/>
    <w:pPr>
      <w:spacing w:before="152" w:after="160"/>
    </w:pPr>
    <w:rPr>
      <w:rFonts w:ascii="Arial" w:hAnsi="Arial" w:eastAsia="黑体" w:cs="Arial"/>
      <w:sz w:val="20"/>
      <w:szCs w:val="20"/>
    </w:rPr>
  </w:style>
  <w:style w:type="paragraph" w:styleId="12">
    <w:name w:val="annotation text"/>
    <w:basedOn w:val="1"/>
    <w:link w:val="29"/>
    <w:qFormat/>
    <w:uiPriority w:val="0"/>
    <w:pPr>
      <w:jc w:val="left"/>
    </w:pPr>
  </w:style>
  <w:style w:type="paragraph" w:styleId="13">
    <w:name w:val="Body Text 3"/>
    <w:basedOn w:val="1"/>
    <w:unhideWhenUsed/>
    <w:qFormat/>
    <w:uiPriority w:val="99"/>
    <w:pPr>
      <w:spacing w:after="120"/>
    </w:pPr>
    <w:rPr>
      <w:sz w:val="16"/>
      <w:szCs w:val="16"/>
    </w:rPr>
  </w:style>
  <w:style w:type="paragraph" w:styleId="14">
    <w:name w:val="Body Text Indent"/>
    <w:basedOn w:val="1"/>
    <w:next w:val="1"/>
    <w:qFormat/>
    <w:uiPriority w:val="0"/>
    <w:pPr>
      <w:ind w:firstLine="830" w:firstLineChars="352"/>
    </w:pPr>
    <w:rPr>
      <w:rFonts w:ascii="仿宋_GB2312" w:eastAsia="仿宋_GB2312"/>
      <w:kern w:val="0"/>
      <w:sz w:val="32"/>
      <w:szCs w:val="20"/>
    </w:rPr>
  </w:style>
  <w:style w:type="paragraph" w:styleId="15">
    <w:name w:val="List 2"/>
    <w:basedOn w:val="1"/>
    <w:unhideWhenUsed/>
    <w:qFormat/>
    <w:uiPriority w:val="99"/>
    <w:pPr>
      <w:ind w:left="100" w:leftChars="200" w:hanging="200" w:hangingChars="200"/>
      <w:contextualSpacing/>
    </w:pPr>
  </w:style>
  <w:style w:type="paragraph" w:styleId="16">
    <w:name w:val="toc 3"/>
    <w:basedOn w:val="1"/>
    <w:next w:val="1"/>
    <w:qFormat/>
    <w:uiPriority w:val="0"/>
    <w:pPr>
      <w:ind w:left="840" w:leftChars="400"/>
    </w:pPr>
  </w:style>
  <w:style w:type="paragraph" w:styleId="17">
    <w:name w:val="Plain Text"/>
    <w:basedOn w:val="1"/>
    <w:next w:val="1"/>
    <w:qFormat/>
    <w:uiPriority w:val="0"/>
    <w:rPr>
      <w:rFonts w:ascii="宋体" w:hAnsi="Courier New"/>
      <w:kern w:val="0"/>
      <w:sz w:val="20"/>
      <w:szCs w:val="21"/>
    </w:rPr>
  </w:style>
  <w:style w:type="paragraph" w:styleId="18">
    <w:name w:val="Balloon Text"/>
    <w:basedOn w:val="1"/>
    <w:link w:val="38"/>
    <w:qFormat/>
    <w:uiPriority w:val="0"/>
    <w:rPr>
      <w:sz w:val="18"/>
      <w:szCs w:val="18"/>
    </w:rPr>
  </w:style>
  <w:style w:type="paragraph" w:styleId="19">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20">
    <w:name w:val="toc 1"/>
    <w:basedOn w:val="1"/>
    <w:next w:val="1"/>
    <w:unhideWhenUsed/>
    <w:qFormat/>
    <w:uiPriority w:val="39"/>
  </w:style>
  <w:style w:type="paragraph" w:styleId="21">
    <w:name w:val="List"/>
    <w:basedOn w:val="1"/>
    <w:qFormat/>
    <w:uiPriority w:val="0"/>
    <w:pPr>
      <w:ind w:left="200" w:hanging="200" w:hangingChars="200"/>
    </w:pPr>
    <w:rPr>
      <w:sz w:val="28"/>
    </w:rPr>
  </w:style>
  <w:style w:type="paragraph" w:styleId="22">
    <w:name w:val="toc 2"/>
    <w:basedOn w:val="1"/>
    <w:next w:val="1"/>
    <w:unhideWhenUsed/>
    <w:qFormat/>
    <w:uiPriority w:val="39"/>
    <w:pPr>
      <w:tabs>
        <w:tab w:val="right" w:leader="dot" w:pos="8296"/>
      </w:tabs>
      <w:ind w:left="420" w:leftChars="200"/>
    </w:pPr>
  </w:style>
  <w:style w:type="paragraph" w:styleId="23">
    <w:name w:val="annotation subject"/>
    <w:basedOn w:val="12"/>
    <w:next w:val="12"/>
    <w:link w:val="30"/>
    <w:qFormat/>
    <w:uiPriority w:val="0"/>
    <w:rPr>
      <w:b/>
      <w:bCs/>
    </w:rPr>
  </w:style>
  <w:style w:type="paragraph" w:styleId="24">
    <w:name w:val="Body Text First Indent 2"/>
    <w:basedOn w:val="14"/>
    <w:next w:val="1"/>
    <w:qFormat/>
    <w:uiPriority w:val="0"/>
    <w:pPr>
      <w:tabs>
        <w:tab w:val="left" w:pos="0"/>
        <w:tab w:val="left" w:pos="420"/>
      </w:tabs>
      <w:wordWrap w:val="0"/>
      <w:topLinePunct/>
      <w:spacing w:line="360" w:lineRule="auto"/>
      <w:ind w:firstLine="480" w:firstLineChars="200"/>
    </w:pPr>
    <w:rPr>
      <w:rFonts w:ascii="幼圆" w:eastAsia="幼圆"/>
      <w:bCs/>
      <w:color w:val="000000"/>
      <w:spacing w:val="20"/>
      <w:sz w:val="24"/>
      <w:szCs w:val="24"/>
    </w:rPr>
  </w:style>
  <w:style w:type="character" w:styleId="27">
    <w:name w:val="page number"/>
    <w:qFormat/>
    <w:uiPriority w:val="0"/>
  </w:style>
  <w:style w:type="character" w:styleId="28">
    <w:name w:val="annotation reference"/>
    <w:qFormat/>
    <w:uiPriority w:val="0"/>
    <w:rPr>
      <w:sz w:val="21"/>
      <w:szCs w:val="21"/>
    </w:rPr>
  </w:style>
  <w:style w:type="character" w:customStyle="1" w:styleId="29">
    <w:name w:val="批注文字 字符"/>
    <w:link w:val="12"/>
    <w:qFormat/>
    <w:uiPriority w:val="0"/>
    <w:rPr>
      <w:kern w:val="2"/>
      <w:sz w:val="21"/>
      <w:szCs w:val="24"/>
    </w:rPr>
  </w:style>
  <w:style w:type="character" w:customStyle="1" w:styleId="30">
    <w:name w:val="批注主题 字符"/>
    <w:link w:val="23"/>
    <w:qFormat/>
    <w:uiPriority w:val="0"/>
    <w:rPr>
      <w:b/>
      <w:bCs/>
      <w:kern w:val="2"/>
      <w:sz w:val="21"/>
      <w:szCs w:val="24"/>
    </w:rPr>
  </w:style>
  <w:style w:type="paragraph" w:customStyle="1" w:styleId="31">
    <w:name w:val="表格文字"/>
    <w:basedOn w:val="1"/>
    <w:next w:val="3"/>
    <w:qFormat/>
    <w:uiPriority w:val="0"/>
    <w:pPr>
      <w:spacing w:before="25" w:after="25"/>
      <w:jc w:val="left"/>
    </w:pPr>
    <w:rPr>
      <w:bCs/>
      <w:spacing w:val="10"/>
      <w:kern w:val="0"/>
      <w:sz w:val="24"/>
      <w:szCs w:val="20"/>
    </w:rPr>
  </w:style>
  <w:style w:type="paragraph" w:customStyle="1" w:styleId="32">
    <w:name w:val="Default"/>
    <w:qFormat/>
    <w:uiPriority w:val="0"/>
    <w:pPr>
      <w:widowControl w:val="0"/>
      <w:autoSpaceDE w:val="0"/>
      <w:autoSpaceDN w:val="0"/>
      <w:adjustRightInd w:val="0"/>
    </w:pPr>
    <w:rPr>
      <w:rFonts w:hint="eastAsia" w:ascii="方正小标宋简体" w:hAnsi="方正小标宋简体" w:eastAsia="方正小标宋简体" w:cs="Times New Roman"/>
      <w:color w:val="000000"/>
      <w:sz w:val="24"/>
      <w:szCs w:val="22"/>
      <w:lang w:val="en-US" w:eastAsia="zh-CN" w:bidi="ar-SA"/>
    </w:rPr>
  </w:style>
  <w:style w:type="paragraph" w:customStyle="1" w:styleId="33">
    <w:name w:val="题目"/>
    <w:basedOn w:val="1"/>
    <w:qFormat/>
    <w:uiPriority w:val="0"/>
    <w:pPr>
      <w:spacing w:beforeLines="200" w:afterLines="100"/>
      <w:jc w:val="center"/>
    </w:pPr>
    <w:rPr>
      <w:rFonts w:ascii="黑体" w:eastAsia="黑体"/>
      <w:color w:val="C00000"/>
      <w:sz w:val="28"/>
      <w:szCs w:val="28"/>
    </w:rPr>
  </w:style>
  <w:style w:type="paragraph" w:styleId="34">
    <w:name w:val="List Paragraph"/>
    <w:basedOn w:val="1"/>
    <w:qFormat/>
    <w:uiPriority w:val="99"/>
    <w:pPr>
      <w:ind w:firstLine="420" w:firstLineChars="200"/>
    </w:pPr>
    <w:rPr>
      <w:snapToGrid w:val="0"/>
      <w:kern w:val="0"/>
    </w:rPr>
  </w:style>
  <w:style w:type="character" w:customStyle="1" w:styleId="35">
    <w:name w:val="font11"/>
    <w:qFormat/>
    <w:uiPriority w:val="0"/>
    <w:rPr>
      <w:rFonts w:hint="eastAsia" w:ascii="微软雅黑" w:hAnsi="微软雅黑" w:eastAsia="微软雅黑" w:cs="微软雅黑"/>
      <w:color w:val="000000"/>
      <w:sz w:val="20"/>
      <w:szCs w:val="20"/>
      <w:u w:val="none"/>
    </w:rPr>
  </w:style>
  <w:style w:type="paragraph" w:customStyle="1" w:styleId="36">
    <w:name w:val="修订1"/>
    <w:unhideWhenUsed/>
    <w:qFormat/>
    <w:uiPriority w:val="99"/>
    <w:rPr>
      <w:rFonts w:ascii="Times New Roman" w:hAnsi="Times New Roman" w:eastAsia="宋体" w:cs="Times New Roman"/>
      <w:kern w:val="2"/>
      <w:sz w:val="21"/>
      <w:szCs w:val="24"/>
      <w:lang w:val="en-US" w:eastAsia="zh-CN" w:bidi="ar-SA"/>
    </w:rPr>
  </w:style>
  <w:style w:type="paragraph" w:customStyle="1" w:styleId="37">
    <w:name w:val="正文中"/>
    <w:basedOn w:val="1"/>
    <w:next w:val="1"/>
    <w:qFormat/>
    <w:uiPriority w:val="0"/>
    <w:pPr>
      <w:spacing w:line="440" w:lineRule="exact"/>
      <w:jc w:val="center"/>
    </w:pPr>
    <w:rPr>
      <w:rFonts w:ascii="仿宋_GB2312" w:hAnsi="宋体" w:eastAsia="仿宋_GB2312"/>
      <w:sz w:val="28"/>
    </w:rPr>
  </w:style>
  <w:style w:type="character" w:customStyle="1" w:styleId="38">
    <w:name w:val="批注框文本 字符"/>
    <w:basedOn w:val="26"/>
    <w:link w:val="18"/>
    <w:qFormat/>
    <w:uiPriority w:val="0"/>
    <w:rPr>
      <w:kern w:val="2"/>
      <w:sz w:val="18"/>
      <w:szCs w:val="18"/>
    </w:rPr>
  </w:style>
  <w:style w:type="paragraph" w:customStyle="1" w:styleId="39">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40">
    <w:name w:val="Revision"/>
    <w:hidden/>
    <w:unhideWhenUsed/>
    <w:qFormat/>
    <w:uiPriority w:val="99"/>
    <w:rPr>
      <w:rFonts w:ascii="Times New Roman" w:hAnsi="Times New Roman" w:eastAsia="宋体" w:cs="Times New Roman"/>
      <w:kern w:val="2"/>
      <w:sz w:val="21"/>
      <w:szCs w:val="24"/>
      <w:lang w:val="en-US" w:eastAsia="zh-CN" w:bidi="ar-SA"/>
    </w:rPr>
  </w:style>
  <w:style w:type="paragraph" w:customStyle="1" w:styleId="41">
    <w:name w:val="Table Text"/>
    <w:basedOn w:val="1"/>
    <w:semiHidden/>
    <w:qFormat/>
    <w:uiPriority w:val="0"/>
    <w:pPr>
      <w:widowControl/>
      <w:kinsoku w:val="0"/>
      <w:autoSpaceDE w:val="0"/>
      <w:autoSpaceDN w:val="0"/>
      <w:adjustRightInd w:val="0"/>
      <w:snapToGrid w:val="0"/>
      <w:jc w:val="left"/>
      <w:textAlignment w:val="baseline"/>
    </w:pPr>
    <w:rPr>
      <w:rFonts w:ascii="宋体" w:hAnsi="宋体" w:cs="宋体"/>
      <w:snapToGrid w:val="0"/>
      <w:color w:val="000000"/>
      <w:kern w:val="0"/>
      <w:sz w:val="2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9347</Words>
  <Characters>9583</Characters>
  <Lines>125</Lines>
  <Paragraphs>35</Paragraphs>
  <TotalTime>1</TotalTime>
  <ScaleCrop>false</ScaleCrop>
  <LinksUpToDate>false</LinksUpToDate>
  <CharactersWithSpaces>10427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2025-05-30T01:13:00Z</dcterms:created>
  <dc:creator>sugeke2</dc:creator>
  <cp:lastModifiedBy>Ramesses II</cp:lastModifiedBy>
  <cp:lastPrinted>2024-01-18T10:33:00Z</cp:lastPrinted>
  <dcterms:modified xsi:type="dcterms:W3CDTF">2026-04-08T12:45:42Z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98BF34E979D748208A8CB45B9048A147_13</vt:lpwstr>
  </property>
  <property fmtid="{D5CDD505-2E9C-101B-9397-08002B2CF9AE}" pid="4" name="KSOTemplateDocerSaveRecord">
    <vt:lpwstr>eyJoZGlkIjoiZmY5ODJiY2QzMTI0MDk5MzM1NjgzMmE4NmU4Zjg0MTUiLCJ1c2VySWQiOiIzMDIxNzA0NzIifQ==</vt:lpwstr>
  </property>
</Properties>
</file>