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9118E">
      <w:pPr>
        <w:rPr>
          <w:color w:val="auto"/>
          <w:highlight w:val="none"/>
        </w:rPr>
      </w:pPr>
    </w:p>
    <w:p w14:paraId="752A2693">
      <w:pPr>
        <w:adjustRightInd w:val="0"/>
        <w:snapToGrid w:val="0"/>
        <w:spacing w:before="156" w:beforeLines="5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北海港铁山港区1万至3万吨级锚地工程</w:t>
      </w:r>
    </w:p>
    <w:p w14:paraId="10B2CDEF">
      <w:pPr>
        <w:adjustRightInd w:val="0"/>
        <w:snapToGrid w:val="0"/>
        <w:spacing w:before="156" w:beforeLines="50"/>
        <w:jc w:val="center"/>
        <w:rPr>
          <w:rFonts w:ascii="黑体" w:hAnsi="黑体" w:eastAsia="黑体" w:cs="黑体"/>
          <w:color w:val="auto"/>
          <w:sz w:val="72"/>
          <w:szCs w:val="72"/>
          <w:highlight w:val="none"/>
        </w:rPr>
      </w:pPr>
      <w:r>
        <w:rPr>
          <w:rFonts w:hint="eastAsia" w:ascii="宋体" w:hAnsi="宋体" w:cs="宋体"/>
          <w:b/>
          <w:bCs/>
          <w:color w:val="auto"/>
          <w:sz w:val="44"/>
          <w:szCs w:val="44"/>
          <w:highlight w:val="none"/>
          <w:lang w:eastAsia="zh-CN"/>
        </w:rPr>
        <w:t>交工验收测量</w:t>
      </w:r>
      <w:r>
        <w:rPr>
          <w:rFonts w:hint="eastAsia" w:ascii="宋体" w:hAnsi="宋体" w:cs="宋体"/>
          <w:b/>
          <w:bCs/>
          <w:color w:val="auto"/>
          <w:sz w:val="44"/>
          <w:szCs w:val="44"/>
          <w:highlight w:val="none"/>
        </w:rPr>
        <w:t>服务</w:t>
      </w:r>
    </w:p>
    <w:p w14:paraId="431A51F3">
      <w:pPr>
        <w:snapToGrid w:val="0"/>
        <w:spacing w:before="156" w:beforeLines="50" w:line="360" w:lineRule="auto"/>
        <w:jc w:val="center"/>
        <w:rPr>
          <w:rFonts w:ascii="黑体" w:hAnsi="黑体" w:eastAsia="黑体" w:cs="黑体"/>
          <w:color w:val="auto"/>
          <w:sz w:val="72"/>
          <w:szCs w:val="72"/>
          <w:highlight w:val="none"/>
        </w:rPr>
      </w:pPr>
    </w:p>
    <w:p w14:paraId="6EB37900">
      <w:pPr>
        <w:snapToGrid w:val="0"/>
        <w:spacing w:before="156" w:beforeLines="50" w:line="360" w:lineRule="auto"/>
        <w:jc w:val="center"/>
        <w:rPr>
          <w:rFonts w:ascii="黑体" w:hAnsi="黑体" w:eastAsia="黑体" w:cs="黑体"/>
          <w:color w:val="auto"/>
          <w:sz w:val="72"/>
          <w:szCs w:val="72"/>
          <w:highlight w:val="none"/>
        </w:rPr>
      </w:pPr>
      <w:r>
        <w:rPr>
          <w:rFonts w:hint="eastAsia" w:ascii="黑体" w:hAnsi="黑体" w:eastAsia="黑体" w:cs="黑体"/>
          <w:color w:val="auto"/>
          <w:sz w:val="72"/>
          <w:szCs w:val="72"/>
          <w:highlight w:val="none"/>
        </w:rPr>
        <w:t>采购方案</w:t>
      </w:r>
    </w:p>
    <w:p w14:paraId="281D20FF">
      <w:pPr>
        <w:snapToGrid w:val="0"/>
        <w:spacing w:before="156" w:beforeLines="50" w:line="360" w:lineRule="auto"/>
        <w:jc w:val="center"/>
        <w:rPr>
          <w:rFonts w:ascii="黑体" w:hAnsi="黑体" w:eastAsia="黑体" w:cs="黑体"/>
          <w:color w:val="auto"/>
          <w:sz w:val="72"/>
          <w:szCs w:val="72"/>
          <w:highlight w:val="none"/>
        </w:rPr>
      </w:pPr>
    </w:p>
    <w:p w14:paraId="160456C4">
      <w:pPr>
        <w:spacing w:line="360" w:lineRule="auto"/>
        <w:jc w:val="center"/>
        <w:rPr>
          <w:rFonts w:ascii="宋体" w:hAnsi="宋体"/>
          <w:b/>
          <w:color w:val="auto"/>
          <w:sz w:val="32"/>
          <w:szCs w:val="32"/>
          <w:highlight w:val="none"/>
        </w:rPr>
      </w:pPr>
    </w:p>
    <w:p w14:paraId="5F2AA291">
      <w:pPr>
        <w:spacing w:line="480" w:lineRule="auto"/>
        <w:jc w:val="center"/>
        <w:rPr>
          <w:rFonts w:ascii="宋体" w:hAnsi="宋体"/>
          <w:b/>
          <w:color w:val="auto"/>
          <w:sz w:val="32"/>
          <w:szCs w:val="32"/>
          <w:highlight w:val="none"/>
        </w:rPr>
      </w:pPr>
    </w:p>
    <w:p w14:paraId="5B8401FB">
      <w:pPr>
        <w:pStyle w:val="35"/>
        <w:rPr>
          <w:rFonts w:ascii="宋体" w:hAnsi="宋体"/>
          <w:b/>
          <w:color w:val="auto"/>
          <w:sz w:val="32"/>
          <w:szCs w:val="32"/>
          <w:highlight w:val="none"/>
        </w:rPr>
      </w:pPr>
    </w:p>
    <w:p w14:paraId="2CCD8AC3">
      <w:pPr>
        <w:spacing w:line="480" w:lineRule="auto"/>
        <w:ind w:firstLine="1285" w:firstLineChars="400"/>
        <w:rPr>
          <w:rFonts w:ascii="仿宋_GB2312" w:hAnsi="宋体" w:eastAsia="仿宋_GB2312"/>
          <w:b/>
          <w:color w:val="auto"/>
          <w:sz w:val="32"/>
          <w:szCs w:val="32"/>
          <w:highlight w:val="none"/>
        </w:rPr>
      </w:pPr>
    </w:p>
    <w:p w14:paraId="0EF4071F">
      <w:pPr>
        <w:spacing w:line="480" w:lineRule="auto"/>
        <w:ind w:firstLine="1285" w:firstLineChars="400"/>
        <w:rPr>
          <w:rFonts w:ascii="仿宋_GB2312" w:hAnsi="宋体" w:eastAsia="仿宋_GB2312"/>
          <w:b/>
          <w:color w:val="auto"/>
          <w:sz w:val="32"/>
          <w:szCs w:val="32"/>
          <w:highlight w:val="none"/>
        </w:rPr>
      </w:pPr>
    </w:p>
    <w:p w14:paraId="34558E15">
      <w:pPr>
        <w:spacing w:line="480" w:lineRule="auto"/>
        <w:ind w:firstLine="1285" w:firstLineChars="400"/>
        <w:rPr>
          <w:rFonts w:ascii="仿宋_GB2312" w:hAnsi="宋体" w:eastAsia="仿宋_GB2312"/>
          <w:b/>
          <w:color w:val="auto"/>
          <w:sz w:val="32"/>
          <w:szCs w:val="32"/>
          <w:highlight w:val="none"/>
        </w:rPr>
      </w:pPr>
    </w:p>
    <w:p w14:paraId="48A05726">
      <w:pPr>
        <w:spacing w:line="480" w:lineRule="auto"/>
        <w:ind w:firstLine="1285" w:firstLineChars="400"/>
        <w:rPr>
          <w:rFonts w:ascii="仿宋_GB2312" w:hAnsi="宋体" w:eastAsia="仿宋_GB2312"/>
          <w:b/>
          <w:color w:val="auto"/>
          <w:sz w:val="32"/>
          <w:szCs w:val="32"/>
          <w:highlight w:val="none"/>
        </w:rPr>
      </w:pPr>
    </w:p>
    <w:p w14:paraId="0D3A6CF6">
      <w:pPr>
        <w:spacing w:line="480" w:lineRule="auto"/>
        <w:ind w:firstLine="1285" w:firstLineChars="400"/>
        <w:rPr>
          <w:rFonts w:ascii="仿宋_GB2312" w:hAnsi="宋体" w:eastAsia="仿宋_GB2312"/>
          <w:b/>
          <w:color w:val="auto"/>
          <w:sz w:val="32"/>
          <w:szCs w:val="32"/>
          <w:highlight w:val="none"/>
        </w:rPr>
      </w:pPr>
    </w:p>
    <w:p w14:paraId="22DFD5B2">
      <w:pPr>
        <w:spacing w:line="480" w:lineRule="auto"/>
        <w:ind w:firstLine="1285" w:firstLineChars="400"/>
        <w:rPr>
          <w:rFonts w:ascii="仿宋_GB2312" w:hAnsi="宋体" w:eastAsia="仿宋_GB2312"/>
          <w:b/>
          <w:color w:val="auto"/>
          <w:sz w:val="32"/>
          <w:szCs w:val="32"/>
          <w:highlight w:val="none"/>
        </w:rPr>
      </w:pPr>
    </w:p>
    <w:p w14:paraId="292F419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采购人：广西壮族自治区水运发展中心</w:t>
      </w:r>
    </w:p>
    <w:p w14:paraId="27BE0E73">
      <w:pPr>
        <w:spacing w:line="360" w:lineRule="auto"/>
        <w:jc w:val="center"/>
        <w:rPr>
          <w:rFonts w:ascii="宋体" w:hAnsi="宋体" w:cs="宋体"/>
          <w:b/>
          <w:color w:val="auto"/>
          <w:sz w:val="32"/>
          <w:szCs w:val="32"/>
          <w:highlight w:val="none"/>
        </w:rPr>
      </w:pPr>
      <w:r>
        <w:rPr>
          <w:rFonts w:hint="eastAsia" w:ascii="宋体" w:hAnsi="宋体" w:cs="宋体"/>
          <w:b/>
          <w:bCs/>
          <w:color w:val="auto"/>
          <w:w w:val="95"/>
          <w:sz w:val="32"/>
          <w:szCs w:val="32"/>
          <w:highlight w:val="none"/>
        </w:rPr>
        <w:t>2026年</w:t>
      </w:r>
      <w:r>
        <w:rPr>
          <w:rFonts w:hint="eastAsia" w:ascii="宋体" w:hAnsi="宋体" w:cs="宋体"/>
          <w:b/>
          <w:bCs/>
          <w:color w:val="auto"/>
          <w:w w:val="95"/>
          <w:sz w:val="32"/>
          <w:szCs w:val="32"/>
          <w:highlight w:val="none"/>
          <w:lang w:val="en-US" w:eastAsia="zh-CN"/>
        </w:rPr>
        <w:t>6</w:t>
      </w:r>
      <w:r>
        <w:rPr>
          <w:rFonts w:hint="eastAsia" w:ascii="宋体" w:hAnsi="宋体" w:cs="宋体"/>
          <w:b/>
          <w:bCs/>
          <w:color w:val="auto"/>
          <w:w w:val="95"/>
          <w:sz w:val="32"/>
          <w:szCs w:val="32"/>
          <w:highlight w:val="none"/>
        </w:rPr>
        <w:t>月</w:t>
      </w:r>
    </w:p>
    <w:p w14:paraId="6DFC496B">
      <w:pPr>
        <w:spacing w:line="360" w:lineRule="auto"/>
        <w:jc w:val="center"/>
        <w:rPr>
          <w:rFonts w:ascii="宋体" w:hAnsi="宋体" w:cs="宋体"/>
          <w:b/>
          <w:bCs/>
          <w:color w:val="auto"/>
          <w:kern w:val="0"/>
          <w:sz w:val="32"/>
          <w:szCs w:val="32"/>
          <w:highlight w:val="none"/>
        </w:rPr>
      </w:pPr>
    </w:p>
    <w:p w14:paraId="19FA9520">
      <w:pPr>
        <w:pStyle w:val="22"/>
        <w:tabs>
          <w:tab w:val="right" w:leader="dot" w:pos="8931"/>
          <w:tab w:val="clear" w:pos="8296"/>
        </w:tabs>
        <w:adjustRightInd w:val="0"/>
        <w:snapToGrid w:val="0"/>
        <w:spacing w:line="264" w:lineRule="auto"/>
        <w:ind w:left="0" w:leftChars="0"/>
        <w:rPr>
          <w:rFonts w:ascii="宋体" w:hAnsi="宋体"/>
          <w:b/>
          <w:color w:val="auto"/>
          <w:sz w:val="32"/>
          <w:szCs w:val="32"/>
          <w:highlight w:val="none"/>
        </w:rPr>
      </w:pPr>
    </w:p>
    <w:sdt>
      <w:sdtPr>
        <w:rPr>
          <w:rFonts w:ascii="宋体" w:hAnsi="宋体"/>
          <w:color w:val="auto"/>
          <w:highlight w:val="none"/>
        </w:rPr>
        <w:id w:val="147480604"/>
        <w15:color w:val="DBDBDB"/>
        <w:docPartObj>
          <w:docPartGallery w:val="Table of Contents"/>
          <w:docPartUnique/>
        </w:docPartObj>
      </w:sdtPr>
      <w:sdtEndPr>
        <w:rPr>
          <w:rFonts w:hint="eastAsia" w:ascii="宋体" w:hAnsi="宋体"/>
          <w:color w:val="auto"/>
          <w:szCs w:val="32"/>
          <w:highlight w:val="none"/>
        </w:rPr>
      </w:sdtEndPr>
      <w:sdtContent>
        <w:p w14:paraId="43589873">
          <w:pPr>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0F9E8DF1">
          <w:pPr>
            <w:pStyle w:val="19"/>
            <w:tabs>
              <w:tab w:val="right" w:leader="dot" w:pos="8879"/>
            </w:tabs>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TOC \o "1-2" \h \u </w:instrText>
          </w:r>
          <w:r>
            <w:rPr>
              <w:rFonts w:hint="eastAsia" w:ascii="宋体" w:hAnsi="宋体" w:cs="宋体"/>
              <w:b/>
              <w:color w:val="auto"/>
              <w:sz w:val="32"/>
              <w:szCs w:val="32"/>
              <w:highlight w:val="none"/>
            </w:rPr>
            <w:fldChar w:fldCharType="separate"/>
          </w: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_Toc25134 </w:instrText>
          </w:r>
          <w:r>
            <w:rPr>
              <w:rFonts w:hint="eastAsia" w:ascii="宋体" w:hAnsi="宋体" w:cs="宋体"/>
              <w:szCs w:val="32"/>
              <w:highlight w:val="none"/>
            </w:rPr>
            <w:fldChar w:fldCharType="separate"/>
          </w:r>
          <w:r>
            <w:rPr>
              <w:rFonts w:hint="eastAsia"/>
              <w:szCs w:val="28"/>
              <w:highlight w:val="none"/>
            </w:rPr>
            <w:t>第一章 采购公告</w:t>
          </w:r>
          <w:r>
            <w:tab/>
          </w:r>
          <w:r>
            <w:fldChar w:fldCharType="begin"/>
          </w:r>
          <w:r>
            <w:instrText xml:space="preserve"> PAGEREF _Toc25134 \h </w:instrText>
          </w:r>
          <w:r>
            <w:fldChar w:fldCharType="separate"/>
          </w:r>
          <w:r>
            <w:t>2</w:t>
          </w:r>
          <w:r>
            <w:fldChar w:fldCharType="end"/>
          </w:r>
          <w:r>
            <w:rPr>
              <w:rFonts w:hint="eastAsia" w:ascii="宋体" w:hAnsi="宋体" w:cs="宋体"/>
              <w:color w:val="auto"/>
              <w:szCs w:val="32"/>
              <w:highlight w:val="none"/>
            </w:rPr>
            <w:fldChar w:fldCharType="end"/>
          </w:r>
        </w:p>
        <w:p w14:paraId="64928B5F">
          <w:pPr>
            <w:pStyle w:val="19"/>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_Toc32413 </w:instrText>
          </w:r>
          <w:r>
            <w:rPr>
              <w:rFonts w:hint="eastAsia" w:ascii="宋体" w:hAnsi="宋体" w:cs="宋体"/>
              <w:szCs w:val="32"/>
              <w:highlight w:val="none"/>
            </w:rPr>
            <w:fldChar w:fldCharType="separate"/>
          </w:r>
          <w:r>
            <w:rPr>
              <w:rFonts w:hint="eastAsia"/>
              <w:szCs w:val="28"/>
              <w:highlight w:val="none"/>
            </w:rPr>
            <w:t>第二章 供应商须知</w:t>
          </w:r>
          <w:r>
            <w:tab/>
          </w:r>
          <w:r>
            <w:fldChar w:fldCharType="begin"/>
          </w:r>
          <w:r>
            <w:instrText xml:space="preserve"> PAGEREF _Toc32413 \h </w:instrText>
          </w:r>
          <w:r>
            <w:fldChar w:fldCharType="separate"/>
          </w:r>
          <w:r>
            <w:t>6</w:t>
          </w:r>
          <w:r>
            <w:fldChar w:fldCharType="end"/>
          </w:r>
          <w:r>
            <w:rPr>
              <w:rFonts w:hint="eastAsia" w:ascii="宋体" w:hAnsi="宋体" w:cs="宋体"/>
              <w:color w:val="auto"/>
              <w:szCs w:val="32"/>
              <w:highlight w:val="none"/>
            </w:rPr>
            <w:fldChar w:fldCharType="end"/>
          </w:r>
        </w:p>
        <w:p w14:paraId="1857CDBD">
          <w:pPr>
            <w:pStyle w:val="19"/>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_Toc19335 </w:instrText>
          </w:r>
          <w:r>
            <w:rPr>
              <w:rFonts w:hint="eastAsia" w:ascii="宋体" w:hAnsi="宋体" w:cs="宋体"/>
              <w:szCs w:val="32"/>
              <w:highlight w:val="none"/>
            </w:rPr>
            <w:fldChar w:fldCharType="separate"/>
          </w:r>
          <w:r>
            <w:rPr>
              <w:rFonts w:hint="eastAsia"/>
              <w:szCs w:val="28"/>
              <w:highlight w:val="none"/>
            </w:rPr>
            <w:t>第三章 采购需求</w:t>
          </w:r>
          <w:r>
            <w:tab/>
          </w:r>
          <w:r>
            <w:fldChar w:fldCharType="begin"/>
          </w:r>
          <w:r>
            <w:instrText xml:space="preserve"> PAGEREF _Toc19335 \h </w:instrText>
          </w:r>
          <w:r>
            <w:fldChar w:fldCharType="separate"/>
          </w:r>
          <w:r>
            <w:t>7</w:t>
          </w:r>
          <w:r>
            <w:fldChar w:fldCharType="end"/>
          </w:r>
          <w:r>
            <w:rPr>
              <w:rFonts w:hint="eastAsia" w:ascii="宋体" w:hAnsi="宋体" w:cs="宋体"/>
              <w:color w:val="auto"/>
              <w:szCs w:val="32"/>
              <w:highlight w:val="none"/>
            </w:rPr>
            <w:fldChar w:fldCharType="end"/>
          </w:r>
        </w:p>
        <w:p w14:paraId="1164A798">
          <w:pPr>
            <w:pStyle w:val="19"/>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_Toc18712 </w:instrText>
          </w:r>
          <w:r>
            <w:rPr>
              <w:rFonts w:hint="eastAsia" w:ascii="宋体" w:hAnsi="宋体" w:cs="宋体"/>
              <w:szCs w:val="32"/>
              <w:highlight w:val="none"/>
            </w:rPr>
            <w:fldChar w:fldCharType="separate"/>
          </w:r>
          <w:r>
            <w:rPr>
              <w:rFonts w:hint="eastAsia"/>
              <w:szCs w:val="28"/>
              <w:highlight w:val="none"/>
            </w:rPr>
            <w:t>第四章  评审办法</w:t>
          </w:r>
          <w:r>
            <w:tab/>
          </w:r>
          <w:r>
            <w:fldChar w:fldCharType="begin"/>
          </w:r>
          <w:r>
            <w:instrText xml:space="preserve"> PAGEREF _Toc18712 \h </w:instrText>
          </w:r>
          <w:r>
            <w:fldChar w:fldCharType="separate"/>
          </w:r>
          <w:r>
            <w:t>11</w:t>
          </w:r>
          <w:r>
            <w:fldChar w:fldCharType="end"/>
          </w:r>
          <w:r>
            <w:rPr>
              <w:rFonts w:hint="eastAsia" w:ascii="宋体" w:hAnsi="宋体" w:cs="宋体"/>
              <w:color w:val="auto"/>
              <w:szCs w:val="32"/>
              <w:highlight w:val="none"/>
            </w:rPr>
            <w:fldChar w:fldCharType="end"/>
          </w:r>
        </w:p>
        <w:p w14:paraId="578EA53B">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_Toc683 </w:instrText>
          </w:r>
          <w:r>
            <w:rPr>
              <w:rFonts w:hint="eastAsia" w:ascii="宋体" w:hAnsi="宋体" w:cs="宋体"/>
              <w:szCs w:val="32"/>
              <w:highlight w:val="none"/>
            </w:rPr>
            <w:fldChar w:fldCharType="separate"/>
          </w:r>
          <w:r>
            <w:rPr>
              <w:rFonts w:hint="eastAsia" w:ascii="宋体" w:hAnsi="宋体"/>
              <w:highlight w:val="none"/>
            </w:rPr>
            <w:t>第一节  评审程序和评审方法</w:t>
          </w:r>
          <w:r>
            <w:tab/>
          </w:r>
          <w:r>
            <w:fldChar w:fldCharType="begin"/>
          </w:r>
          <w:r>
            <w:instrText xml:space="preserve"> PAGEREF _Toc683 \h </w:instrText>
          </w:r>
          <w:r>
            <w:fldChar w:fldCharType="separate"/>
          </w:r>
          <w:r>
            <w:t>11</w:t>
          </w:r>
          <w:r>
            <w:fldChar w:fldCharType="end"/>
          </w:r>
          <w:r>
            <w:rPr>
              <w:rFonts w:hint="eastAsia" w:ascii="宋体" w:hAnsi="宋体" w:cs="宋体"/>
              <w:color w:val="auto"/>
              <w:szCs w:val="32"/>
              <w:highlight w:val="none"/>
            </w:rPr>
            <w:fldChar w:fldCharType="end"/>
          </w:r>
        </w:p>
        <w:p w14:paraId="332F0522">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_Toc24975 </w:instrText>
          </w:r>
          <w:r>
            <w:rPr>
              <w:rFonts w:hint="eastAsia" w:ascii="宋体" w:hAnsi="宋体" w:cs="宋体"/>
              <w:szCs w:val="32"/>
              <w:highlight w:val="none"/>
            </w:rPr>
            <w:fldChar w:fldCharType="separate"/>
          </w:r>
          <w:r>
            <w:rPr>
              <w:rFonts w:hint="eastAsia" w:ascii="宋体" w:hAnsi="宋体"/>
              <w:highlight w:val="none"/>
            </w:rPr>
            <w:t>第二节  评审标准</w:t>
          </w:r>
          <w:r>
            <w:tab/>
          </w:r>
          <w:r>
            <w:fldChar w:fldCharType="begin"/>
          </w:r>
          <w:r>
            <w:instrText xml:space="preserve"> PAGEREF _Toc24975 \h </w:instrText>
          </w:r>
          <w:r>
            <w:fldChar w:fldCharType="separate"/>
          </w:r>
          <w:r>
            <w:t>14</w:t>
          </w:r>
          <w:r>
            <w:fldChar w:fldCharType="end"/>
          </w:r>
          <w:r>
            <w:rPr>
              <w:rFonts w:hint="eastAsia" w:ascii="宋体" w:hAnsi="宋体" w:cs="宋体"/>
              <w:color w:val="auto"/>
              <w:szCs w:val="32"/>
              <w:highlight w:val="none"/>
            </w:rPr>
            <w:fldChar w:fldCharType="end"/>
          </w:r>
        </w:p>
        <w:p w14:paraId="4A9F4495">
          <w:pPr>
            <w:pStyle w:val="19"/>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_Toc31417 </w:instrText>
          </w:r>
          <w:r>
            <w:rPr>
              <w:rFonts w:hint="eastAsia" w:ascii="宋体" w:hAnsi="宋体" w:cs="宋体"/>
              <w:szCs w:val="32"/>
              <w:highlight w:val="none"/>
            </w:rPr>
            <w:fldChar w:fldCharType="separate"/>
          </w:r>
          <w:r>
            <w:rPr>
              <w:rFonts w:hint="eastAsia"/>
              <w:szCs w:val="28"/>
              <w:highlight w:val="none"/>
            </w:rPr>
            <w:t>第五章 中标和合同</w:t>
          </w:r>
          <w:r>
            <w:tab/>
          </w:r>
          <w:r>
            <w:fldChar w:fldCharType="begin"/>
          </w:r>
          <w:r>
            <w:instrText xml:space="preserve"> PAGEREF _Toc31417 \h </w:instrText>
          </w:r>
          <w:r>
            <w:fldChar w:fldCharType="separate"/>
          </w:r>
          <w:r>
            <w:t>15</w:t>
          </w:r>
          <w:r>
            <w:fldChar w:fldCharType="end"/>
          </w:r>
          <w:r>
            <w:rPr>
              <w:rFonts w:hint="eastAsia" w:ascii="宋体" w:hAnsi="宋体" w:cs="宋体"/>
              <w:color w:val="auto"/>
              <w:szCs w:val="32"/>
              <w:highlight w:val="none"/>
            </w:rPr>
            <w:fldChar w:fldCharType="end"/>
          </w:r>
        </w:p>
        <w:p w14:paraId="702A1CAA">
          <w:pPr>
            <w:pStyle w:val="19"/>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_Toc17325 </w:instrText>
          </w:r>
          <w:r>
            <w:rPr>
              <w:rFonts w:hint="eastAsia" w:ascii="宋体" w:hAnsi="宋体" w:cs="宋体"/>
              <w:szCs w:val="32"/>
              <w:highlight w:val="none"/>
            </w:rPr>
            <w:fldChar w:fldCharType="separate"/>
          </w:r>
          <w:r>
            <w:rPr>
              <w:rFonts w:hint="eastAsia"/>
              <w:szCs w:val="28"/>
              <w:highlight w:val="none"/>
            </w:rPr>
            <w:t>第六章 响应文件格式</w:t>
          </w:r>
          <w:r>
            <w:tab/>
          </w:r>
          <w:r>
            <w:fldChar w:fldCharType="begin"/>
          </w:r>
          <w:r>
            <w:instrText xml:space="preserve"> PAGEREF _Toc17325 \h </w:instrText>
          </w:r>
          <w:r>
            <w:fldChar w:fldCharType="separate"/>
          </w:r>
          <w:r>
            <w:t>17</w:t>
          </w:r>
          <w:r>
            <w:fldChar w:fldCharType="end"/>
          </w:r>
          <w:r>
            <w:rPr>
              <w:rFonts w:hint="eastAsia" w:ascii="宋体" w:hAnsi="宋体" w:cs="宋体"/>
              <w:color w:val="auto"/>
              <w:szCs w:val="32"/>
              <w:highlight w:val="none"/>
            </w:rPr>
            <w:fldChar w:fldCharType="end"/>
          </w:r>
        </w:p>
        <w:p w14:paraId="295F3984">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_Toc18860 </w:instrText>
          </w:r>
          <w:r>
            <w:rPr>
              <w:rFonts w:hint="eastAsia" w:ascii="宋体" w:hAnsi="宋体" w:cs="宋体"/>
              <w:szCs w:val="32"/>
              <w:highlight w:val="none"/>
            </w:rPr>
            <w:fldChar w:fldCharType="separate"/>
          </w:r>
          <w:r>
            <w:rPr>
              <w:rFonts w:hint="eastAsia" w:ascii="宋体" w:hAnsi="宋体"/>
              <w:bCs/>
              <w:szCs w:val="36"/>
              <w:highlight w:val="none"/>
            </w:rPr>
            <w:t>目录</w:t>
          </w:r>
          <w:r>
            <w:tab/>
          </w:r>
          <w:r>
            <w:fldChar w:fldCharType="begin"/>
          </w:r>
          <w:r>
            <w:instrText xml:space="preserve"> PAGEREF _Toc18860 \h </w:instrText>
          </w:r>
          <w:r>
            <w:fldChar w:fldCharType="separate"/>
          </w:r>
          <w:r>
            <w:t>19</w:t>
          </w:r>
          <w:r>
            <w:fldChar w:fldCharType="end"/>
          </w:r>
          <w:r>
            <w:rPr>
              <w:rFonts w:hint="eastAsia" w:ascii="宋体" w:hAnsi="宋体" w:cs="宋体"/>
              <w:color w:val="auto"/>
              <w:szCs w:val="32"/>
              <w:highlight w:val="none"/>
            </w:rPr>
            <w:fldChar w:fldCharType="end"/>
          </w:r>
        </w:p>
        <w:p w14:paraId="3D96E26B">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_Toc31375 </w:instrText>
          </w:r>
          <w:r>
            <w:rPr>
              <w:rFonts w:hint="eastAsia" w:ascii="宋体" w:hAnsi="宋体" w:cs="宋体"/>
              <w:szCs w:val="32"/>
              <w:highlight w:val="none"/>
            </w:rPr>
            <w:fldChar w:fldCharType="separate"/>
          </w:r>
          <w:r>
            <w:rPr>
              <w:rFonts w:hint="eastAsia" w:ascii="黑体" w:hAnsi="黑体" w:eastAsia="黑体" w:cs="黑体"/>
              <w:szCs w:val="36"/>
              <w:highlight w:val="none"/>
            </w:rPr>
            <w:t>一、投标函</w:t>
          </w:r>
          <w:r>
            <w:tab/>
          </w:r>
          <w:r>
            <w:fldChar w:fldCharType="begin"/>
          </w:r>
          <w:r>
            <w:instrText xml:space="preserve"> PAGEREF _Toc31375 \h </w:instrText>
          </w:r>
          <w:r>
            <w:fldChar w:fldCharType="separate"/>
          </w:r>
          <w:r>
            <w:t>20</w:t>
          </w:r>
          <w:r>
            <w:fldChar w:fldCharType="end"/>
          </w:r>
          <w:r>
            <w:rPr>
              <w:rFonts w:hint="eastAsia" w:ascii="宋体" w:hAnsi="宋体" w:cs="宋体"/>
              <w:color w:val="auto"/>
              <w:szCs w:val="32"/>
              <w:highlight w:val="none"/>
            </w:rPr>
            <w:fldChar w:fldCharType="end"/>
          </w:r>
        </w:p>
        <w:p w14:paraId="70F699F6">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_Toc12021 </w:instrText>
          </w:r>
          <w:r>
            <w:rPr>
              <w:rFonts w:hint="eastAsia" w:ascii="宋体" w:hAnsi="宋体" w:cs="宋体"/>
              <w:szCs w:val="32"/>
              <w:highlight w:val="none"/>
            </w:rPr>
            <w:fldChar w:fldCharType="separate"/>
          </w:r>
          <w:r>
            <w:rPr>
              <w:rFonts w:hint="eastAsia" w:ascii="黑体" w:hAnsi="黑体" w:eastAsia="黑体" w:cs="黑体"/>
              <w:szCs w:val="36"/>
              <w:highlight w:val="none"/>
            </w:rPr>
            <w:t>二、法定代表人身份证明</w:t>
          </w:r>
          <w:r>
            <w:tab/>
          </w:r>
          <w:r>
            <w:fldChar w:fldCharType="begin"/>
          </w:r>
          <w:r>
            <w:instrText xml:space="preserve"> PAGEREF _Toc12021 \h </w:instrText>
          </w:r>
          <w:r>
            <w:fldChar w:fldCharType="separate"/>
          </w:r>
          <w:r>
            <w:t>21</w:t>
          </w:r>
          <w:r>
            <w:fldChar w:fldCharType="end"/>
          </w:r>
          <w:r>
            <w:rPr>
              <w:rFonts w:hint="eastAsia" w:ascii="宋体" w:hAnsi="宋体" w:cs="宋体"/>
              <w:color w:val="auto"/>
              <w:szCs w:val="32"/>
              <w:highlight w:val="none"/>
            </w:rPr>
            <w:fldChar w:fldCharType="end"/>
          </w:r>
        </w:p>
        <w:p w14:paraId="1BDA3801">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_Toc19844 </w:instrText>
          </w:r>
          <w:r>
            <w:rPr>
              <w:rFonts w:hint="eastAsia" w:ascii="宋体" w:hAnsi="宋体" w:cs="宋体"/>
              <w:szCs w:val="32"/>
              <w:highlight w:val="none"/>
            </w:rPr>
            <w:fldChar w:fldCharType="separate"/>
          </w:r>
          <w:r>
            <w:rPr>
              <w:rFonts w:hint="eastAsia" w:ascii="黑体" w:hAnsi="黑体" w:eastAsia="黑体" w:cs="黑体"/>
              <w:szCs w:val="36"/>
              <w:highlight w:val="none"/>
            </w:rPr>
            <w:t>二、授权委托书</w:t>
          </w:r>
          <w:r>
            <w:tab/>
          </w:r>
          <w:r>
            <w:fldChar w:fldCharType="begin"/>
          </w:r>
          <w:r>
            <w:instrText xml:space="preserve"> PAGEREF _Toc19844 \h </w:instrText>
          </w:r>
          <w:r>
            <w:fldChar w:fldCharType="separate"/>
          </w:r>
          <w:r>
            <w:t>22</w:t>
          </w:r>
          <w:r>
            <w:fldChar w:fldCharType="end"/>
          </w:r>
          <w:r>
            <w:rPr>
              <w:rFonts w:hint="eastAsia" w:ascii="宋体" w:hAnsi="宋体" w:cs="宋体"/>
              <w:color w:val="auto"/>
              <w:szCs w:val="32"/>
              <w:highlight w:val="none"/>
            </w:rPr>
            <w:fldChar w:fldCharType="end"/>
          </w:r>
        </w:p>
        <w:p w14:paraId="5333168F">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_Toc19393 </w:instrText>
          </w:r>
          <w:r>
            <w:rPr>
              <w:rFonts w:hint="eastAsia" w:ascii="宋体" w:hAnsi="宋体" w:cs="宋体"/>
              <w:szCs w:val="32"/>
              <w:highlight w:val="none"/>
            </w:rPr>
            <w:fldChar w:fldCharType="separate"/>
          </w:r>
          <w:r>
            <w:rPr>
              <w:rFonts w:hint="eastAsia" w:ascii="黑体" w:hAnsi="黑体" w:eastAsia="黑体" w:cs="黑体"/>
              <w:szCs w:val="36"/>
              <w:highlight w:val="none"/>
            </w:rPr>
            <w:t>三、报价清单</w:t>
          </w:r>
          <w:r>
            <w:tab/>
          </w:r>
          <w:r>
            <w:fldChar w:fldCharType="begin"/>
          </w:r>
          <w:r>
            <w:instrText xml:space="preserve"> PAGEREF _Toc19393 \h </w:instrText>
          </w:r>
          <w:r>
            <w:fldChar w:fldCharType="separate"/>
          </w:r>
          <w:r>
            <w:t>23</w:t>
          </w:r>
          <w:r>
            <w:fldChar w:fldCharType="end"/>
          </w:r>
          <w:r>
            <w:rPr>
              <w:rFonts w:hint="eastAsia" w:ascii="宋体" w:hAnsi="宋体" w:cs="宋体"/>
              <w:color w:val="auto"/>
              <w:szCs w:val="32"/>
              <w:highlight w:val="none"/>
            </w:rPr>
            <w:fldChar w:fldCharType="end"/>
          </w:r>
        </w:p>
        <w:p w14:paraId="1B139BE9">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_Toc23480 </w:instrText>
          </w:r>
          <w:r>
            <w:rPr>
              <w:rFonts w:hint="eastAsia" w:ascii="宋体" w:hAnsi="宋体" w:cs="宋体"/>
              <w:szCs w:val="32"/>
              <w:highlight w:val="none"/>
            </w:rPr>
            <w:fldChar w:fldCharType="separate"/>
          </w:r>
          <w:r>
            <w:rPr>
              <w:rFonts w:hint="eastAsia" w:ascii="黑体" w:hAnsi="黑体" w:eastAsia="黑体" w:cs="黑体"/>
              <w:szCs w:val="36"/>
              <w:highlight w:val="none"/>
            </w:rPr>
            <w:t>四、资格审查资料</w:t>
          </w:r>
          <w:r>
            <w:tab/>
          </w:r>
          <w:r>
            <w:fldChar w:fldCharType="begin"/>
          </w:r>
          <w:r>
            <w:instrText xml:space="preserve"> PAGEREF _Toc23480 \h </w:instrText>
          </w:r>
          <w:r>
            <w:fldChar w:fldCharType="separate"/>
          </w:r>
          <w:r>
            <w:t>25</w:t>
          </w:r>
          <w:r>
            <w:fldChar w:fldCharType="end"/>
          </w:r>
          <w:r>
            <w:rPr>
              <w:rFonts w:hint="eastAsia" w:ascii="宋体" w:hAnsi="宋体" w:cs="宋体"/>
              <w:color w:val="auto"/>
              <w:szCs w:val="32"/>
              <w:highlight w:val="none"/>
            </w:rPr>
            <w:fldChar w:fldCharType="end"/>
          </w:r>
        </w:p>
        <w:p w14:paraId="6927300B">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_Toc634 </w:instrText>
          </w:r>
          <w:r>
            <w:rPr>
              <w:rFonts w:hint="eastAsia" w:ascii="宋体" w:hAnsi="宋体" w:cs="宋体"/>
              <w:szCs w:val="32"/>
              <w:highlight w:val="none"/>
            </w:rPr>
            <w:fldChar w:fldCharType="separate"/>
          </w:r>
          <w:r>
            <w:rPr>
              <w:rFonts w:hint="eastAsia" w:ascii="黑体" w:hAnsi="黑体" w:eastAsia="黑体" w:cs="黑体"/>
              <w:szCs w:val="36"/>
              <w:highlight w:val="none"/>
            </w:rPr>
            <w:t>五、服务方案</w:t>
          </w:r>
          <w:r>
            <w:tab/>
          </w:r>
          <w:r>
            <w:fldChar w:fldCharType="begin"/>
          </w:r>
          <w:r>
            <w:instrText xml:space="preserve"> PAGEREF _Toc634 \h </w:instrText>
          </w:r>
          <w:r>
            <w:fldChar w:fldCharType="separate"/>
          </w:r>
          <w:r>
            <w:t>31</w:t>
          </w:r>
          <w:r>
            <w:fldChar w:fldCharType="end"/>
          </w:r>
          <w:r>
            <w:rPr>
              <w:rFonts w:hint="eastAsia" w:ascii="宋体" w:hAnsi="宋体" w:cs="宋体"/>
              <w:color w:val="auto"/>
              <w:szCs w:val="32"/>
              <w:highlight w:val="none"/>
            </w:rPr>
            <w:fldChar w:fldCharType="end"/>
          </w:r>
        </w:p>
        <w:p w14:paraId="16FAD4D2">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_Toc26161 </w:instrText>
          </w:r>
          <w:r>
            <w:rPr>
              <w:rFonts w:hint="eastAsia" w:ascii="宋体" w:hAnsi="宋体" w:cs="宋体"/>
              <w:szCs w:val="32"/>
              <w:highlight w:val="none"/>
            </w:rPr>
            <w:fldChar w:fldCharType="separate"/>
          </w:r>
          <w:r>
            <w:rPr>
              <w:rFonts w:hint="eastAsia" w:ascii="黑体" w:hAnsi="黑体" w:eastAsia="黑体" w:cs="黑体"/>
              <w:szCs w:val="36"/>
              <w:highlight w:val="none"/>
            </w:rPr>
            <w:t>六、其他资料</w:t>
          </w:r>
          <w:r>
            <w:tab/>
          </w:r>
          <w:r>
            <w:fldChar w:fldCharType="begin"/>
          </w:r>
          <w:r>
            <w:instrText xml:space="preserve"> PAGEREF _Toc26161 \h </w:instrText>
          </w:r>
          <w:r>
            <w:fldChar w:fldCharType="separate"/>
          </w:r>
          <w:r>
            <w:t>32</w:t>
          </w:r>
          <w:r>
            <w:fldChar w:fldCharType="end"/>
          </w:r>
          <w:r>
            <w:rPr>
              <w:rFonts w:hint="eastAsia" w:ascii="宋体" w:hAnsi="宋体" w:cs="宋体"/>
              <w:color w:val="auto"/>
              <w:szCs w:val="32"/>
              <w:highlight w:val="none"/>
            </w:rPr>
            <w:fldChar w:fldCharType="end"/>
          </w:r>
        </w:p>
        <w:p w14:paraId="5F1B7AAC">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_Toc24390 </w:instrText>
          </w:r>
          <w:r>
            <w:rPr>
              <w:rFonts w:hint="eastAsia" w:ascii="宋体" w:hAnsi="宋体" w:cs="宋体"/>
              <w:szCs w:val="32"/>
              <w:highlight w:val="none"/>
            </w:rPr>
            <w:fldChar w:fldCharType="separate"/>
          </w:r>
          <w:r>
            <w:rPr>
              <w:rFonts w:hint="eastAsia" w:ascii="黑体" w:hAnsi="黑体" w:eastAsia="黑体" w:cs="黑体"/>
              <w:szCs w:val="36"/>
              <w:highlight w:val="none"/>
              <w:lang w:eastAsia="zh-CN"/>
            </w:rPr>
            <w:t>七</w:t>
          </w:r>
          <w:r>
            <w:rPr>
              <w:rFonts w:hint="eastAsia" w:ascii="黑体" w:hAnsi="黑体" w:eastAsia="黑体" w:cs="黑体"/>
              <w:szCs w:val="36"/>
              <w:highlight w:val="none"/>
            </w:rPr>
            <w:t>、</w:t>
          </w:r>
          <w:r>
            <w:rPr>
              <w:rFonts w:hint="eastAsia" w:ascii="黑体" w:hAnsi="黑体" w:eastAsia="黑体" w:cs="黑体"/>
              <w:szCs w:val="36"/>
              <w:highlight w:val="none"/>
              <w:lang w:eastAsia="zh-CN"/>
            </w:rPr>
            <w:t>履约担保</w:t>
          </w:r>
          <w:r>
            <w:tab/>
          </w:r>
          <w:r>
            <w:fldChar w:fldCharType="begin"/>
          </w:r>
          <w:r>
            <w:instrText xml:space="preserve"> PAGEREF _Toc24390 \h </w:instrText>
          </w:r>
          <w:r>
            <w:fldChar w:fldCharType="separate"/>
          </w:r>
          <w:r>
            <w:t>33</w:t>
          </w:r>
          <w:r>
            <w:fldChar w:fldCharType="end"/>
          </w:r>
          <w:r>
            <w:rPr>
              <w:rFonts w:hint="eastAsia" w:ascii="宋体" w:hAnsi="宋体" w:cs="宋体"/>
              <w:color w:val="auto"/>
              <w:szCs w:val="32"/>
              <w:highlight w:val="none"/>
            </w:rPr>
            <w:fldChar w:fldCharType="end"/>
          </w:r>
        </w:p>
        <w:p w14:paraId="4B904790">
          <w:pPr>
            <w:pStyle w:val="19"/>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_Toc17101 </w:instrText>
          </w:r>
          <w:r>
            <w:rPr>
              <w:rFonts w:hint="eastAsia" w:ascii="宋体" w:hAnsi="宋体" w:cs="宋体"/>
              <w:szCs w:val="32"/>
              <w:highlight w:val="none"/>
            </w:rPr>
            <w:fldChar w:fldCharType="separate"/>
          </w:r>
          <w:r>
            <w:rPr>
              <w:rFonts w:hint="eastAsia"/>
              <w:highlight w:val="none"/>
            </w:rPr>
            <w:t>第</w:t>
          </w:r>
          <w:r>
            <w:rPr>
              <w:rFonts w:hint="eastAsia"/>
              <w:highlight w:val="none"/>
              <w:lang w:eastAsia="zh-CN"/>
            </w:rPr>
            <w:t>七</w:t>
          </w:r>
          <w:r>
            <w:rPr>
              <w:rFonts w:hint="eastAsia"/>
              <w:highlight w:val="none"/>
            </w:rPr>
            <w:t>章 合同条款</w:t>
          </w:r>
          <w:r>
            <w:tab/>
          </w:r>
          <w:r>
            <w:fldChar w:fldCharType="begin"/>
          </w:r>
          <w:r>
            <w:instrText xml:space="preserve"> PAGEREF _Toc17101 \h </w:instrText>
          </w:r>
          <w:r>
            <w:fldChar w:fldCharType="separate"/>
          </w:r>
          <w:r>
            <w:t>34</w:t>
          </w:r>
          <w:r>
            <w:fldChar w:fldCharType="end"/>
          </w:r>
          <w:r>
            <w:rPr>
              <w:rFonts w:hint="eastAsia" w:ascii="宋体" w:hAnsi="宋体" w:cs="宋体"/>
              <w:color w:val="auto"/>
              <w:szCs w:val="32"/>
              <w:highlight w:val="none"/>
            </w:rPr>
            <w:fldChar w:fldCharType="end"/>
          </w:r>
        </w:p>
        <w:p w14:paraId="77290E16">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_Toc14739 </w:instrText>
          </w:r>
          <w:r>
            <w:rPr>
              <w:rFonts w:hint="eastAsia" w:ascii="宋体" w:hAnsi="宋体" w:cs="宋体"/>
              <w:szCs w:val="32"/>
              <w:highlight w:val="none"/>
            </w:rPr>
            <w:fldChar w:fldCharType="separate"/>
          </w:r>
          <w:r>
            <w:rPr>
              <w:rFonts w:hint="eastAsia" w:ascii="黑体" w:hAnsi="黑体" w:eastAsia="黑体" w:cs="黑体"/>
              <w:szCs w:val="32"/>
              <w:highlight w:val="none"/>
              <w:lang w:eastAsia="zh-CN"/>
            </w:rPr>
            <w:t>第一节</w:t>
          </w:r>
          <w:r>
            <w:rPr>
              <w:rFonts w:hint="eastAsia" w:ascii="黑体" w:hAnsi="黑体" w:eastAsia="黑体" w:cs="黑体"/>
              <w:szCs w:val="32"/>
              <w:highlight w:val="none"/>
              <w:lang w:val="en-US" w:eastAsia="zh-CN"/>
            </w:rPr>
            <w:t xml:space="preserve"> </w:t>
          </w:r>
          <w:r>
            <w:rPr>
              <w:rFonts w:hint="eastAsia" w:ascii="黑体" w:hAnsi="黑体" w:eastAsia="黑体" w:cs="黑体"/>
              <w:szCs w:val="32"/>
              <w:highlight w:val="none"/>
            </w:rPr>
            <w:t>合同协议书</w:t>
          </w:r>
          <w:r>
            <w:tab/>
          </w:r>
          <w:r>
            <w:fldChar w:fldCharType="begin"/>
          </w:r>
          <w:r>
            <w:instrText xml:space="preserve"> PAGEREF _Toc14739 \h </w:instrText>
          </w:r>
          <w:r>
            <w:fldChar w:fldCharType="separate"/>
          </w:r>
          <w:r>
            <w:t>35</w:t>
          </w:r>
          <w:r>
            <w:fldChar w:fldCharType="end"/>
          </w:r>
          <w:r>
            <w:rPr>
              <w:rFonts w:hint="eastAsia" w:ascii="宋体" w:hAnsi="宋体" w:cs="宋体"/>
              <w:color w:val="auto"/>
              <w:szCs w:val="32"/>
              <w:highlight w:val="none"/>
            </w:rPr>
            <w:fldChar w:fldCharType="end"/>
          </w:r>
        </w:p>
        <w:p w14:paraId="7A4F032D">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_Toc2085 </w:instrText>
          </w:r>
          <w:r>
            <w:rPr>
              <w:rFonts w:hint="eastAsia" w:ascii="宋体" w:hAnsi="宋体" w:cs="宋体"/>
              <w:szCs w:val="32"/>
              <w:highlight w:val="none"/>
            </w:rPr>
            <w:fldChar w:fldCharType="separate"/>
          </w:r>
          <w:r>
            <w:rPr>
              <w:rFonts w:hint="eastAsia" w:ascii="宋体" w:hAnsi="宋体" w:cs="宋体"/>
              <w:szCs w:val="21"/>
              <w:highlight w:val="none"/>
              <w:lang w:eastAsia="zh-CN"/>
            </w:rPr>
            <w:t>第二节</w:t>
          </w:r>
          <w:r>
            <w:rPr>
              <w:rFonts w:hint="eastAsia" w:ascii="宋体" w:hAnsi="宋体" w:cs="宋体"/>
              <w:szCs w:val="21"/>
              <w:highlight w:val="none"/>
            </w:rPr>
            <w:t xml:space="preserve">  廉政合同</w:t>
          </w:r>
          <w:r>
            <w:tab/>
          </w:r>
          <w:r>
            <w:fldChar w:fldCharType="begin"/>
          </w:r>
          <w:r>
            <w:instrText xml:space="preserve"> PAGEREF _Toc2085 \h </w:instrText>
          </w:r>
          <w:r>
            <w:fldChar w:fldCharType="separate"/>
          </w:r>
          <w:r>
            <w:t>45</w:t>
          </w:r>
          <w:r>
            <w:fldChar w:fldCharType="end"/>
          </w:r>
          <w:r>
            <w:rPr>
              <w:rFonts w:hint="eastAsia" w:ascii="宋体" w:hAnsi="宋体" w:cs="宋体"/>
              <w:color w:val="auto"/>
              <w:szCs w:val="32"/>
              <w:highlight w:val="none"/>
            </w:rPr>
            <w:fldChar w:fldCharType="end"/>
          </w:r>
        </w:p>
        <w:p w14:paraId="58D2B725">
          <w:pPr>
            <w:pStyle w:val="22"/>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_Toc32497 </w:instrText>
          </w:r>
          <w:r>
            <w:rPr>
              <w:rFonts w:hint="eastAsia" w:ascii="宋体" w:hAnsi="宋体" w:cs="宋体"/>
              <w:szCs w:val="32"/>
              <w:highlight w:val="none"/>
            </w:rPr>
            <w:fldChar w:fldCharType="separate"/>
          </w:r>
          <w:r>
            <w:rPr>
              <w:rFonts w:hint="eastAsia" w:ascii="宋体" w:hAnsi="宋体" w:cs="宋体"/>
              <w:szCs w:val="21"/>
              <w:highlight w:val="none"/>
              <w:lang w:val="en-US" w:eastAsia="zh-CN"/>
            </w:rPr>
            <w:t xml:space="preserve">第三节  </w:t>
          </w:r>
          <w:r>
            <w:rPr>
              <w:rFonts w:hint="eastAsia" w:ascii="宋体" w:hAnsi="宋体" w:cs="宋体"/>
              <w:szCs w:val="21"/>
              <w:highlight w:val="none"/>
            </w:rPr>
            <w:t>安全生产合同</w:t>
          </w:r>
          <w:r>
            <w:tab/>
          </w:r>
          <w:r>
            <w:fldChar w:fldCharType="begin"/>
          </w:r>
          <w:r>
            <w:instrText xml:space="preserve"> PAGEREF _Toc32497 \h </w:instrText>
          </w:r>
          <w:r>
            <w:fldChar w:fldCharType="separate"/>
          </w:r>
          <w:r>
            <w:t>47</w:t>
          </w:r>
          <w:r>
            <w:fldChar w:fldCharType="end"/>
          </w:r>
          <w:r>
            <w:rPr>
              <w:rFonts w:hint="eastAsia" w:ascii="宋体" w:hAnsi="宋体" w:cs="宋体"/>
              <w:color w:val="auto"/>
              <w:szCs w:val="32"/>
              <w:highlight w:val="none"/>
            </w:rPr>
            <w:fldChar w:fldCharType="end"/>
          </w:r>
        </w:p>
        <w:p w14:paraId="1F349976">
          <w:pPr>
            <w:spacing w:line="400" w:lineRule="exact"/>
            <w:rPr>
              <w:rFonts w:ascii="宋体" w:hAnsi="宋体"/>
              <w:color w:val="auto"/>
              <w:szCs w:val="32"/>
              <w:highlight w:val="none"/>
            </w:rPr>
          </w:pPr>
          <w:r>
            <w:rPr>
              <w:rFonts w:hint="eastAsia" w:ascii="宋体" w:hAnsi="宋体" w:cs="宋体"/>
              <w:color w:val="auto"/>
              <w:szCs w:val="32"/>
              <w:highlight w:val="none"/>
            </w:rPr>
            <w:fldChar w:fldCharType="end"/>
          </w:r>
        </w:p>
      </w:sdtContent>
    </w:sdt>
    <w:p w14:paraId="11884C2C">
      <w:pPr>
        <w:spacing w:line="400" w:lineRule="exact"/>
        <w:rPr>
          <w:rFonts w:ascii="宋体" w:hAnsi="宋体"/>
          <w:color w:val="auto"/>
          <w:szCs w:val="32"/>
          <w:highlight w:val="none"/>
        </w:rPr>
      </w:pPr>
    </w:p>
    <w:p w14:paraId="01402C3F">
      <w:pPr>
        <w:spacing w:line="400" w:lineRule="exact"/>
        <w:rPr>
          <w:rFonts w:ascii="宋体" w:hAnsi="宋体"/>
          <w:b/>
          <w:color w:val="auto"/>
          <w:sz w:val="32"/>
          <w:szCs w:val="32"/>
          <w:highlight w:val="none"/>
        </w:rPr>
      </w:pPr>
    </w:p>
    <w:p w14:paraId="5CB9D5CC">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C896E4B">
      <w:pPr>
        <w:pStyle w:val="2"/>
        <w:spacing w:before="0" w:after="0" w:line="360" w:lineRule="auto"/>
        <w:jc w:val="center"/>
        <w:rPr>
          <w:color w:val="auto"/>
          <w:sz w:val="28"/>
          <w:szCs w:val="28"/>
          <w:highlight w:val="none"/>
        </w:rPr>
      </w:pPr>
      <w:bookmarkStart w:id="0" w:name="_Toc27074"/>
      <w:bookmarkStart w:id="1" w:name="_Toc25608"/>
      <w:bookmarkStart w:id="2" w:name="_Toc27769"/>
      <w:bookmarkStart w:id="3" w:name="_Toc20493"/>
      <w:bookmarkStart w:id="4" w:name="_Toc8362"/>
      <w:bookmarkStart w:id="5" w:name="_Toc20974"/>
      <w:bookmarkStart w:id="6" w:name="_Toc25134"/>
      <w:bookmarkStart w:id="7" w:name="_Toc29297"/>
      <w:bookmarkStart w:id="8" w:name="_Toc16991"/>
      <w:r>
        <w:rPr>
          <w:rFonts w:hint="eastAsia"/>
          <w:color w:val="auto"/>
          <w:sz w:val="28"/>
          <w:szCs w:val="28"/>
          <w:highlight w:val="none"/>
        </w:rPr>
        <w:t>第一章 采购</w:t>
      </w:r>
      <w:bookmarkEnd w:id="0"/>
      <w:bookmarkEnd w:id="1"/>
      <w:bookmarkEnd w:id="2"/>
      <w:r>
        <w:rPr>
          <w:rFonts w:hint="eastAsia"/>
          <w:color w:val="auto"/>
          <w:sz w:val="28"/>
          <w:szCs w:val="28"/>
          <w:highlight w:val="none"/>
        </w:rPr>
        <w:t>公告</w:t>
      </w:r>
      <w:bookmarkEnd w:id="3"/>
      <w:bookmarkEnd w:id="4"/>
      <w:bookmarkEnd w:id="5"/>
      <w:bookmarkEnd w:id="6"/>
      <w:bookmarkEnd w:id="7"/>
      <w:bookmarkEnd w:id="8"/>
    </w:p>
    <w:p w14:paraId="65989B2B">
      <w:pPr>
        <w:spacing w:line="360" w:lineRule="auto"/>
        <w:ind w:firstLine="354" w:firstLineChars="147"/>
        <w:rPr>
          <w:rFonts w:ascii="黑体" w:hAnsi="黑体" w:eastAsia="黑体"/>
          <w:b/>
          <w:color w:val="auto"/>
          <w:sz w:val="24"/>
          <w:highlight w:val="none"/>
        </w:rPr>
      </w:pPr>
      <w:bookmarkStart w:id="9" w:name="_Toc44229878"/>
      <w:bookmarkStart w:id="10" w:name="_Toc71365905"/>
      <w:bookmarkStart w:id="11" w:name="_Toc35393629"/>
      <w:bookmarkStart w:id="12" w:name="_Toc35393798"/>
      <w:bookmarkStart w:id="13" w:name="_Hlk37430271"/>
      <w:bookmarkStart w:id="14" w:name="_Toc28359089"/>
      <w:bookmarkStart w:id="15" w:name="_Toc28359012"/>
    </w:p>
    <w:bookmarkEnd w:id="9"/>
    <w:bookmarkEnd w:id="10"/>
    <w:bookmarkEnd w:id="11"/>
    <w:bookmarkEnd w:id="12"/>
    <w:bookmarkEnd w:id="13"/>
    <w:bookmarkEnd w:id="14"/>
    <w:bookmarkEnd w:id="15"/>
    <w:p w14:paraId="709F9136">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一、项目基本情况</w:t>
      </w:r>
    </w:p>
    <w:p w14:paraId="52414F3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1.采购项目名称：北海港铁山港区1万至3万吨级锚地工程</w:t>
      </w:r>
      <w:r>
        <w:rPr>
          <w:rFonts w:hint="eastAsia" w:ascii="宋体" w:hAnsi="宋体" w:cs="宋体"/>
          <w:bCs/>
          <w:color w:val="auto"/>
          <w:sz w:val="24"/>
          <w:highlight w:val="none"/>
          <w:lang w:eastAsia="zh-CN"/>
        </w:rPr>
        <w:t>交工验收测量</w:t>
      </w:r>
      <w:r>
        <w:rPr>
          <w:rFonts w:hint="eastAsia" w:ascii="宋体" w:hAnsi="宋体" w:cs="宋体"/>
          <w:bCs/>
          <w:color w:val="auto"/>
          <w:sz w:val="24"/>
          <w:highlight w:val="none"/>
        </w:rPr>
        <w:t>服务</w:t>
      </w:r>
    </w:p>
    <w:p w14:paraId="17644CA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2.项目地点：铁山湾3号锚地。</w:t>
      </w:r>
    </w:p>
    <w:p w14:paraId="3F58BD44">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3.项目概况：</w:t>
      </w:r>
      <w:bookmarkStart w:id="16" w:name="OLE_LINK5"/>
      <w:bookmarkStart w:id="17" w:name="OLE_LINK1"/>
      <w:r>
        <w:rPr>
          <w:rFonts w:hint="eastAsia" w:ascii="宋体" w:hAnsi="宋体" w:cs="宋体"/>
          <w:bCs/>
          <w:color w:val="auto"/>
          <w:sz w:val="24"/>
          <w:highlight w:val="none"/>
        </w:rPr>
        <w:t>北海港铁山港区1万至3万吨级锚地工程</w:t>
      </w:r>
      <w:r>
        <w:rPr>
          <w:rFonts w:hint="eastAsia" w:ascii="宋体" w:hAnsi="宋体" w:cs="宋体"/>
          <w:bCs/>
          <w:color w:val="auto"/>
          <w:sz w:val="24"/>
          <w:highlight w:val="none"/>
          <w:lang w:eastAsia="zh-CN"/>
        </w:rPr>
        <w:t>交工验收测量</w:t>
      </w:r>
      <w:r>
        <w:rPr>
          <w:rFonts w:hint="eastAsia" w:ascii="宋体" w:hAnsi="宋体" w:cs="宋体"/>
          <w:bCs/>
          <w:color w:val="auto"/>
          <w:sz w:val="24"/>
          <w:highlight w:val="none"/>
        </w:rPr>
        <w:t>服务，对北海港铁山港区1万至3万吨级锚地工程进行交工验收前</w:t>
      </w:r>
      <w:r>
        <w:rPr>
          <w:rFonts w:hint="eastAsia" w:ascii="宋体" w:hAnsi="宋体" w:cs="宋体"/>
          <w:bCs/>
          <w:color w:val="auto"/>
          <w:sz w:val="24"/>
          <w:highlight w:val="none"/>
          <w:lang w:eastAsia="zh-CN"/>
        </w:rPr>
        <w:t>交工验收测量</w:t>
      </w:r>
      <w:r>
        <w:rPr>
          <w:rFonts w:hint="eastAsia" w:ascii="宋体" w:hAnsi="宋体" w:cs="宋体"/>
          <w:bCs/>
          <w:color w:val="auto"/>
          <w:sz w:val="24"/>
          <w:highlight w:val="none"/>
        </w:rPr>
        <w:t>，测量面积约16.07平方公里。</w:t>
      </w:r>
      <w:bookmarkStart w:id="222" w:name="_GoBack"/>
      <w:bookmarkEnd w:id="222"/>
    </w:p>
    <w:bookmarkEnd w:id="16"/>
    <w:bookmarkEnd w:id="17"/>
    <w:p w14:paraId="6773CABE">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4.本次采购内容：北海港铁山港区1万至3万吨级锚地工程</w:t>
      </w:r>
      <w:r>
        <w:rPr>
          <w:rFonts w:hint="eastAsia" w:ascii="宋体" w:hAnsi="宋体" w:cs="宋体"/>
          <w:bCs/>
          <w:color w:val="auto"/>
          <w:sz w:val="24"/>
          <w:highlight w:val="none"/>
          <w:lang w:eastAsia="zh-CN"/>
        </w:rPr>
        <w:t>交工验收测量</w:t>
      </w:r>
      <w:r>
        <w:rPr>
          <w:rFonts w:hint="eastAsia" w:ascii="宋体" w:hAnsi="宋体" w:cs="宋体"/>
          <w:bCs/>
          <w:color w:val="auto"/>
          <w:sz w:val="24"/>
          <w:highlight w:val="none"/>
        </w:rPr>
        <w:t>服务。</w:t>
      </w:r>
    </w:p>
    <w:p w14:paraId="1C901394">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5.采购预算：</w:t>
      </w:r>
      <w:r>
        <w:rPr>
          <w:rFonts w:hint="eastAsia" w:ascii="宋体" w:hAnsi="宋体" w:cs="宋体"/>
          <w:color w:val="auto"/>
          <w:sz w:val="24"/>
          <w:highlight w:val="none"/>
          <w:lang w:eastAsia="zh-CN" w:bidi="ar"/>
        </w:rPr>
        <w:t>845692.36</w:t>
      </w:r>
      <w:r>
        <w:rPr>
          <w:rFonts w:hint="eastAsia" w:ascii="宋体" w:hAnsi="宋体" w:cs="宋体"/>
          <w:color w:val="auto"/>
          <w:sz w:val="24"/>
          <w:highlight w:val="none"/>
          <w:lang w:bidi="ar"/>
        </w:rPr>
        <w:t>元</w:t>
      </w:r>
      <w:r>
        <w:rPr>
          <w:rFonts w:hint="eastAsia" w:ascii="宋体" w:hAnsi="宋体" w:cs="宋体"/>
          <w:bCs/>
          <w:color w:val="auto"/>
          <w:sz w:val="24"/>
          <w:highlight w:val="none"/>
        </w:rPr>
        <w:t>。</w:t>
      </w:r>
    </w:p>
    <w:p w14:paraId="5EAD9D1E">
      <w:pPr>
        <w:spacing w:line="360" w:lineRule="auto"/>
        <w:ind w:firstLine="480" w:firstLineChars="200"/>
        <w:jc w:val="left"/>
        <w:rPr>
          <w:rFonts w:ascii="仿宋_GB2312" w:hAnsi="仿宋" w:eastAsia="仿宋_GB2312" w:cs="宋体"/>
          <w:bCs/>
          <w:color w:val="auto"/>
          <w:kern w:val="0"/>
          <w:sz w:val="24"/>
          <w:highlight w:val="none"/>
        </w:rPr>
      </w:pPr>
      <w:r>
        <w:rPr>
          <w:rFonts w:hint="eastAsia" w:ascii="宋体" w:hAnsi="宋体" w:cs="宋体"/>
          <w:bCs/>
          <w:color w:val="auto"/>
          <w:sz w:val="24"/>
          <w:highlight w:val="none"/>
        </w:rPr>
        <w:t>6.采购最高限价：</w:t>
      </w:r>
      <w:r>
        <w:rPr>
          <w:rFonts w:hint="eastAsia" w:ascii="宋体" w:hAnsi="宋体" w:cs="宋体"/>
          <w:color w:val="auto"/>
          <w:sz w:val="24"/>
          <w:highlight w:val="none"/>
          <w:lang w:eastAsia="zh-CN" w:bidi="ar"/>
        </w:rPr>
        <w:t>845692.36</w:t>
      </w:r>
      <w:r>
        <w:rPr>
          <w:rFonts w:hint="eastAsia" w:ascii="宋体" w:hAnsi="宋体" w:cs="宋体"/>
          <w:color w:val="auto"/>
          <w:sz w:val="24"/>
          <w:highlight w:val="none"/>
          <w:lang w:bidi="ar"/>
        </w:rPr>
        <w:t>元</w:t>
      </w:r>
      <w:r>
        <w:rPr>
          <w:rFonts w:hint="eastAsia" w:ascii="宋体" w:hAnsi="宋体" w:cs="宋体"/>
          <w:bCs/>
          <w:color w:val="auto"/>
          <w:sz w:val="24"/>
          <w:highlight w:val="none"/>
        </w:rPr>
        <w:t>，报价超过</w:t>
      </w:r>
      <w:r>
        <w:rPr>
          <w:rFonts w:hint="eastAsia" w:ascii="宋体" w:hAnsi="宋体" w:cs="宋体"/>
          <w:color w:val="auto"/>
          <w:sz w:val="24"/>
          <w:highlight w:val="none"/>
          <w:lang w:eastAsia="zh-CN" w:bidi="ar"/>
        </w:rPr>
        <w:t>845692.36</w:t>
      </w:r>
      <w:r>
        <w:rPr>
          <w:rFonts w:hint="eastAsia" w:ascii="宋体" w:hAnsi="宋体" w:cs="宋体"/>
          <w:color w:val="auto"/>
          <w:sz w:val="24"/>
          <w:highlight w:val="none"/>
          <w:lang w:bidi="ar"/>
        </w:rPr>
        <w:t>元</w:t>
      </w:r>
      <w:r>
        <w:rPr>
          <w:rFonts w:hint="eastAsia" w:ascii="宋体" w:hAnsi="宋体" w:cs="宋体"/>
          <w:bCs/>
          <w:color w:val="auto"/>
          <w:sz w:val="24"/>
          <w:highlight w:val="none"/>
        </w:rPr>
        <w:t>的响应文件为无效。</w:t>
      </w:r>
    </w:p>
    <w:p w14:paraId="652DEC7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7.采购方式：自行采购。</w:t>
      </w:r>
    </w:p>
    <w:p w14:paraId="2291C72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8.采购需求： </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776"/>
        <w:gridCol w:w="1590"/>
        <w:gridCol w:w="1005"/>
        <w:gridCol w:w="5384"/>
      </w:tblGrid>
      <w:tr w14:paraId="205EB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cantSplit/>
        </w:trPr>
        <w:tc>
          <w:tcPr>
            <w:tcW w:w="776" w:type="dxa"/>
            <w:tcBorders>
              <w:top w:val="single" w:color="auto" w:sz="4" w:space="0"/>
              <w:left w:val="single" w:color="auto" w:sz="4" w:space="0"/>
              <w:bottom w:val="single" w:color="auto" w:sz="4" w:space="0"/>
              <w:right w:val="single" w:color="auto" w:sz="4" w:space="0"/>
            </w:tcBorders>
            <w:vAlign w:val="center"/>
          </w:tcPr>
          <w:p w14:paraId="7E0644B0">
            <w:pPr>
              <w:adjustRightInd w:val="0"/>
              <w:snapToGrid w:val="0"/>
              <w:jc w:val="center"/>
              <w:rPr>
                <w:rFonts w:ascii="宋体" w:hAnsi="宋体"/>
                <w:color w:val="auto"/>
                <w:sz w:val="24"/>
                <w:highlight w:val="none"/>
              </w:rPr>
            </w:pPr>
            <w:r>
              <w:rPr>
                <w:rFonts w:hint="eastAsia" w:ascii="宋体" w:hAnsi="宋体"/>
                <w:color w:val="auto"/>
                <w:sz w:val="24"/>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377450B0">
            <w:pPr>
              <w:adjustRightInd w:val="0"/>
              <w:snapToGrid w:val="0"/>
              <w:jc w:val="center"/>
              <w:rPr>
                <w:rFonts w:ascii="宋体" w:hAnsi="宋体"/>
                <w:color w:val="auto"/>
                <w:sz w:val="24"/>
                <w:highlight w:val="none"/>
              </w:rPr>
            </w:pPr>
            <w:r>
              <w:rPr>
                <w:rFonts w:hint="eastAsia" w:ascii="宋体" w:hAnsi="宋体"/>
                <w:color w:val="auto"/>
                <w:sz w:val="24"/>
                <w:highlight w:val="none"/>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31109D63">
            <w:pPr>
              <w:adjustRightInd w:val="0"/>
              <w:snapToGrid w:val="0"/>
              <w:jc w:val="center"/>
              <w:rPr>
                <w:rFonts w:ascii="宋体" w:hAnsi="宋体"/>
                <w:color w:val="auto"/>
                <w:sz w:val="24"/>
                <w:highlight w:val="none"/>
              </w:rPr>
            </w:pPr>
            <w:r>
              <w:rPr>
                <w:rFonts w:hint="eastAsia" w:ascii="宋体" w:hAnsi="宋体"/>
                <w:color w:val="auto"/>
                <w:sz w:val="24"/>
                <w:highlight w:val="none"/>
              </w:rPr>
              <w:t>数量及</w:t>
            </w:r>
          </w:p>
          <w:p w14:paraId="32E80A69">
            <w:pPr>
              <w:adjustRightInd w:val="0"/>
              <w:snapToGrid w:val="0"/>
              <w:jc w:val="center"/>
              <w:rPr>
                <w:rFonts w:ascii="宋体" w:hAnsi="宋体"/>
                <w:color w:val="auto"/>
                <w:sz w:val="24"/>
                <w:highlight w:val="none"/>
              </w:rPr>
            </w:pPr>
            <w:r>
              <w:rPr>
                <w:rFonts w:hint="eastAsia" w:ascii="宋体" w:hAnsi="宋体"/>
                <w:color w:val="auto"/>
                <w:sz w:val="24"/>
                <w:highlight w:val="none"/>
              </w:rPr>
              <w:t>单位</w:t>
            </w:r>
          </w:p>
        </w:tc>
        <w:tc>
          <w:tcPr>
            <w:tcW w:w="5384" w:type="dxa"/>
            <w:tcBorders>
              <w:top w:val="single" w:color="auto" w:sz="4" w:space="0"/>
              <w:left w:val="single" w:color="auto" w:sz="4" w:space="0"/>
              <w:bottom w:val="single" w:color="auto" w:sz="4" w:space="0"/>
              <w:right w:val="single" w:color="auto" w:sz="4" w:space="0"/>
            </w:tcBorders>
            <w:vAlign w:val="center"/>
          </w:tcPr>
          <w:p w14:paraId="6A59A0D4">
            <w:pPr>
              <w:adjustRightInd w:val="0"/>
              <w:snapToGrid w:val="0"/>
              <w:jc w:val="center"/>
              <w:rPr>
                <w:rFonts w:ascii="宋体" w:hAnsi="宋体"/>
                <w:color w:val="auto"/>
                <w:sz w:val="24"/>
                <w:highlight w:val="none"/>
              </w:rPr>
            </w:pPr>
            <w:r>
              <w:rPr>
                <w:rFonts w:hint="eastAsia" w:ascii="宋体" w:hAnsi="宋体"/>
                <w:color w:val="auto"/>
                <w:sz w:val="24"/>
                <w:highlight w:val="none"/>
              </w:rPr>
              <w:t>简要服务要求或者技术需求</w:t>
            </w:r>
          </w:p>
        </w:tc>
      </w:tr>
      <w:tr w14:paraId="173AB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cantSplit/>
        </w:trPr>
        <w:tc>
          <w:tcPr>
            <w:tcW w:w="776" w:type="dxa"/>
            <w:tcBorders>
              <w:top w:val="single" w:color="auto" w:sz="4" w:space="0"/>
              <w:left w:val="single" w:color="auto" w:sz="4" w:space="0"/>
              <w:bottom w:val="single" w:color="auto" w:sz="4" w:space="0"/>
              <w:right w:val="single" w:color="auto" w:sz="4" w:space="0"/>
            </w:tcBorders>
            <w:vAlign w:val="center"/>
          </w:tcPr>
          <w:p w14:paraId="194AE0FD">
            <w:pPr>
              <w:snapToGri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590" w:type="dxa"/>
            <w:tcBorders>
              <w:top w:val="single" w:color="auto" w:sz="4" w:space="0"/>
              <w:left w:val="single" w:color="auto" w:sz="4" w:space="0"/>
              <w:bottom w:val="single" w:color="auto" w:sz="4" w:space="0"/>
              <w:right w:val="single" w:color="auto" w:sz="4" w:space="0"/>
            </w:tcBorders>
            <w:vAlign w:val="center"/>
          </w:tcPr>
          <w:p w14:paraId="50CAAB32">
            <w:pPr>
              <w:snapToGrid w:val="0"/>
              <w:spacing w:line="360" w:lineRule="auto"/>
              <w:rPr>
                <w:rFonts w:ascii="宋体" w:hAnsi="宋体"/>
                <w:color w:val="auto"/>
                <w:sz w:val="24"/>
                <w:highlight w:val="none"/>
              </w:rPr>
            </w:pPr>
            <w:r>
              <w:rPr>
                <w:rFonts w:hint="eastAsia" w:ascii="宋体" w:hAnsi="宋体"/>
                <w:color w:val="auto"/>
                <w:sz w:val="24"/>
                <w:highlight w:val="none"/>
              </w:rPr>
              <w:t>北海港铁山港区1万至3万吨级锚地工程</w:t>
            </w:r>
            <w:r>
              <w:rPr>
                <w:rFonts w:hint="eastAsia" w:ascii="宋体" w:hAnsi="宋体"/>
                <w:color w:val="auto"/>
                <w:sz w:val="24"/>
                <w:highlight w:val="none"/>
                <w:lang w:eastAsia="zh-CN"/>
              </w:rPr>
              <w:t>交工验收测量</w:t>
            </w:r>
            <w:r>
              <w:rPr>
                <w:rFonts w:hint="eastAsia" w:ascii="宋体" w:hAnsi="宋体"/>
                <w:color w:val="auto"/>
                <w:sz w:val="24"/>
                <w:highlight w:val="none"/>
              </w:rPr>
              <w:t>服务</w:t>
            </w:r>
          </w:p>
        </w:tc>
        <w:tc>
          <w:tcPr>
            <w:tcW w:w="1005" w:type="dxa"/>
            <w:tcBorders>
              <w:top w:val="single" w:color="auto" w:sz="4" w:space="0"/>
              <w:left w:val="single" w:color="auto" w:sz="4" w:space="0"/>
              <w:bottom w:val="single" w:color="auto" w:sz="4" w:space="0"/>
              <w:right w:val="single" w:color="auto" w:sz="4" w:space="0"/>
            </w:tcBorders>
            <w:vAlign w:val="center"/>
          </w:tcPr>
          <w:p w14:paraId="5B4FBEEB">
            <w:pPr>
              <w:keepNext/>
              <w:snapToGrid w:val="0"/>
              <w:spacing w:line="360" w:lineRule="auto"/>
              <w:jc w:val="center"/>
              <w:rPr>
                <w:rFonts w:ascii="宋体" w:hAnsi="宋体"/>
                <w:color w:val="auto"/>
                <w:sz w:val="24"/>
                <w:highlight w:val="none"/>
              </w:rPr>
            </w:pPr>
            <w:r>
              <w:rPr>
                <w:rFonts w:hint="eastAsia" w:ascii="宋体" w:hAnsi="宋体"/>
                <w:color w:val="auto"/>
                <w:sz w:val="24"/>
                <w:highlight w:val="none"/>
              </w:rPr>
              <w:t>1项</w:t>
            </w:r>
          </w:p>
        </w:tc>
        <w:tc>
          <w:tcPr>
            <w:tcW w:w="5384" w:type="dxa"/>
            <w:tcBorders>
              <w:top w:val="single" w:color="auto" w:sz="4" w:space="0"/>
              <w:left w:val="single" w:color="auto" w:sz="4" w:space="0"/>
              <w:bottom w:val="single" w:color="auto" w:sz="4" w:space="0"/>
              <w:right w:val="single" w:color="auto" w:sz="4" w:space="0"/>
            </w:tcBorders>
            <w:vAlign w:val="center"/>
          </w:tcPr>
          <w:p w14:paraId="02F2EB80">
            <w:pPr>
              <w:pStyle w:val="6"/>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对北海港铁山港区1万至3万吨级锚地工程进行</w:t>
            </w:r>
            <w:r>
              <w:rPr>
                <w:rFonts w:hint="eastAsia" w:ascii="宋体" w:hAnsi="宋体"/>
                <w:b w:val="0"/>
                <w:bCs w:val="0"/>
                <w:color w:val="auto"/>
                <w:sz w:val="24"/>
                <w:szCs w:val="24"/>
                <w:highlight w:val="none"/>
                <w:lang w:eastAsia="zh-CN"/>
              </w:rPr>
              <w:t>交工验收测量</w:t>
            </w:r>
            <w:r>
              <w:rPr>
                <w:rFonts w:hint="eastAsia" w:ascii="宋体" w:hAnsi="宋体"/>
                <w:b w:val="0"/>
                <w:bCs w:val="0"/>
                <w:color w:val="auto"/>
                <w:sz w:val="24"/>
                <w:szCs w:val="24"/>
                <w:highlight w:val="none"/>
              </w:rPr>
              <w:t>，测量面积约16.07平方公里。</w:t>
            </w:r>
            <w:r>
              <w:rPr>
                <w:rFonts w:hint="eastAsia" w:ascii="宋体" w:hAnsi="宋体"/>
                <w:b w:val="0"/>
                <w:bCs w:val="0"/>
                <w:color w:val="auto"/>
                <w:sz w:val="24"/>
                <w:szCs w:val="24"/>
                <w:highlight w:val="none"/>
                <w:lang w:val="en-US" w:eastAsia="zh-CN"/>
              </w:rPr>
              <w:t>如测量中发现有局部未达到验收要求的浅点区域，待施工单位处理后需对浅点区域进行复测，直至满足交工验收要求，</w:t>
            </w:r>
            <w:r>
              <w:rPr>
                <w:rFonts w:hint="eastAsia" w:ascii="宋体" w:hAnsi="宋体"/>
                <w:b w:val="0"/>
                <w:bCs w:val="0"/>
                <w:color w:val="auto"/>
                <w:sz w:val="24"/>
                <w:szCs w:val="24"/>
                <w:highlight w:val="none"/>
                <w:lang w:eastAsia="zh-CN"/>
              </w:rPr>
              <w:t>测量成果</w:t>
            </w:r>
            <w:r>
              <w:rPr>
                <w:rFonts w:hint="eastAsia" w:ascii="宋体" w:hAnsi="宋体"/>
                <w:b w:val="0"/>
                <w:bCs w:val="0"/>
                <w:color w:val="auto"/>
                <w:sz w:val="24"/>
                <w:szCs w:val="24"/>
                <w:highlight w:val="none"/>
                <w:lang w:val="en-US" w:eastAsia="zh-CN"/>
              </w:rPr>
              <w:t>还</w:t>
            </w:r>
            <w:r>
              <w:rPr>
                <w:rFonts w:hint="eastAsia" w:ascii="宋体" w:hAnsi="宋体"/>
                <w:b w:val="0"/>
                <w:bCs w:val="0"/>
                <w:color w:val="auto"/>
                <w:sz w:val="24"/>
                <w:szCs w:val="24"/>
                <w:highlight w:val="none"/>
                <w:lang w:eastAsia="zh-CN"/>
              </w:rPr>
              <w:t>需满足</w:t>
            </w:r>
            <w:r>
              <w:rPr>
                <w:rFonts w:hint="eastAsia" w:ascii="宋体" w:hAnsi="宋体"/>
                <w:b w:val="0"/>
                <w:bCs w:val="0"/>
                <w:color w:val="auto"/>
                <w:sz w:val="24"/>
                <w:szCs w:val="24"/>
                <w:highlight w:val="none"/>
                <w:lang w:val="en-US" w:eastAsia="zh-CN"/>
              </w:rPr>
              <w:t>航海保障中心</w:t>
            </w:r>
            <w:r>
              <w:rPr>
                <w:rFonts w:hint="eastAsia" w:ascii="宋体" w:hAnsi="宋体"/>
                <w:b w:val="0"/>
                <w:bCs w:val="0"/>
                <w:color w:val="auto"/>
                <w:sz w:val="24"/>
                <w:szCs w:val="24"/>
                <w:highlight w:val="none"/>
                <w:lang w:eastAsia="zh-CN"/>
              </w:rPr>
              <w:t>海图发布的要求。</w:t>
            </w:r>
          </w:p>
          <w:p w14:paraId="508152C5">
            <w:pPr>
              <w:pStyle w:val="6"/>
              <w:ind w:firstLine="480" w:firstLineChars="200"/>
              <w:rPr>
                <w:color w:val="auto"/>
                <w:szCs w:val="24"/>
                <w:highlight w:val="none"/>
              </w:rPr>
            </w:pPr>
            <w:r>
              <w:rPr>
                <w:rFonts w:hint="eastAsia"/>
                <w:b w:val="0"/>
                <w:bCs w:val="0"/>
                <w:color w:val="auto"/>
                <w:sz w:val="24"/>
                <w:szCs w:val="24"/>
                <w:highlight w:val="none"/>
              </w:rPr>
              <w:t>详见采购方案第三章采购需求</w:t>
            </w:r>
            <w:r>
              <w:rPr>
                <w:rFonts w:hint="eastAsia" w:ascii="宋体" w:hAnsi="宋体"/>
                <w:b w:val="0"/>
                <w:bCs w:val="0"/>
                <w:color w:val="auto"/>
                <w:sz w:val="24"/>
                <w:szCs w:val="24"/>
                <w:highlight w:val="none"/>
              </w:rPr>
              <w:t>。</w:t>
            </w:r>
          </w:p>
        </w:tc>
      </w:tr>
    </w:tbl>
    <w:p w14:paraId="78F2885E">
      <w:pPr>
        <w:spacing w:line="360" w:lineRule="auto"/>
        <w:ind w:firstLine="480" w:firstLineChars="200"/>
        <w:rPr>
          <w:rFonts w:ascii="宋体" w:hAnsi="宋体" w:cs="宋体"/>
          <w:bCs/>
          <w:color w:val="auto"/>
          <w:sz w:val="24"/>
          <w:highlight w:val="none"/>
        </w:rPr>
      </w:pPr>
    </w:p>
    <w:p w14:paraId="1B264EF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9.合同履行期限：</w:t>
      </w:r>
    </w:p>
    <w:p w14:paraId="3205A41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服务工期：20个日历天内完成测量外业及内业工作并提交测量成果文件，具体开始时间由采购人另行通知</w:t>
      </w:r>
      <w:r>
        <w:rPr>
          <w:rFonts w:hint="eastAsia" w:ascii="宋体" w:hAnsi="宋体" w:cs="宋体"/>
          <w:color w:val="auto"/>
          <w:sz w:val="24"/>
          <w:highlight w:val="none"/>
          <w:lang w:bidi="ar"/>
        </w:rPr>
        <w:t>。</w:t>
      </w:r>
    </w:p>
    <w:p w14:paraId="608A68AF">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10.本次采购接受联合体投标。</w:t>
      </w:r>
    </w:p>
    <w:p w14:paraId="4B923AEE">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二、供应商的资格条件</w:t>
      </w:r>
    </w:p>
    <w:p w14:paraId="1B827468">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1.具备国内独立法人资格。</w:t>
      </w:r>
      <w:r>
        <w:rPr>
          <w:rFonts w:hint="eastAsia" w:ascii="宋体" w:hAnsi="宋体" w:cs="宋体"/>
          <w:bCs/>
          <w:color w:val="auto"/>
          <w:sz w:val="24"/>
          <w:highlight w:val="none"/>
        </w:rPr>
        <w:t>供应商须具有独立承担民事责任的能力，为中华人民共和国境内注册的法人或其他组织，具有有效的营业执照；</w:t>
      </w:r>
    </w:p>
    <w:p w14:paraId="126072C8">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2.特定资质要求：</w:t>
      </w:r>
    </w:p>
    <w:p w14:paraId="56C987EE">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供应商应具备以下资质之一：</w:t>
      </w:r>
    </w:p>
    <w:p w14:paraId="19E4549B">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（1）具备自然资源主管部门颁发的并在有效期内的乙级（含）以上测绘资质，资质专业至少包括海洋测绘子项。</w:t>
      </w:r>
    </w:p>
    <w:p w14:paraId="53B83F9A">
      <w:pPr>
        <w:spacing w:line="360" w:lineRule="auto"/>
        <w:ind w:firstLine="480" w:firstLineChars="200"/>
        <w:rPr>
          <w:rFonts w:ascii="宋体" w:hAnsi="宋体" w:cs="宋体"/>
          <w:color w:val="auto"/>
          <w:sz w:val="24"/>
          <w:highlight w:val="none"/>
          <w:lang w:bidi="ar"/>
        </w:rPr>
      </w:pPr>
      <w:r>
        <w:rPr>
          <w:rFonts w:hint="eastAsia" w:ascii="宋体" w:hAnsi="宋体" w:cs="宋体"/>
          <w:bCs/>
          <w:color w:val="auto"/>
          <w:sz w:val="24"/>
          <w:highlight w:val="none"/>
        </w:rPr>
        <w:t>（2）住房和城乡建设行政管理部门颁发的以下资质之一：（a）工程勘察专业（工程测量）乙级（含）以上资质；（b）工程勘察综合甲级资质。</w:t>
      </w:r>
    </w:p>
    <w:p w14:paraId="719765F0">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3.业绩要求：</w:t>
      </w:r>
    </w:p>
    <w:p w14:paraId="623D4E98">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供应商应具有以下业绩：</w:t>
      </w:r>
    </w:p>
    <w:p w14:paraId="5BB77D4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自202</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年1月1日起至投标截止时间前，至少有1个航道或水下测量项目的业绩。（业绩时间以合同签订时间为准）</w:t>
      </w:r>
    </w:p>
    <w:p w14:paraId="2DBEEB91">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4.人员与设备要求</w:t>
      </w:r>
    </w:p>
    <w:p w14:paraId="01E381A5">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4.1人员要求</w:t>
      </w:r>
    </w:p>
    <w:p w14:paraId="4A0E2B62">
      <w:pPr>
        <w:pStyle w:val="3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 xml:space="preserve">4.1.1 </w:t>
      </w:r>
      <w:r>
        <w:rPr>
          <w:rFonts w:hint="eastAsia" w:ascii="宋体" w:hAnsi="宋体" w:eastAsia="宋体" w:cs="宋体"/>
          <w:bCs/>
          <w:color w:val="auto"/>
          <w:kern w:val="2"/>
          <w:sz w:val="24"/>
          <w:szCs w:val="24"/>
          <w:highlight w:val="none"/>
        </w:rPr>
        <w:t>项目经理资格：</w:t>
      </w:r>
      <w:r>
        <w:rPr>
          <w:rFonts w:hint="eastAsia" w:ascii="宋体" w:hAnsi="宋体" w:eastAsia="宋体" w:cs="宋体"/>
          <w:bCs/>
          <w:color w:val="auto"/>
          <w:kern w:val="2"/>
          <w:sz w:val="24"/>
          <w:szCs w:val="24"/>
          <w:highlight w:val="none"/>
          <w:lang w:val="en-US" w:eastAsia="zh-CN"/>
        </w:rPr>
        <w:t>1人，</w:t>
      </w:r>
      <w:r>
        <w:rPr>
          <w:rFonts w:hint="eastAsia" w:ascii="宋体" w:hAnsi="宋体" w:eastAsia="宋体" w:cs="宋体"/>
          <w:bCs/>
          <w:color w:val="auto"/>
          <w:kern w:val="2"/>
          <w:sz w:val="24"/>
          <w:szCs w:val="24"/>
          <w:highlight w:val="none"/>
        </w:rPr>
        <w:t>具备港航或测绘专业工程师及以上职称</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20</w:t>
      </w:r>
      <w:r>
        <w:rPr>
          <w:rFonts w:hint="eastAsia" w:ascii="宋体" w:hAnsi="宋体" w:eastAsia="宋体" w:cs="宋体"/>
          <w:bCs/>
          <w:color w:val="auto"/>
          <w:kern w:val="2"/>
          <w:sz w:val="24"/>
          <w:szCs w:val="24"/>
          <w:highlight w:val="none"/>
          <w:lang w:val="en-US" w:eastAsia="zh-CN"/>
        </w:rPr>
        <w:t>21</w:t>
      </w:r>
      <w:r>
        <w:rPr>
          <w:rFonts w:hint="eastAsia" w:ascii="宋体" w:hAnsi="宋体" w:eastAsia="宋体" w:cs="宋体"/>
          <w:bCs/>
          <w:color w:val="auto"/>
          <w:kern w:val="2"/>
          <w:sz w:val="24"/>
          <w:szCs w:val="24"/>
          <w:highlight w:val="none"/>
        </w:rPr>
        <w:t>年1月1日至投标截止时间止作为项目负责人主持完成过一项航道或水下测量项目工作（提供</w:t>
      </w:r>
      <w:r>
        <w:rPr>
          <w:rFonts w:hint="eastAsia" w:ascii="宋体" w:hAnsi="宋体" w:eastAsia="宋体" w:cs="宋体"/>
          <w:bCs/>
          <w:color w:val="auto"/>
          <w:kern w:val="2"/>
          <w:sz w:val="24"/>
          <w:szCs w:val="24"/>
          <w:highlight w:val="none"/>
          <w:lang w:eastAsia="zh-CN"/>
        </w:rPr>
        <w:t>中标通知书或</w:t>
      </w:r>
      <w:r>
        <w:rPr>
          <w:rFonts w:hint="eastAsia" w:ascii="宋体" w:hAnsi="宋体" w:eastAsia="宋体" w:cs="宋体"/>
          <w:bCs/>
          <w:color w:val="auto"/>
          <w:kern w:val="2"/>
          <w:sz w:val="24"/>
          <w:szCs w:val="24"/>
          <w:highlight w:val="none"/>
        </w:rPr>
        <w:t>合同</w:t>
      </w:r>
      <w:r>
        <w:rPr>
          <w:rFonts w:hint="eastAsia" w:ascii="宋体" w:hAnsi="宋体" w:eastAsia="宋体" w:cs="宋体"/>
          <w:bCs/>
          <w:color w:val="auto"/>
          <w:kern w:val="2"/>
          <w:sz w:val="24"/>
          <w:szCs w:val="24"/>
          <w:highlight w:val="none"/>
          <w:lang w:eastAsia="zh-CN"/>
        </w:rPr>
        <w:t>或</w:t>
      </w:r>
      <w:r>
        <w:rPr>
          <w:rFonts w:hint="eastAsia" w:ascii="宋体" w:hAnsi="宋体" w:eastAsia="宋体" w:cs="宋体"/>
          <w:bCs/>
          <w:color w:val="auto"/>
          <w:kern w:val="2"/>
          <w:sz w:val="24"/>
          <w:szCs w:val="24"/>
          <w:highlight w:val="none"/>
        </w:rPr>
        <w:t>验收等相关</w:t>
      </w:r>
      <w:r>
        <w:rPr>
          <w:rFonts w:hint="eastAsia" w:ascii="宋体" w:hAnsi="宋体" w:eastAsia="宋体" w:cs="宋体"/>
          <w:bCs/>
          <w:color w:val="auto"/>
          <w:kern w:val="2"/>
          <w:sz w:val="24"/>
          <w:szCs w:val="24"/>
          <w:highlight w:val="none"/>
          <w:lang w:eastAsia="zh-CN"/>
        </w:rPr>
        <w:t>证明</w:t>
      </w:r>
      <w:r>
        <w:rPr>
          <w:rFonts w:hint="eastAsia" w:ascii="宋体" w:hAnsi="宋体" w:eastAsia="宋体" w:cs="宋体"/>
          <w:bCs/>
          <w:color w:val="auto"/>
          <w:kern w:val="2"/>
          <w:sz w:val="24"/>
          <w:szCs w:val="24"/>
          <w:highlight w:val="none"/>
        </w:rPr>
        <w:t>资料的复印件或扫描件并加盖公章），须提供身份证、职称证</w:t>
      </w:r>
      <w:r>
        <w:rPr>
          <w:rFonts w:hint="eastAsia" w:ascii="宋体" w:hAnsi="宋体" w:eastAsia="宋体" w:cs="宋体"/>
          <w:bCs/>
          <w:color w:val="auto"/>
          <w:kern w:val="2"/>
          <w:sz w:val="24"/>
          <w:szCs w:val="24"/>
          <w:highlight w:val="none"/>
          <w:lang w:eastAsia="zh-CN"/>
        </w:rPr>
        <w:t>。</w:t>
      </w:r>
    </w:p>
    <w:p w14:paraId="49EE06F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4.1.2</w:t>
      </w:r>
      <w:r>
        <w:rPr>
          <w:rFonts w:hint="eastAsia" w:ascii="宋体" w:hAnsi="宋体" w:eastAsia="宋体" w:cs="宋体"/>
          <w:bCs/>
          <w:color w:val="auto"/>
          <w:kern w:val="2"/>
          <w:sz w:val="24"/>
          <w:szCs w:val="24"/>
          <w:highlight w:val="none"/>
        </w:rPr>
        <w:t>技术负责人：1人，具备港航或测绘专业工程师及以上职称，20</w:t>
      </w:r>
      <w:r>
        <w:rPr>
          <w:rFonts w:hint="eastAsia" w:ascii="宋体" w:hAnsi="宋体" w:eastAsia="宋体" w:cs="宋体"/>
          <w:bCs/>
          <w:color w:val="auto"/>
          <w:kern w:val="2"/>
          <w:sz w:val="24"/>
          <w:szCs w:val="24"/>
          <w:highlight w:val="none"/>
          <w:lang w:val="en-US" w:eastAsia="zh-CN"/>
        </w:rPr>
        <w:t>21</w:t>
      </w:r>
      <w:r>
        <w:rPr>
          <w:rFonts w:hint="eastAsia" w:ascii="宋体" w:hAnsi="宋体" w:eastAsia="宋体" w:cs="宋体"/>
          <w:bCs/>
          <w:color w:val="auto"/>
          <w:kern w:val="2"/>
          <w:sz w:val="24"/>
          <w:szCs w:val="24"/>
          <w:highlight w:val="none"/>
        </w:rPr>
        <w:t>年1月1日至投标截止时间止作为技术负责人完成过一项水下地形测量项目工作（提供</w:t>
      </w:r>
      <w:r>
        <w:rPr>
          <w:rFonts w:hint="eastAsia" w:ascii="宋体" w:hAnsi="宋体" w:eastAsia="宋体" w:cs="宋体"/>
          <w:bCs/>
          <w:color w:val="auto"/>
          <w:kern w:val="2"/>
          <w:sz w:val="24"/>
          <w:szCs w:val="24"/>
          <w:highlight w:val="none"/>
          <w:lang w:eastAsia="zh-CN"/>
        </w:rPr>
        <w:t>中标通知书或</w:t>
      </w:r>
      <w:r>
        <w:rPr>
          <w:rFonts w:hint="eastAsia" w:ascii="宋体" w:hAnsi="宋体" w:eastAsia="宋体" w:cs="宋体"/>
          <w:bCs/>
          <w:color w:val="auto"/>
          <w:kern w:val="2"/>
          <w:sz w:val="24"/>
          <w:szCs w:val="24"/>
          <w:highlight w:val="none"/>
        </w:rPr>
        <w:t>合同</w:t>
      </w:r>
      <w:r>
        <w:rPr>
          <w:rFonts w:hint="eastAsia" w:ascii="宋体" w:hAnsi="宋体" w:eastAsia="宋体" w:cs="宋体"/>
          <w:bCs/>
          <w:color w:val="auto"/>
          <w:kern w:val="2"/>
          <w:sz w:val="24"/>
          <w:szCs w:val="24"/>
          <w:highlight w:val="none"/>
          <w:lang w:eastAsia="zh-CN"/>
        </w:rPr>
        <w:t>或</w:t>
      </w:r>
      <w:r>
        <w:rPr>
          <w:rFonts w:hint="eastAsia" w:ascii="宋体" w:hAnsi="宋体" w:eastAsia="宋体" w:cs="宋体"/>
          <w:bCs/>
          <w:color w:val="auto"/>
          <w:kern w:val="2"/>
          <w:sz w:val="24"/>
          <w:szCs w:val="24"/>
          <w:highlight w:val="none"/>
        </w:rPr>
        <w:t>验收等相关</w:t>
      </w:r>
      <w:r>
        <w:rPr>
          <w:rFonts w:hint="eastAsia" w:ascii="宋体" w:hAnsi="宋体" w:eastAsia="宋体" w:cs="宋体"/>
          <w:bCs/>
          <w:color w:val="auto"/>
          <w:kern w:val="2"/>
          <w:sz w:val="24"/>
          <w:szCs w:val="24"/>
          <w:highlight w:val="none"/>
          <w:lang w:eastAsia="zh-CN"/>
        </w:rPr>
        <w:t>证明</w:t>
      </w:r>
      <w:r>
        <w:rPr>
          <w:rFonts w:hint="eastAsia" w:ascii="宋体" w:hAnsi="宋体" w:eastAsia="宋体" w:cs="宋体"/>
          <w:bCs/>
          <w:color w:val="auto"/>
          <w:kern w:val="2"/>
          <w:sz w:val="24"/>
          <w:szCs w:val="24"/>
          <w:highlight w:val="none"/>
        </w:rPr>
        <w:t>资料的复印件或扫描件并加盖公章），</w:t>
      </w:r>
      <w:r>
        <w:rPr>
          <w:rFonts w:hint="eastAsia" w:ascii="宋体" w:hAnsi="宋体" w:eastAsia="宋体" w:cs="宋体"/>
          <w:bCs/>
          <w:color w:val="auto"/>
          <w:kern w:val="2"/>
          <w:sz w:val="24"/>
          <w:szCs w:val="24"/>
          <w:highlight w:val="none"/>
          <w:lang w:eastAsia="zh-CN"/>
        </w:rPr>
        <w:t>须</w:t>
      </w:r>
      <w:r>
        <w:rPr>
          <w:rFonts w:hint="eastAsia" w:ascii="宋体" w:hAnsi="宋体" w:eastAsia="宋体" w:cs="宋体"/>
          <w:bCs/>
          <w:color w:val="auto"/>
          <w:kern w:val="2"/>
          <w:sz w:val="24"/>
          <w:szCs w:val="24"/>
          <w:highlight w:val="none"/>
        </w:rPr>
        <w:t>提供身份证、职称证。</w:t>
      </w:r>
    </w:p>
    <w:p w14:paraId="1CD242E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4.1.3</w:t>
      </w:r>
      <w:r>
        <w:rPr>
          <w:rFonts w:hint="eastAsia" w:ascii="宋体" w:hAnsi="宋体" w:eastAsia="宋体" w:cs="宋体"/>
          <w:bCs/>
          <w:color w:val="auto"/>
          <w:kern w:val="2"/>
          <w:sz w:val="24"/>
          <w:szCs w:val="24"/>
          <w:highlight w:val="none"/>
        </w:rPr>
        <w:t>主要测量技术人员：2人或以上，具备港航或测绘专业工程师或以上职称，提供人员身份证、职称证。</w:t>
      </w:r>
    </w:p>
    <w:p w14:paraId="51CC0D6E">
      <w:pPr>
        <w:pStyle w:val="3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拟投入本项目人员须提供</w:t>
      </w:r>
      <w:r>
        <w:rPr>
          <w:rFonts w:hint="eastAsia" w:ascii="宋体" w:hAnsi="宋体" w:eastAsia="宋体" w:cs="宋体"/>
          <w:bCs/>
          <w:color w:val="auto"/>
          <w:kern w:val="2"/>
          <w:sz w:val="24"/>
          <w:szCs w:val="24"/>
          <w:highlight w:val="none"/>
        </w:rPr>
        <w:t>202</w:t>
      </w: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rPr>
        <w:t>月至202</w:t>
      </w: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月期间</w:t>
      </w:r>
      <w:r>
        <w:rPr>
          <w:rFonts w:hint="eastAsia" w:ascii="宋体" w:hAnsi="宋体" w:eastAsia="宋体" w:cs="宋体"/>
          <w:bCs/>
          <w:color w:val="auto"/>
          <w:kern w:val="2"/>
          <w:sz w:val="24"/>
          <w:szCs w:val="24"/>
          <w:highlight w:val="none"/>
          <w:lang w:eastAsia="zh-CN"/>
        </w:rPr>
        <w:t>任意</w:t>
      </w:r>
      <w:r>
        <w:rPr>
          <w:rFonts w:hint="eastAsia" w:ascii="宋体" w:hAnsi="宋体" w:eastAsia="宋体" w:cs="宋体"/>
          <w:bCs/>
          <w:color w:val="auto"/>
          <w:kern w:val="2"/>
          <w:sz w:val="24"/>
          <w:szCs w:val="24"/>
          <w:highlight w:val="none"/>
        </w:rPr>
        <w:t>连续3个月在投标单位的社保或养老保险等证明的复印件或扫描件加盖公章（原件备查）</w:t>
      </w:r>
      <w:r>
        <w:rPr>
          <w:rFonts w:hint="eastAsia" w:ascii="宋体" w:hAnsi="宋体" w:eastAsia="宋体" w:cs="宋体"/>
          <w:bCs/>
          <w:color w:val="auto"/>
          <w:kern w:val="2"/>
          <w:sz w:val="24"/>
          <w:szCs w:val="24"/>
          <w:highlight w:val="none"/>
          <w:lang w:eastAsia="zh-CN"/>
        </w:rPr>
        <w:t>。</w:t>
      </w:r>
    </w:p>
    <w:p w14:paraId="3B3BE807">
      <w:pPr>
        <w:pStyle w:val="3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4.2设备要求</w:t>
      </w:r>
    </w:p>
    <w:p w14:paraId="55BF4B56">
      <w:pPr>
        <w:pStyle w:val="3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拟投入设备要求：投标人应至少具备多波束测深系统1套和GPS设备1套（</w:t>
      </w:r>
      <w:r>
        <w:rPr>
          <w:rFonts w:hint="eastAsia" w:ascii="宋体" w:hAnsi="宋体" w:eastAsia="宋体" w:cs="宋体"/>
          <w:bCs/>
          <w:color w:val="auto"/>
          <w:kern w:val="2"/>
          <w:sz w:val="24"/>
          <w:szCs w:val="24"/>
          <w:highlight w:val="none"/>
          <w:lang w:val="en-US" w:eastAsia="zh-CN"/>
        </w:rPr>
        <w:t>如拟投入设备为自有设备，则</w:t>
      </w:r>
      <w:r>
        <w:rPr>
          <w:rFonts w:hint="eastAsia" w:ascii="宋体" w:hAnsi="宋体" w:eastAsia="宋体" w:cs="宋体"/>
          <w:bCs/>
          <w:color w:val="auto"/>
          <w:kern w:val="2"/>
          <w:sz w:val="24"/>
          <w:szCs w:val="24"/>
          <w:highlight w:val="none"/>
        </w:rPr>
        <w:t>须提供发票复印件或扫描件加盖公章证明材料，原件备查</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如拟投入设备为租用设备，则需提供租赁合同</w:t>
      </w:r>
      <w:r>
        <w:rPr>
          <w:rFonts w:hint="eastAsia" w:ascii="宋体" w:hAnsi="宋体" w:eastAsia="宋体" w:cs="宋体"/>
          <w:bCs/>
          <w:color w:val="auto"/>
          <w:kern w:val="2"/>
          <w:sz w:val="24"/>
          <w:szCs w:val="24"/>
          <w:highlight w:val="none"/>
        </w:rPr>
        <w:t>复印件或扫描件加盖公章证明材料，原件备查</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w:t>
      </w:r>
    </w:p>
    <w:p w14:paraId="29ED31CF">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color w:val="auto"/>
          <w:sz w:val="24"/>
          <w:highlight w:val="none"/>
          <w:lang w:bidi="ar"/>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.供应商参加本次采购活动前三年内，在经营活动中没有重大违法记录（重大违法记录，是指供应商因违法经营受到刑事处罚或者责令停产停业、吊销许可证或者执照等行政处罚）。由供应商提供书面声明。</w:t>
      </w:r>
    </w:p>
    <w:p w14:paraId="3610175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本次政府采购活动。</w:t>
      </w:r>
    </w:p>
    <w:p w14:paraId="0801457B">
      <w:pPr>
        <w:pStyle w:val="3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Cs w:val="24"/>
          <w:highlight w:val="none"/>
          <w:lang w:bidi="ar"/>
        </w:rPr>
      </w:pPr>
      <w:r>
        <w:rPr>
          <w:rFonts w:hint="eastAsia" w:ascii="宋体" w:hAnsi="宋体" w:eastAsia="宋体" w:cs="宋体"/>
          <w:color w:val="auto"/>
          <w:kern w:val="2"/>
          <w:szCs w:val="24"/>
          <w:highlight w:val="none"/>
          <w:lang w:val="en-US" w:eastAsia="zh-CN" w:bidi="ar"/>
        </w:rPr>
        <w:t>7.</w:t>
      </w:r>
      <w:r>
        <w:rPr>
          <w:rFonts w:hint="eastAsia" w:ascii="宋体" w:hAnsi="宋体" w:eastAsia="宋体" w:cs="宋体"/>
          <w:color w:val="auto"/>
          <w:kern w:val="2"/>
          <w:szCs w:val="24"/>
          <w:highlight w:val="none"/>
          <w:lang w:bidi="ar"/>
        </w:rPr>
        <w:t>近三年来投标人因发生围标、串标、骗标等违法违规行为在处罚期内的，受到行政管理部门处罚被列入黑名单的，不能中标。</w:t>
      </w:r>
    </w:p>
    <w:p w14:paraId="389D27FA">
      <w:pPr>
        <w:pStyle w:val="3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Cs w:val="24"/>
          <w:highlight w:val="none"/>
          <w:lang w:val="en-US" w:eastAsia="zh-CN" w:bidi="ar"/>
        </w:rPr>
      </w:pPr>
      <w:r>
        <w:rPr>
          <w:rFonts w:hint="eastAsia" w:ascii="宋体" w:hAnsi="宋体" w:eastAsia="宋体" w:cs="宋体"/>
          <w:color w:val="auto"/>
          <w:kern w:val="2"/>
          <w:sz w:val="24"/>
          <w:szCs w:val="24"/>
          <w:highlight w:val="none"/>
          <w:lang w:val="en-US" w:eastAsia="zh-CN" w:bidi="ar"/>
        </w:rPr>
        <w:t>8.单位负责人为同一人或者存在直接控股、管理关系的不同供应商，不得同时参加本招标项目投标，本项目勘察设计单位（含联合体各成员）不得参加本次招标项目投标。</w:t>
      </w:r>
    </w:p>
    <w:p w14:paraId="3A70EA1C">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三、获取采购文件</w:t>
      </w:r>
    </w:p>
    <w:p w14:paraId="3F82E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lang w:bidi="ar"/>
        </w:rPr>
      </w:pPr>
      <w:r>
        <w:rPr>
          <w:rFonts w:hint="eastAsia" w:ascii="宋体" w:hAnsi="宋体" w:cs="宋体"/>
          <w:color w:val="auto"/>
          <w:sz w:val="24"/>
          <w:highlight w:val="none"/>
          <w:lang w:bidi="ar"/>
        </w:rPr>
        <w:t>1.获取时间：自采购公告发布之日起，至响应文件递交截止时间</w:t>
      </w:r>
      <w:r>
        <w:rPr>
          <w:rFonts w:ascii="宋体" w:hAnsi="宋体" w:cs="宋体"/>
          <w:color w:val="auto"/>
          <w:sz w:val="24"/>
          <w:highlight w:val="none"/>
          <w:lang w:bidi="ar"/>
        </w:rPr>
        <w:t>。</w:t>
      </w:r>
    </w:p>
    <w:p w14:paraId="6C6CE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lang w:bidi="ar"/>
        </w:rPr>
      </w:pPr>
      <w:r>
        <w:rPr>
          <w:rFonts w:hint="eastAsia" w:ascii="宋体" w:hAnsi="宋体" w:cs="宋体"/>
          <w:color w:val="auto"/>
          <w:sz w:val="24"/>
          <w:highlight w:val="none"/>
          <w:lang w:bidi="ar"/>
        </w:rPr>
        <w:t>2.获取地点：广西壮族自治区水运发展中心网站(http://www.gxghj.cn/)。</w:t>
      </w:r>
    </w:p>
    <w:p w14:paraId="10AA0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lang w:bidi="ar"/>
        </w:rPr>
      </w:pPr>
      <w:r>
        <w:rPr>
          <w:rFonts w:hint="eastAsia" w:ascii="宋体" w:hAnsi="宋体" w:cs="宋体"/>
          <w:color w:val="auto"/>
          <w:sz w:val="24"/>
          <w:highlight w:val="none"/>
          <w:lang w:bidi="ar"/>
        </w:rPr>
        <w:t>3.获取方式：网上下载。本项目不提供纸质文件，潜在供应商登录广西壮族自治区水运发展中心网站-进入“通知公告”应用，点击采购公告获取采购文件（采购方案）。</w:t>
      </w:r>
    </w:p>
    <w:p w14:paraId="1A474D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s="宋体"/>
          <w:color w:val="auto"/>
          <w:sz w:val="24"/>
          <w:highlight w:val="none"/>
          <w:lang w:bidi="ar"/>
        </w:rPr>
        <w:t>4.采购文件（采购方案）售价：0元。</w:t>
      </w:r>
    </w:p>
    <w:p w14:paraId="0C1A010B">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四、响应文件递交</w:t>
      </w:r>
    </w:p>
    <w:p w14:paraId="502D7A09">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1.响应文件形式及份数：纸质文件，一式共三份文件。</w:t>
      </w:r>
    </w:p>
    <w:p w14:paraId="3DA181C6">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2.响应文件递交地址：北海市海城区北部湾</w:t>
      </w:r>
      <w:r>
        <w:rPr>
          <w:rFonts w:hint="eastAsia" w:ascii="宋体" w:hAnsi="宋体" w:cs="宋体"/>
          <w:color w:val="auto"/>
          <w:sz w:val="24"/>
          <w:highlight w:val="none"/>
          <w:lang w:eastAsia="zh-CN" w:bidi="ar"/>
        </w:rPr>
        <w:t>东</w:t>
      </w:r>
      <w:r>
        <w:rPr>
          <w:rFonts w:hint="eastAsia" w:ascii="宋体" w:hAnsi="宋体" w:cs="宋体"/>
          <w:color w:val="auto"/>
          <w:sz w:val="24"/>
          <w:highlight w:val="none"/>
          <w:lang w:bidi="ar"/>
        </w:rPr>
        <w:t>路14号广西壮族自治区北部湾港口管理</w:t>
      </w:r>
      <w:r>
        <w:rPr>
          <w:rFonts w:hint="eastAsia" w:ascii="宋体" w:hAnsi="宋体" w:cs="宋体"/>
          <w:color w:val="auto"/>
          <w:sz w:val="24"/>
          <w:highlight w:val="none"/>
          <w:lang w:eastAsia="zh-CN" w:bidi="ar"/>
        </w:rPr>
        <w:t>中心</w:t>
      </w:r>
      <w:r>
        <w:rPr>
          <w:rFonts w:hint="eastAsia" w:ascii="宋体" w:hAnsi="宋体" w:cs="宋体"/>
          <w:color w:val="auto"/>
          <w:sz w:val="24"/>
          <w:highlight w:val="none"/>
          <w:lang w:bidi="ar"/>
        </w:rPr>
        <w:t>北海</w:t>
      </w:r>
      <w:r>
        <w:rPr>
          <w:rFonts w:hint="eastAsia" w:ascii="宋体" w:hAnsi="宋体" w:cs="宋体"/>
          <w:color w:val="auto"/>
          <w:sz w:val="24"/>
          <w:highlight w:val="none"/>
          <w:lang w:eastAsia="zh-CN" w:bidi="ar"/>
        </w:rPr>
        <w:t>港口中心</w:t>
      </w:r>
      <w:r>
        <w:rPr>
          <w:rFonts w:hint="eastAsia" w:ascii="宋体" w:hAnsi="宋体" w:cs="宋体"/>
          <w:color w:val="auto"/>
          <w:sz w:val="24"/>
          <w:highlight w:val="none"/>
          <w:lang w:bidi="ar"/>
        </w:rPr>
        <w:t>40</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室。</w:t>
      </w:r>
    </w:p>
    <w:p w14:paraId="0C394ACF">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3.响应文件递交截止时间：</w:t>
      </w:r>
      <w:r>
        <w:rPr>
          <w:rFonts w:ascii="宋体" w:hAnsi="宋体" w:cs="宋体"/>
          <w:color w:val="auto"/>
          <w:sz w:val="24"/>
          <w:highlight w:val="none"/>
          <w:lang w:bidi="ar"/>
        </w:rPr>
        <w:t>202</w:t>
      </w:r>
      <w:r>
        <w:rPr>
          <w:rFonts w:hint="eastAsia" w:ascii="宋体" w:hAnsi="宋体" w:cs="宋体"/>
          <w:color w:val="auto"/>
          <w:sz w:val="24"/>
          <w:highlight w:val="none"/>
          <w:lang w:bidi="ar"/>
        </w:rPr>
        <w:t>6</w:t>
      </w:r>
      <w:r>
        <w:rPr>
          <w:rFonts w:ascii="宋体" w:hAnsi="宋体" w:cs="宋体"/>
          <w:color w:val="auto"/>
          <w:sz w:val="24"/>
          <w:highlight w:val="none"/>
          <w:lang w:bidi="ar"/>
        </w:rPr>
        <w:t>年</w:t>
      </w:r>
      <w:r>
        <w:rPr>
          <w:rFonts w:hint="eastAsia" w:ascii="宋体" w:hAnsi="宋体" w:cs="宋体"/>
          <w:color w:val="auto"/>
          <w:sz w:val="24"/>
          <w:highlight w:val="none"/>
          <w:lang w:val="en-US" w:eastAsia="zh-CN" w:bidi="ar"/>
        </w:rPr>
        <w:t>6</w:t>
      </w:r>
      <w:r>
        <w:rPr>
          <w:rFonts w:ascii="宋体" w:hAnsi="宋体" w:cs="宋体"/>
          <w:color w:val="auto"/>
          <w:sz w:val="24"/>
          <w:highlight w:val="none"/>
          <w:lang w:bidi="ar"/>
        </w:rPr>
        <w:t>月</w:t>
      </w:r>
      <w:r>
        <w:rPr>
          <w:rFonts w:hint="eastAsia" w:ascii="宋体" w:hAnsi="宋体" w:cs="宋体"/>
          <w:color w:val="auto"/>
          <w:sz w:val="24"/>
          <w:highlight w:val="none"/>
          <w:lang w:val="en-US" w:eastAsia="zh-CN" w:bidi="ar"/>
        </w:rPr>
        <w:t>XX</w:t>
      </w:r>
      <w:r>
        <w:rPr>
          <w:rFonts w:ascii="宋体" w:hAnsi="宋体" w:cs="宋体"/>
          <w:color w:val="auto"/>
          <w:sz w:val="24"/>
          <w:highlight w:val="none"/>
          <w:lang w:bidi="ar"/>
        </w:rPr>
        <w:t>日1</w:t>
      </w:r>
      <w:r>
        <w:rPr>
          <w:rFonts w:hint="eastAsia" w:ascii="宋体" w:hAnsi="宋体" w:cs="宋体"/>
          <w:color w:val="auto"/>
          <w:sz w:val="24"/>
          <w:highlight w:val="none"/>
          <w:lang w:bidi="ar"/>
        </w:rPr>
        <w:t>0</w:t>
      </w:r>
      <w:r>
        <w:rPr>
          <w:rFonts w:ascii="宋体" w:hAnsi="宋体" w:cs="宋体"/>
          <w:color w:val="auto"/>
          <w:sz w:val="24"/>
          <w:highlight w:val="none"/>
          <w:lang w:bidi="ar"/>
        </w:rPr>
        <w:t>时00分</w:t>
      </w:r>
      <w:r>
        <w:rPr>
          <w:rFonts w:hint="eastAsia" w:ascii="宋体" w:hAnsi="宋体" w:cs="宋体"/>
          <w:color w:val="auto"/>
          <w:sz w:val="24"/>
          <w:highlight w:val="none"/>
          <w:lang w:bidi="ar"/>
        </w:rPr>
        <w:t>。</w:t>
      </w:r>
    </w:p>
    <w:p w14:paraId="62D79D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至响应文件截止时间时，投标供应商不足三家的，另行发布延期公告；发布延期公告后，如投标供应商仍不足三家的，在已递交响应文件的供应商中按照评审规则评选。</w:t>
      </w:r>
    </w:p>
    <w:p w14:paraId="4FEB1E6C">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rPr>
        <w:t>4.</w:t>
      </w:r>
      <w:r>
        <w:rPr>
          <w:rFonts w:hint="eastAsia" w:ascii="宋体" w:hAnsi="宋体" w:cs="宋体"/>
          <w:color w:val="auto"/>
          <w:sz w:val="24"/>
          <w:highlight w:val="none"/>
          <w:lang w:bidi="ar"/>
        </w:rPr>
        <w:t>响应文件</w:t>
      </w:r>
      <w:r>
        <w:rPr>
          <w:rFonts w:ascii="宋体" w:hAnsi="宋体" w:cs="宋体"/>
          <w:color w:val="auto"/>
          <w:sz w:val="24"/>
          <w:highlight w:val="none"/>
        </w:rPr>
        <w:t>必须密封，否则</w:t>
      </w:r>
      <w:r>
        <w:rPr>
          <w:rFonts w:hint="eastAsia" w:ascii="宋体" w:hAnsi="宋体" w:cs="宋体"/>
          <w:color w:val="auto"/>
          <w:sz w:val="24"/>
          <w:highlight w:val="none"/>
        </w:rPr>
        <w:t>采购人予以拒收</w:t>
      </w:r>
      <w:r>
        <w:rPr>
          <w:rFonts w:ascii="宋体" w:hAnsi="宋体" w:cs="宋体"/>
          <w:color w:val="auto"/>
          <w:sz w:val="24"/>
          <w:highlight w:val="none"/>
        </w:rPr>
        <w:t>。</w:t>
      </w:r>
    </w:p>
    <w:p w14:paraId="1E1F72BE">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 xml:space="preserve">五、响应文件开启与评审 </w:t>
      </w:r>
    </w:p>
    <w:p w14:paraId="10808FB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1.时间：</w:t>
      </w:r>
      <w:r>
        <w:rPr>
          <w:rFonts w:hint="eastAsia" w:ascii="宋体" w:hAnsi="宋体" w:cs="宋体"/>
          <w:color w:val="auto"/>
          <w:sz w:val="24"/>
          <w:highlight w:val="none"/>
        </w:rPr>
        <w:t>响应文件递交截止后的5个工作日内完成</w:t>
      </w:r>
    </w:p>
    <w:p w14:paraId="41B36F91">
      <w:pPr>
        <w:spacing w:line="360" w:lineRule="auto"/>
        <w:ind w:firstLine="480" w:firstLineChars="200"/>
        <w:rPr>
          <w:rFonts w:hint="eastAsia" w:ascii="宋体" w:hAnsi="宋体" w:eastAsia="宋体" w:cs="宋体"/>
          <w:color w:val="auto"/>
          <w:sz w:val="24"/>
          <w:highlight w:val="none"/>
          <w:lang w:eastAsia="zh-CN" w:bidi="ar"/>
        </w:rPr>
      </w:pPr>
      <w:r>
        <w:rPr>
          <w:rFonts w:ascii="宋体" w:hAnsi="宋体" w:cs="宋体"/>
          <w:color w:val="auto"/>
          <w:sz w:val="24"/>
          <w:highlight w:val="none"/>
        </w:rPr>
        <w:t>2.地点：</w:t>
      </w:r>
      <w:r>
        <w:rPr>
          <w:rFonts w:hint="eastAsia" w:ascii="宋体" w:hAnsi="宋体" w:cs="宋体"/>
          <w:color w:val="auto"/>
          <w:sz w:val="24"/>
          <w:highlight w:val="none"/>
          <w:lang w:bidi="ar"/>
        </w:rPr>
        <w:t>广西壮族自治区北部湾港口管理</w:t>
      </w:r>
      <w:r>
        <w:rPr>
          <w:rFonts w:hint="eastAsia" w:ascii="宋体" w:hAnsi="宋体" w:cs="宋体"/>
          <w:color w:val="auto"/>
          <w:sz w:val="24"/>
          <w:highlight w:val="none"/>
          <w:lang w:eastAsia="zh-CN" w:bidi="ar"/>
        </w:rPr>
        <w:t>中心</w:t>
      </w:r>
      <w:r>
        <w:rPr>
          <w:rFonts w:hint="eastAsia" w:ascii="宋体" w:hAnsi="宋体" w:cs="宋体"/>
          <w:color w:val="auto"/>
          <w:sz w:val="24"/>
          <w:highlight w:val="none"/>
          <w:lang w:bidi="ar"/>
        </w:rPr>
        <w:t>北海</w:t>
      </w:r>
      <w:r>
        <w:rPr>
          <w:rFonts w:hint="eastAsia" w:ascii="宋体" w:hAnsi="宋体" w:cs="宋体"/>
          <w:color w:val="auto"/>
          <w:sz w:val="24"/>
          <w:highlight w:val="none"/>
          <w:lang w:eastAsia="zh-CN" w:bidi="ar"/>
        </w:rPr>
        <w:t>港口中心（北海市北部湾东路</w:t>
      </w:r>
      <w:r>
        <w:rPr>
          <w:rFonts w:hint="eastAsia" w:ascii="宋体" w:hAnsi="宋体" w:cs="宋体"/>
          <w:color w:val="auto"/>
          <w:sz w:val="24"/>
          <w:highlight w:val="none"/>
          <w:lang w:val="en-US" w:eastAsia="zh-CN" w:bidi="ar"/>
        </w:rPr>
        <w:t>14号</w:t>
      </w:r>
      <w:r>
        <w:rPr>
          <w:rFonts w:hint="eastAsia" w:ascii="宋体" w:hAnsi="宋体" w:cs="宋体"/>
          <w:color w:val="auto"/>
          <w:sz w:val="24"/>
          <w:highlight w:val="none"/>
          <w:lang w:eastAsia="zh-CN" w:bidi="ar"/>
        </w:rPr>
        <w:t>）</w:t>
      </w:r>
    </w:p>
    <w:p w14:paraId="0C2E2AD8">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3.不邀请供应商参加响应文件开启。</w:t>
      </w:r>
    </w:p>
    <w:p w14:paraId="448C6E6A">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六、联系</w:t>
      </w:r>
      <w:r>
        <w:rPr>
          <w:rFonts w:ascii="黑体" w:hAnsi="黑体" w:eastAsia="黑体"/>
          <w:b/>
          <w:color w:val="auto"/>
          <w:sz w:val="24"/>
          <w:highlight w:val="none"/>
        </w:rPr>
        <w:t>方式</w:t>
      </w:r>
    </w:p>
    <w:p w14:paraId="0A63BFFA">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联系人：王工 联系电话：0779-3922266。</w:t>
      </w:r>
    </w:p>
    <w:p w14:paraId="1786D1D9">
      <w:pPr>
        <w:spacing w:line="360" w:lineRule="auto"/>
        <w:ind w:firstLine="354" w:firstLineChars="147"/>
        <w:rPr>
          <w:rFonts w:ascii="黑体" w:hAnsi="黑体" w:eastAsia="黑体"/>
          <w:b/>
          <w:color w:val="auto"/>
          <w:sz w:val="24"/>
          <w:highlight w:val="none"/>
        </w:rPr>
      </w:pPr>
    </w:p>
    <w:p w14:paraId="6BC3F005">
      <w:pPr>
        <w:widowControl/>
        <w:spacing w:line="360" w:lineRule="auto"/>
        <w:ind w:firstLine="2400" w:firstLineChars="1000"/>
        <w:jc w:val="right"/>
        <w:rPr>
          <w:rFonts w:ascii="宋体" w:hAnsi="宋体" w:cs="宋体"/>
          <w:color w:val="auto"/>
          <w:sz w:val="24"/>
          <w:highlight w:val="none"/>
          <w:lang w:bidi="ar"/>
        </w:rPr>
      </w:pPr>
      <w:r>
        <w:rPr>
          <w:rFonts w:hint="eastAsia" w:ascii="宋体" w:hAnsi="宋体" w:cs="宋体"/>
          <w:color w:val="auto"/>
          <w:sz w:val="24"/>
          <w:highlight w:val="none"/>
          <w:lang w:bidi="ar"/>
        </w:rPr>
        <w:t>采购人：广西壮族自治区水运发展中心</w:t>
      </w:r>
    </w:p>
    <w:p w14:paraId="23F768DB">
      <w:pPr>
        <w:spacing w:line="360" w:lineRule="auto"/>
        <w:ind w:firstLine="480" w:firstLineChars="200"/>
        <w:jc w:val="right"/>
        <w:rPr>
          <w:rFonts w:ascii="宋体" w:hAnsi="宋体"/>
          <w:b/>
          <w:bCs/>
          <w:color w:val="auto"/>
          <w:sz w:val="32"/>
          <w:szCs w:val="32"/>
          <w:highlight w:val="none"/>
        </w:rPr>
      </w:pPr>
      <w:r>
        <w:rPr>
          <w:rFonts w:hint="eastAsia" w:ascii="宋体" w:hAnsi="宋体" w:cs="宋体"/>
          <w:color w:val="auto"/>
          <w:sz w:val="24"/>
          <w:highlight w:val="none"/>
          <w:lang w:bidi="ar"/>
        </w:rPr>
        <w:t xml:space="preserve">                            2026年</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XX</w:t>
      </w:r>
      <w:r>
        <w:rPr>
          <w:rFonts w:hint="eastAsia" w:ascii="宋体" w:hAnsi="宋体" w:cs="宋体"/>
          <w:color w:val="auto"/>
          <w:sz w:val="24"/>
          <w:highlight w:val="none"/>
          <w:lang w:bidi="ar"/>
        </w:rPr>
        <w:t>日</w:t>
      </w:r>
    </w:p>
    <w:p w14:paraId="292AE331">
      <w:pPr>
        <w:pStyle w:val="2"/>
        <w:spacing w:before="0" w:after="0" w:line="460" w:lineRule="exact"/>
        <w:jc w:val="center"/>
        <w:rPr>
          <w:color w:val="auto"/>
          <w:sz w:val="28"/>
          <w:szCs w:val="28"/>
          <w:highlight w:val="none"/>
        </w:rPr>
      </w:pPr>
      <w:r>
        <w:rPr>
          <w:rFonts w:hint="eastAsia"/>
          <w:color w:val="auto"/>
          <w:highlight w:val="none"/>
        </w:rPr>
        <w:br w:type="page"/>
      </w:r>
      <w:bookmarkStart w:id="18" w:name="_Toc4431"/>
      <w:bookmarkStart w:id="19" w:name="_Toc16740"/>
      <w:bookmarkStart w:id="20" w:name="_Toc32413"/>
      <w:bookmarkStart w:id="21" w:name="_Toc26937"/>
      <w:bookmarkStart w:id="22" w:name="_Toc7676"/>
      <w:bookmarkStart w:id="23" w:name="_Toc12041"/>
      <w:bookmarkStart w:id="24" w:name="_Toc15557"/>
      <w:bookmarkStart w:id="25" w:name="_Toc173"/>
      <w:bookmarkStart w:id="26" w:name="_Toc31261"/>
      <w:r>
        <w:rPr>
          <w:rFonts w:hint="eastAsia"/>
          <w:color w:val="auto"/>
          <w:sz w:val="28"/>
          <w:szCs w:val="28"/>
          <w:highlight w:val="none"/>
        </w:rPr>
        <w:t>第二章 供应商须知</w:t>
      </w:r>
      <w:bookmarkEnd w:id="18"/>
      <w:bookmarkEnd w:id="19"/>
      <w:bookmarkEnd w:id="20"/>
      <w:bookmarkEnd w:id="21"/>
      <w:bookmarkEnd w:id="22"/>
      <w:bookmarkEnd w:id="23"/>
      <w:bookmarkEnd w:id="24"/>
      <w:bookmarkEnd w:id="25"/>
      <w:bookmarkEnd w:id="26"/>
    </w:p>
    <w:p w14:paraId="1EB607E2">
      <w:pPr>
        <w:spacing w:line="400" w:lineRule="exact"/>
        <w:jc w:val="center"/>
        <w:rPr>
          <w:rFonts w:ascii="宋体" w:hAnsi="宋体"/>
          <w:b/>
          <w:color w:val="auto"/>
          <w:sz w:val="32"/>
          <w:szCs w:val="32"/>
          <w:highlight w:val="none"/>
        </w:rPr>
      </w:pPr>
    </w:p>
    <w:p w14:paraId="03158E87">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一、本次采购采用总价包干，投标报价已包含从前期踏勘、资料收集到最后验收（含审查验收）等全过程的所有费用，包含为完成</w:t>
      </w:r>
      <w:r>
        <w:rPr>
          <w:rFonts w:hint="eastAsia" w:ascii="宋体" w:hAnsi="宋体" w:cs="宋体"/>
          <w:color w:val="auto"/>
          <w:sz w:val="24"/>
          <w:highlight w:val="none"/>
          <w:u w:val="single"/>
          <w:lang w:bidi="ar"/>
        </w:rPr>
        <w:t>北海港铁山港区1万至3万吨级锚地工程</w:t>
      </w:r>
      <w:r>
        <w:rPr>
          <w:rFonts w:hint="eastAsia" w:ascii="宋体" w:hAnsi="宋体" w:cs="宋体"/>
          <w:color w:val="auto"/>
          <w:sz w:val="24"/>
          <w:highlight w:val="none"/>
          <w:u w:val="single"/>
          <w:lang w:eastAsia="zh-CN" w:bidi="ar"/>
        </w:rPr>
        <w:t>交工验收测量</w:t>
      </w:r>
      <w:r>
        <w:rPr>
          <w:rFonts w:hint="eastAsia" w:ascii="宋体" w:hAnsi="宋体" w:cs="宋体"/>
          <w:color w:val="auto"/>
          <w:sz w:val="24"/>
          <w:highlight w:val="none"/>
          <w:u w:val="single"/>
          <w:lang w:bidi="ar"/>
        </w:rPr>
        <w:t>服务</w:t>
      </w:r>
      <w:r>
        <w:rPr>
          <w:rFonts w:hint="eastAsia" w:ascii="宋体" w:hAnsi="宋体" w:cs="宋体"/>
          <w:color w:val="auto"/>
          <w:sz w:val="24"/>
          <w:highlight w:val="none"/>
          <w:lang w:bidi="ar"/>
        </w:rPr>
        <w:t>的全部工作以及可能发生的各种费用。本项目合同总价在合同执行过程中是固定的，不因情况变化而调整。</w:t>
      </w:r>
    </w:p>
    <w:p w14:paraId="681D369D">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二、投标报价为一次报价，此次报价即最终报价，不再就价格问题另行协商。</w:t>
      </w:r>
    </w:p>
    <w:p w14:paraId="7918B881">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三、投标报价不能超过采购公告规定的最高限价，超过最高限价作投标无效处理。</w:t>
      </w:r>
    </w:p>
    <w:p w14:paraId="67CE5DF5">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四、报价应为含税价格，并且能够提供增值税发票。</w:t>
      </w:r>
    </w:p>
    <w:p w14:paraId="3401877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五、供应商如需现场考察，可自行前往，费用自理。</w:t>
      </w:r>
    </w:p>
    <w:p w14:paraId="0F1E898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六、供应商应针对本项目的特殊性和项目所在地的地理、人文、环境进行综合的评估，谨慎报价，合理安排各项工作。</w:t>
      </w:r>
    </w:p>
    <w:p w14:paraId="3C316A49">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七、响应文件应于采购公告规定的响应文件递交截止时间前递交，密封邮寄或亲自递交到采购公告指定的响应文件递交地点，逾期送达的，采购人将予以拒收。</w:t>
      </w:r>
    </w:p>
    <w:p w14:paraId="724D10CF">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八、响应文件应按第六章响应文件格式要求编制。响应文件一式叁份。</w:t>
      </w:r>
    </w:p>
    <w:p w14:paraId="6CCB5DD2">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九、本项目不允许分包。</w:t>
      </w:r>
    </w:p>
    <w:p w14:paraId="56FEA29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十、投标有效期为60个日历天。</w:t>
      </w:r>
    </w:p>
    <w:p w14:paraId="7A3ACEC6">
      <w:pPr>
        <w:spacing w:line="360" w:lineRule="auto"/>
        <w:ind w:firstLine="480" w:firstLineChars="200"/>
        <w:rPr>
          <w:rFonts w:ascii="宋体" w:hAnsi="宋体" w:cs="宋体"/>
          <w:color w:val="auto"/>
          <w:sz w:val="24"/>
          <w:highlight w:val="none"/>
          <w:lang w:bidi="ar"/>
        </w:rPr>
      </w:pPr>
    </w:p>
    <w:p w14:paraId="679B7530">
      <w:pPr>
        <w:pStyle w:val="11"/>
        <w:rPr>
          <w:rFonts w:ascii="宋体"/>
          <w:bCs/>
          <w:color w:val="auto"/>
          <w:kern w:val="0"/>
          <w:szCs w:val="21"/>
          <w:highlight w:val="none"/>
        </w:rPr>
      </w:pPr>
    </w:p>
    <w:p w14:paraId="0D25CE64">
      <w:pPr>
        <w:pStyle w:val="11"/>
        <w:rPr>
          <w:rFonts w:ascii="宋体"/>
          <w:bCs/>
          <w:color w:val="auto"/>
          <w:kern w:val="0"/>
          <w:szCs w:val="21"/>
          <w:highlight w:val="none"/>
        </w:rPr>
      </w:pPr>
    </w:p>
    <w:p w14:paraId="38B61FAD">
      <w:pPr>
        <w:pStyle w:val="15"/>
        <w:spacing w:line="360" w:lineRule="auto"/>
        <w:ind w:firstLine="643" w:firstLineChars="200"/>
        <w:textAlignment w:val="center"/>
        <w:rPr>
          <w:rFonts w:hAnsi="宋体" w:cs="宋体"/>
          <w:color w:val="auto"/>
          <w:kern w:val="2"/>
          <w:sz w:val="21"/>
          <w:highlight w:val="none"/>
        </w:rPr>
      </w:pPr>
      <w:r>
        <w:rPr>
          <w:rFonts w:hAnsi="宋体"/>
          <w:b/>
          <w:color w:val="auto"/>
          <w:sz w:val="32"/>
          <w:szCs w:val="32"/>
          <w:highlight w:val="none"/>
        </w:rPr>
        <w:br w:type="page"/>
      </w:r>
    </w:p>
    <w:p w14:paraId="277288EA">
      <w:pPr>
        <w:pStyle w:val="2"/>
        <w:spacing w:before="0" w:after="0" w:line="360" w:lineRule="auto"/>
        <w:jc w:val="center"/>
        <w:rPr>
          <w:color w:val="auto"/>
          <w:sz w:val="28"/>
          <w:szCs w:val="28"/>
          <w:highlight w:val="none"/>
        </w:rPr>
      </w:pPr>
      <w:bookmarkStart w:id="27" w:name="_Toc14696"/>
      <w:bookmarkStart w:id="28" w:name="_Toc27890"/>
      <w:bookmarkStart w:id="29" w:name="_Toc29660"/>
      <w:bookmarkStart w:id="30" w:name="_Toc2534"/>
      <w:bookmarkStart w:id="31" w:name="_Toc31960"/>
      <w:bookmarkStart w:id="32" w:name="_Toc14791"/>
      <w:bookmarkStart w:id="33" w:name="_Toc5383"/>
      <w:bookmarkStart w:id="34" w:name="_Toc19335"/>
      <w:bookmarkStart w:id="35" w:name="_Toc4581"/>
      <w:r>
        <w:rPr>
          <w:rFonts w:hint="eastAsia"/>
          <w:color w:val="auto"/>
          <w:sz w:val="28"/>
          <w:szCs w:val="28"/>
          <w:highlight w:val="none"/>
        </w:rPr>
        <w:t>第三章 采购需求</w:t>
      </w:r>
      <w:bookmarkEnd w:id="27"/>
      <w:bookmarkEnd w:id="28"/>
      <w:bookmarkEnd w:id="29"/>
      <w:bookmarkEnd w:id="30"/>
      <w:bookmarkEnd w:id="31"/>
      <w:bookmarkEnd w:id="32"/>
      <w:bookmarkEnd w:id="33"/>
      <w:bookmarkEnd w:id="34"/>
      <w:bookmarkEnd w:id="35"/>
    </w:p>
    <w:p w14:paraId="428A8A74">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一、项目概况</w:t>
      </w:r>
    </w:p>
    <w:p w14:paraId="0C38563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北海港铁山港区1万至3万吨级锚地工程</w:t>
      </w:r>
      <w:r>
        <w:rPr>
          <w:rFonts w:hint="eastAsia" w:ascii="宋体" w:hAnsi="宋体" w:cs="宋体"/>
          <w:bCs/>
          <w:color w:val="auto"/>
          <w:sz w:val="24"/>
          <w:highlight w:val="none"/>
          <w:lang w:eastAsia="zh-CN"/>
        </w:rPr>
        <w:t>交工验收测量</w:t>
      </w:r>
      <w:r>
        <w:rPr>
          <w:rFonts w:hint="eastAsia" w:ascii="宋体" w:hAnsi="宋体" w:cs="宋体"/>
          <w:bCs/>
          <w:color w:val="auto"/>
          <w:sz w:val="24"/>
          <w:highlight w:val="none"/>
        </w:rPr>
        <w:t>服务，对北海港铁山港区1万至3万吨级锚地工程进行交工验收前</w:t>
      </w:r>
      <w:r>
        <w:rPr>
          <w:rFonts w:hint="eastAsia" w:ascii="宋体" w:hAnsi="宋体" w:cs="宋体"/>
          <w:bCs/>
          <w:color w:val="auto"/>
          <w:sz w:val="24"/>
          <w:highlight w:val="none"/>
          <w:lang w:eastAsia="zh-CN"/>
        </w:rPr>
        <w:t>交工验收测量</w:t>
      </w:r>
      <w:r>
        <w:rPr>
          <w:rFonts w:hint="eastAsia" w:ascii="宋体" w:hAnsi="宋体" w:cs="宋体"/>
          <w:bCs/>
          <w:color w:val="auto"/>
          <w:sz w:val="24"/>
          <w:highlight w:val="none"/>
        </w:rPr>
        <w:t>，测量面积约16.07平方公里。</w:t>
      </w:r>
    </w:p>
    <w:p w14:paraId="737640DF">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采购预算金额：</w:t>
      </w:r>
      <w:r>
        <w:rPr>
          <w:rFonts w:hint="eastAsia" w:ascii="宋体" w:hAnsi="宋体" w:cs="宋体"/>
          <w:color w:val="auto"/>
          <w:sz w:val="24"/>
          <w:highlight w:val="none"/>
          <w:lang w:eastAsia="zh-CN" w:bidi="ar"/>
        </w:rPr>
        <w:t>845692.36</w:t>
      </w:r>
      <w:r>
        <w:rPr>
          <w:rFonts w:hint="eastAsia" w:ascii="宋体" w:hAnsi="宋体" w:cs="宋体"/>
          <w:color w:val="auto"/>
          <w:sz w:val="24"/>
          <w:highlight w:val="none"/>
          <w:lang w:bidi="ar"/>
        </w:rPr>
        <w:t>元。</w:t>
      </w:r>
    </w:p>
    <w:p w14:paraId="30E63A7F">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二、采购内容</w:t>
      </w:r>
    </w:p>
    <w:p w14:paraId="7E96C552">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北海港铁山港区1万至3万吨级锚地工程</w:t>
      </w:r>
      <w:r>
        <w:rPr>
          <w:rFonts w:hint="eastAsia" w:ascii="宋体" w:hAnsi="宋体" w:cs="宋体"/>
          <w:color w:val="auto"/>
          <w:sz w:val="24"/>
          <w:highlight w:val="none"/>
          <w:lang w:eastAsia="zh-CN" w:bidi="ar"/>
        </w:rPr>
        <w:t>交工验收测量</w:t>
      </w:r>
      <w:r>
        <w:rPr>
          <w:rFonts w:hint="eastAsia" w:ascii="宋体" w:hAnsi="宋体" w:cs="宋体"/>
          <w:color w:val="auto"/>
          <w:sz w:val="24"/>
          <w:highlight w:val="none"/>
          <w:lang w:bidi="ar"/>
        </w:rPr>
        <w:t>服务</w:t>
      </w:r>
      <w:r>
        <w:rPr>
          <w:rFonts w:hint="eastAsia" w:ascii="宋体" w:hAnsi="宋体" w:cs="宋体"/>
          <w:bCs/>
          <w:color w:val="auto"/>
          <w:sz w:val="24"/>
          <w:highlight w:val="none"/>
        </w:rPr>
        <w:t>。</w:t>
      </w:r>
    </w:p>
    <w:p w14:paraId="56B56625">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三、技术要求</w:t>
      </w:r>
    </w:p>
    <w:p w14:paraId="560DCE4E">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（一）技术标准</w:t>
      </w:r>
    </w:p>
    <w:p w14:paraId="6AC62CB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本项目技术标准书目录（不限于）：</w:t>
      </w:r>
    </w:p>
    <w:p w14:paraId="641316EF">
      <w:pPr>
        <w:widowControl/>
        <w:spacing w:line="360" w:lineRule="auto"/>
        <w:ind w:firstLine="480" w:firstLineChars="200"/>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bidi="ar"/>
        </w:rPr>
        <w:t>《工程测量通用规范》（GB 55018-2021）</w:t>
      </w:r>
    </w:p>
    <w:p w14:paraId="05BF5DDD">
      <w:pPr>
        <w:widowControl/>
        <w:spacing w:line="360" w:lineRule="auto"/>
        <w:ind w:firstLine="480" w:firstLineChars="200"/>
        <w:rPr>
          <w:rFonts w:hint="eastAsia" w:ascii="宋体" w:hAnsi="宋体" w:cs="宋体"/>
          <w:color w:val="auto"/>
          <w:sz w:val="24"/>
          <w:highlight w:val="none"/>
          <w:lang w:bidi="ar"/>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bidi="ar"/>
        </w:rPr>
        <w:t>《工程测量标准》（GB50026-2020）</w:t>
      </w:r>
    </w:p>
    <w:p w14:paraId="7807CB8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.《水运工程测量规范》（JTS 131―2012）；</w:t>
      </w:r>
    </w:p>
    <w:p w14:paraId="4306A2E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.《工程测量规范》（GB 50026―2007）；</w:t>
      </w:r>
    </w:p>
    <w:p w14:paraId="2E0DCFF7">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.《国家三、四等水准测量规范》（GB/T 12898―2009）；</w:t>
      </w:r>
    </w:p>
    <w:p w14:paraId="22191AB5">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.《全球定位系统（GPS）测量规范》（GB/T 18314―2009）；</w:t>
      </w:r>
    </w:p>
    <w:p w14:paraId="3118F9EB">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.《全球定位系统实时动态测量(RTK)技术规范》CH/T 2009―2010；</w:t>
      </w:r>
    </w:p>
    <w:p w14:paraId="46D97A4F">
      <w:pPr>
        <w:widowControl/>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.《水运工程测量质量检验标准》(JTS 258―2008) ；</w:t>
      </w:r>
    </w:p>
    <w:p w14:paraId="25DF233C">
      <w:pPr>
        <w:widowControl/>
        <w:spacing w:line="360" w:lineRule="auto"/>
        <w:ind w:firstLine="480" w:firstLineChars="200"/>
        <w:rPr>
          <w:rFonts w:hint="eastAsia" w:ascii="宋体" w:hAnsi="宋体" w:cs="宋体"/>
          <w:color w:val="auto"/>
          <w:sz w:val="24"/>
          <w:highlight w:val="none"/>
          <w:lang w:bidi="ar"/>
        </w:rPr>
      </w:pPr>
      <w:r>
        <w:rPr>
          <w:rFonts w:hint="eastAsia" w:ascii="宋体" w:hAnsi="宋体" w:eastAsia="宋体" w:cs="宋体"/>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bidi="ar"/>
        </w:rPr>
        <w:t>《水运工程质量检验标准》（JTS257－2008）</w:t>
      </w:r>
    </w:p>
    <w:p w14:paraId="1F8C80EE">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10</w:t>
      </w:r>
      <w:r>
        <w:rPr>
          <w:rFonts w:hint="eastAsia" w:ascii="宋体" w:hAnsi="宋体" w:cs="宋体"/>
          <w:color w:val="auto"/>
          <w:sz w:val="24"/>
          <w:highlight w:val="none"/>
          <w:lang w:bidi="ar"/>
        </w:rPr>
        <w:t>.《关于进一步规范和加强海事系统测绘成果发布和使用工作的通知》（海航测[2009]166 号）</w:t>
      </w:r>
    </w:p>
    <w:p w14:paraId="3D1F551E">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11</w:t>
      </w:r>
      <w:r>
        <w:rPr>
          <w:rFonts w:hint="eastAsia" w:ascii="宋体" w:hAnsi="宋体" w:cs="宋体"/>
          <w:color w:val="auto"/>
          <w:sz w:val="24"/>
          <w:highlight w:val="none"/>
          <w:lang w:bidi="ar"/>
        </w:rPr>
        <w:t>.其他有关</w:t>
      </w:r>
      <w:bookmarkStart w:id="36" w:name="OLE_LINK11"/>
      <w:r>
        <w:rPr>
          <w:rFonts w:hint="eastAsia" w:ascii="宋体" w:hAnsi="宋体" w:cs="宋体"/>
          <w:color w:val="auto"/>
          <w:sz w:val="24"/>
          <w:highlight w:val="none"/>
          <w:lang w:bidi="ar"/>
        </w:rPr>
        <w:t>国家和行业现行相关的技术标准、规范和规程</w:t>
      </w:r>
      <w:bookmarkEnd w:id="36"/>
      <w:r>
        <w:rPr>
          <w:rFonts w:hint="eastAsia" w:ascii="宋体" w:hAnsi="宋体" w:cs="宋体"/>
          <w:color w:val="auto"/>
          <w:sz w:val="24"/>
          <w:highlight w:val="none"/>
          <w:lang w:bidi="ar"/>
        </w:rPr>
        <w:t>。</w:t>
      </w:r>
    </w:p>
    <w:p w14:paraId="720E2505">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在项目实施过程中，如国家或有关部门颁布了新的技术标准，则供应商应采用新的标准。</w:t>
      </w:r>
    </w:p>
    <w:p w14:paraId="65B9A5B8">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（二）质量要求</w:t>
      </w:r>
    </w:p>
    <w:p w14:paraId="6A22F015">
      <w:pPr>
        <w:widowControl/>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bidi="ar"/>
        </w:rPr>
        <w:t>符合合格标准，</w:t>
      </w:r>
      <w:r>
        <w:rPr>
          <w:rFonts w:hint="eastAsia" w:ascii="宋体" w:hAnsi="宋体" w:cs="宋体"/>
          <w:color w:val="auto"/>
          <w:sz w:val="24"/>
          <w:highlight w:val="none"/>
          <w:lang w:eastAsia="zh-CN" w:bidi="ar"/>
        </w:rPr>
        <w:t>满足验收要求。</w:t>
      </w:r>
    </w:p>
    <w:p w14:paraId="575012B6">
      <w:pPr>
        <w:widowControl/>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val="en-US" w:eastAsia="zh-CN" w:bidi="ar"/>
        </w:rPr>
        <w:t>2.</w:t>
      </w:r>
      <w:r>
        <w:rPr>
          <w:rFonts w:hint="eastAsia" w:ascii="宋体" w:hAnsi="宋体" w:cs="宋体"/>
          <w:color w:val="auto"/>
          <w:sz w:val="24"/>
          <w:highlight w:val="none"/>
          <w:lang w:bidi="ar"/>
        </w:rPr>
        <w:t>测量成果通过专家评审，验收合格</w:t>
      </w:r>
      <w:r>
        <w:rPr>
          <w:rFonts w:hint="eastAsia" w:ascii="宋体" w:hAnsi="宋体" w:cs="宋体"/>
          <w:color w:val="auto"/>
          <w:sz w:val="24"/>
          <w:highlight w:val="none"/>
          <w:lang w:eastAsia="zh-CN" w:bidi="ar"/>
        </w:rPr>
        <w:t>。</w:t>
      </w:r>
    </w:p>
    <w:p w14:paraId="6860D717">
      <w:pPr>
        <w:widowControl/>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海事部门</w:t>
      </w:r>
      <w:r>
        <w:rPr>
          <w:rFonts w:hint="eastAsia" w:ascii="宋体" w:hAnsi="宋体" w:cs="宋体"/>
          <w:color w:val="auto"/>
          <w:sz w:val="24"/>
          <w:highlight w:val="none"/>
          <w:lang w:val="en-US" w:eastAsia="zh-CN" w:bidi="ar"/>
        </w:rPr>
        <w:t>同意并</w:t>
      </w:r>
      <w:r>
        <w:rPr>
          <w:rFonts w:hint="eastAsia" w:ascii="宋体" w:hAnsi="宋体" w:cs="宋体"/>
          <w:color w:val="auto"/>
          <w:sz w:val="24"/>
          <w:highlight w:val="none"/>
          <w:lang w:bidi="ar"/>
        </w:rPr>
        <w:t>发布</w:t>
      </w:r>
      <w:r>
        <w:rPr>
          <w:rFonts w:hint="eastAsia" w:ascii="宋体" w:hAnsi="宋体" w:cs="宋体"/>
          <w:color w:val="auto"/>
          <w:sz w:val="24"/>
          <w:highlight w:val="none"/>
          <w:lang w:val="en-US" w:eastAsia="zh-CN" w:bidi="ar"/>
        </w:rPr>
        <w:t>锚地对外使用</w:t>
      </w:r>
      <w:r>
        <w:rPr>
          <w:rFonts w:hint="eastAsia" w:ascii="宋体" w:hAnsi="宋体" w:cs="宋体"/>
          <w:color w:val="auto"/>
          <w:sz w:val="24"/>
          <w:highlight w:val="none"/>
          <w:lang w:bidi="ar"/>
        </w:rPr>
        <w:t>公告</w:t>
      </w:r>
      <w:r>
        <w:rPr>
          <w:rFonts w:hint="eastAsia" w:ascii="宋体" w:hAnsi="宋体" w:cs="宋体"/>
          <w:color w:val="auto"/>
          <w:sz w:val="24"/>
          <w:highlight w:val="none"/>
          <w:lang w:eastAsia="zh-CN" w:bidi="ar"/>
        </w:rPr>
        <w:t>。</w:t>
      </w:r>
    </w:p>
    <w:p w14:paraId="6B178CD2">
      <w:pPr>
        <w:widowControl/>
        <w:spacing w:line="360" w:lineRule="auto"/>
        <w:ind w:firstLine="480" w:firstLineChars="200"/>
        <w:rPr>
          <w:rFonts w:hint="eastAsia" w:ascii="宋体" w:hAnsi="宋体" w:eastAsia="宋体" w:cs="宋体"/>
          <w:color w:val="auto"/>
          <w:sz w:val="24"/>
          <w:highlight w:val="none"/>
          <w:lang w:eastAsia="zh-CN" w:bidi="ar"/>
        </w:rPr>
      </w:pPr>
      <w:r>
        <w:rPr>
          <w:rFonts w:hint="eastAsia" w:ascii="宋体" w:hAnsi="宋体" w:cs="宋体"/>
          <w:color w:val="auto"/>
          <w:sz w:val="24"/>
          <w:highlight w:val="none"/>
          <w:lang w:val="en-US" w:eastAsia="zh-CN" w:bidi="ar"/>
        </w:rPr>
        <w:t>4.航海保障中心同意并发布海图</w:t>
      </w:r>
      <w:r>
        <w:rPr>
          <w:rFonts w:hint="eastAsia" w:ascii="宋体" w:hAnsi="宋体" w:cs="宋体"/>
          <w:color w:val="auto"/>
          <w:sz w:val="24"/>
          <w:highlight w:val="none"/>
          <w:lang w:bidi="ar"/>
        </w:rPr>
        <w:t>。</w:t>
      </w:r>
    </w:p>
    <w:p w14:paraId="431B8AEC">
      <w:pPr>
        <w:widowControl/>
        <w:spacing w:line="360" w:lineRule="auto"/>
        <w:ind w:firstLine="482" w:firstLineChars="200"/>
        <w:rPr>
          <w:rFonts w:ascii="宋体" w:hAnsi="宋体" w:cs="宋体"/>
          <w:color w:val="auto"/>
          <w:sz w:val="24"/>
          <w:highlight w:val="none"/>
          <w:lang w:bidi="ar"/>
        </w:rPr>
      </w:pPr>
      <w:r>
        <w:rPr>
          <w:rFonts w:hint="eastAsia" w:ascii="宋体" w:hAnsi="宋体" w:cs="宋体"/>
          <w:b/>
          <w:bCs/>
          <w:color w:val="auto"/>
          <w:sz w:val="24"/>
          <w:highlight w:val="none"/>
          <w:lang w:bidi="ar"/>
        </w:rPr>
        <w:t>（三）其他要求</w:t>
      </w:r>
    </w:p>
    <w:p w14:paraId="21C87B38">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包括使用多波束测深系统全覆盖扫海测量北海港铁山港区1万至3万吨级锚地工程水域；</w:t>
      </w:r>
    </w:p>
    <w:p w14:paraId="6F618182">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1.坐标系统：采用2000国家大地坐标系（CGCS2000），投影采用高斯-克吕格投影，中央子午线为109</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°，深度基准面采用当地理论最低潮面；</w:t>
      </w:r>
    </w:p>
    <w:p w14:paraId="08BACD8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2.提供的扫测成果须满足《关于进一步规范和加强海事系统测绘成果发布和使用工作的通知》（海航测[2009]166号）的要求，满足海事部门对外公布公告的需求；</w:t>
      </w:r>
    </w:p>
    <w:p w14:paraId="23E4194B">
      <w:pPr>
        <w:widowControl/>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3.海事部门对外发布1万至3万吨级锚地相关公告后，</w:t>
      </w:r>
      <w:r>
        <w:rPr>
          <w:rFonts w:hint="eastAsia" w:ascii="宋体" w:hAnsi="宋体" w:cs="宋体"/>
          <w:color w:val="auto"/>
          <w:sz w:val="24"/>
          <w:highlight w:val="none"/>
          <w:lang w:val="en-US" w:eastAsia="zh-CN" w:bidi="ar"/>
        </w:rPr>
        <w:t>按要求提供合格的材料至相关主管</w:t>
      </w:r>
      <w:r>
        <w:rPr>
          <w:rFonts w:hint="eastAsia" w:ascii="宋体" w:hAnsi="宋体" w:cs="宋体"/>
          <w:color w:val="auto"/>
          <w:sz w:val="24"/>
          <w:highlight w:val="none"/>
          <w:lang w:eastAsia="zh-CN" w:bidi="ar"/>
        </w:rPr>
        <w:t>部门，</w:t>
      </w:r>
      <w:r>
        <w:rPr>
          <w:rFonts w:hint="eastAsia" w:ascii="宋体" w:hAnsi="宋体" w:cs="宋体"/>
          <w:color w:val="auto"/>
          <w:sz w:val="24"/>
          <w:highlight w:val="none"/>
          <w:lang w:val="en-US" w:eastAsia="zh-CN" w:bidi="ar"/>
        </w:rPr>
        <w:t>在</w:t>
      </w:r>
      <w:r>
        <w:rPr>
          <w:rFonts w:hint="eastAsia" w:ascii="宋体" w:hAnsi="宋体" w:cs="宋体"/>
          <w:color w:val="auto"/>
          <w:sz w:val="24"/>
          <w:highlight w:val="none"/>
          <w:lang w:eastAsia="zh-CN" w:bidi="ar"/>
        </w:rPr>
        <w:t>更新发布</w:t>
      </w:r>
      <w:r>
        <w:rPr>
          <w:rFonts w:hint="eastAsia" w:ascii="宋体" w:hAnsi="宋体" w:cs="宋体"/>
          <w:color w:val="auto"/>
          <w:sz w:val="24"/>
          <w:highlight w:val="none"/>
          <w:lang w:bidi="ar"/>
        </w:rPr>
        <w:t>的北海港域海图上体现公告内容。</w:t>
      </w:r>
    </w:p>
    <w:p w14:paraId="4FAB6A7E">
      <w:pPr>
        <w:widowControl/>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4.测量控制点交桩以本项目设计单位移交的工程测量控制点交桩表为基准；同时供应商自行收集并较核测区平面控制和高程控制所需的起算资料、水深值换算所需的深度基准面资料，所需费用已包含于投标报价中，采购人不另行支付。</w:t>
      </w:r>
    </w:p>
    <w:p w14:paraId="6B6A301A">
      <w:pPr>
        <w:widowControl/>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5.</w:t>
      </w:r>
      <w:r>
        <w:rPr>
          <w:rFonts w:hint="eastAsia" w:ascii="宋体" w:hAnsi="宋体" w:eastAsia="宋体" w:cs="宋体"/>
          <w:color w:val="auto"/>
          <w:kern w:val="2"/>
          <w:sz w:val="24"/>
          <w:szCs w:val="24"/>
          <w:highlight w:val="none"/>
          <w:lang w:bidi="ar"/>
        </w:rPr>
        <w:t>采用多波束测量方式对测量范围进行1:500水深测量</w:t>
      </w:r>
      <w:r>
        <w:rPr>
          <w:rFonts w:hint="eastAsia" w:ascii="宋体" w:hAnsi="宋体" w:eastAsia="宋体" w:cs="宋体"/>
          <w:color w:val="auto"/>
          <w:kern w:val="2"/>
          <w:sz w:val="24"/>
          <w:szCs w:val="24"/>
          <w:highlight w:val="none"/>
          <w:lang w:eastAsia="zh-CN" w:bidi="ar"/>
        </w:rPr>
        <w:t>，</w:t>
      </w:r>
      <w:r>
        <w:rPr>
          <w:rFonts w:hint="eastAsia" w:ascii="宋体" w:hAnsi="宋体" w:eastAsia="宋体" w:cs="宋体"/>
          <w:color w:val="auto"/>
          <w:kern w:val="2"/>
          <w:sz w:val="24"/>
          <w:szCs w:val="24"/>
          <w:highlight w:val="none"/>
          <w:lang w:bidi="ar"/>
        </w:rPr>
        <w:t>形成CAD水下地形图；</w:t>
      </w:r>
      <w:r>
        <w:rPr>
          <w:rFonts w:hint="eastAsia" w:ascii="宋体" w:hAnsi="宋体" w:cs="宋体"/>
          <w:color w:val="auto"/>
          <w:kern w:val="2"/>
          <w:sz w:val="24"/>
          <w:szCs w:val="24"/>
          <w:highlight w:val="none"/>
          <w:lang w:bidi="ar"/>
        </w:rPr>
        <w:t>测线的布设的主要原则是满足测区的多波束全覆盖测量，测线方向垂直于</w:t>
      </w:r>
      <w:r>
        <w:rPr>
          <w:rFonts w:hint="eastAsia" w:ascii="宋体" w:hAnsi="宋体" w:cs="宋体"/>
          <w:color w:val="auto"/>
          <w:kern w:val="2"/>
          <w:sz w:val="24"/>
          <w:szCs w:val="24"/>
          <w:highlight w:val="none"/>
          <w:lang w:eastAsia="zh-CN" w:bidi="ar"/>
        </w:rPr>
        <w:t>锚地平面布置</w:t>
      </w:r>
      <w:r>
        <w:rPr>
          <w:rFonts w:hint="eastAsia" w:ascii="宋体" w:hAnsi="宋体" w:cs="宋体"/>
          <w:color w:val="auto"/>
          <w:kern w:val="2"/>
          <w:sz w:val="24"/>
          <w:szCs w:val="24"/>
          <w:highlight w:val="none"/>
          <w:lang w:bidi="ar"/>
        </w:rPr>
        <w:t>方向，相邻测线间的条带重叠不小于20%。</w:t>
      </w:r>
    </w:p>
    <w:p w14:paraId="34F2ABD9">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.测量范围：</w:t>
      </w:r>
      <w:r>
        <w:rPr>
          <w:rFonts w:hint="eastAsia" w:ascii="宋体" w:hAnsi="宋体" w:cs="宋体"/>
          <w:bCs/>
          <w:color w:val="auto"/>
          <w:sz w:val="24"/>
          <w:highlight w:val="none"/>
        </w:rPr>
        <w:t>测量面积约16.07平方公里</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测量面积为</w:t>
      </w:r>
      <w:r>
        <w:rPr>
          <w:rFonts w:hint="eastAsia" w:ascii="宋体" w:hAnsi="宋体" w:cs="宋体"/>
          <w:color w:val="auto"/>
          <w:sz w:val="24"/>
          <w:highlight w:val="none"/>
          <w:lang w:bidi="ar"/>
        </w:rPr>
        <w:t>锚地设计控制点坐标</w:t>
      </w:r>
      <w:r>
        <w:rPr>
          <w:rFonts w:hint="eastAsia" w:ascii="宋体" w:hAnsi="宋体" w:cs="宋体"/>
          <w:color w:val="auto"/>
          <w:sz w:val="24"/>
          <w:highlight w:val="none"/>
          <w:lang w:val="en-US" w:eastAsia="zh-CN" w:bidi="ar"/>
        </w:rPr>
        <w:t>连线外扩30米，</w:t>
      </w:r>
      <w:r>
        <w:rPr>
          <w:rFonts w:hint="eastAsia" w:ascii="宋体" w:hAnsi="宋体" w:cs="宋体"/>
          <w:color w:val="auto"/>
          <w:sz w:val="24"/>
          <w:highlight w:val="none"/>
          <w:lang w:bidi="ar"/>
        </w:rPr>
        <w:t>锚地设计控制点坐标如下表所示。</w:t>
      </w:r>
    </w:p>
    <w:tbl>
      <w:tblPr>
        <w:tblStyle w:val="26"/>
        <w:tblW w:w="7392" w:type="dxa"/>
        <w:jc w:val="center"/>
        <w:tblLayout w:type="fixed"/>
        <w:tblCellMar>
          <w:top w:w="0" w:type="dxa"/>
          <w:left w:w="108" w:type="dxa"/>
          <w:bottom w:w="0" w:type="dxa"/>
          <w:right w:w="108" w:type="dxa"/>
        </w:tblCellMar>
      </w:tblPr>
      <w:tblGrid>
        <w:gridCol w:w="1408"/>
        <w:gridCol w:w="2400"/>
        <w:gridCol w:w="3584"/>
      </w:tblGrid>
      <w:tr w14:paraId="6E1F1022">
        <w:tblPrEx>
          <w:tblCellMar>
            <w:top w:w="0" w:type="dxa"/>
            <w:left w:w="108" w:type="dxa"/>
            <w:bottom w:w="0" w:type="dxa"/>
            <w:right w:w="108" w:type="dxa"/>
          </w:tblCellMar>
        </w:tblPrEx>
        <w:trPr>
          <w:trHeight w:val="270" w:hRule="atLeast"/>
          <w:jc w:val="center"/>
        </w:trPr>
        <w:tc>
          <w:tcPr>
            <w:tcW w:w="14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9040D6">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控制点编号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0553">
            <w:pPr>
              <w:widowControl/>
              <w:jc w:val="center"/>
              <w:rPr>
                <w:rFonts w:ascii="宋体" w:hAnsi="宋体" w:cs="宋体"/>
                <w:color w:val="auto"/>
                <w:sz w:val="24"/>
                <w:highlight w:val="none"/>
                <w:lang w:bidi="ar"/>
              </w:rPr>
            </w:pPr>
            <w:r>
              <w:rPr>
                <w:rFonts w:hint="eastAsia" w:ascii="宋体" w:hAnsi="宋体" w:cs="宋体"/>
                <w:color w:val="auto"/>
                <w:sz w:val="24"/>
                <w:highlight w:val="none"/>
                <w:lang w:bidi="ar"/>
              </w:rPr>
              <w:t>X坐标</w:t>
            </w:r>
          </w:p>
        </w:tc>
        <w:tc>
          <w:tcPr>
            <w:tcW w:w="35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4A5C30">
            <w:pPr>
              <w:widowControl/>
              <w:jc w:val="center"/>
              <w:rPr>
                <w:rFonts w:ascii="宋体" w:hAnsi="宋体" w:cs="宋体"/>
                <w:color w:val="auto"/>
                <w:sz w:val="24"/>
                <w:highlight w:val="none"/>
                <w:lang w:bidi="ar"/>
              </w:rPr>
            </w:pPr>
            <w:r>
              <w:rPr>
                <w:rFonts w:hint="eastAsia" w:ascii="宋体" w:hAnsi="宋体" w:cs="宋体"/>
                <w:color w:val="auto"/>
                <w:sz w:val="24"/>
                <w:highlight w:val="none"/>
                <w:lang w:bidi="ar"/>
              </w:rPr>
              <w:t>Y坐标</w:t>
            </w:r>
          </w:p>
        </w:tc>
      </w:tr>
      <w:tr w14:paraId="3563F56A">
        <w:tblPrEx>
          <w:tblCellMar>
            <w:top w:w="0" w:type="dxa"/>
            <w:left w:w="108" w:type="dxa"/>
            <w:bottom w:w="0" w:type="dxa"/>
            <w:right w:w="108" w:type="dxa"/>
          </w:tblCellMar>
        </w:tblPrEx>
        <w:trPr>
          <w:trHeight w:val="270" w:hRule="atLeast"/>
          <w:jc w:val="center"/>
        </w:trPr>
        <w:tc>
          <w:tcPr>
            <w:tcW w:w="14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706D55">
            <w:pPr>
              <w:widowControl/>
              <w:jc w:val="center"/>
              <w:textAlignment w:val="center"/>
              <w:rPr>
                <w:rFonts w:ascii="宋体" w:hAnsi="宋体" w:cs="宋体"/>
                <w:color w:val="auto"/>
                <w:sz w:val="22"/>
                <w:szCs w:val="22"/>
                <w:highlight w:val="none"/>
              </w:rPr>
            </w:pPr>
            <w:r>
              <w:rPr>
                <w:rFonts w:ascii="宋体" w:hAnsi="宋体" w:cs="宋体"/>
                <w:color w:val="auto"/>
                <w:kern w:val="0"/>
                <w:sz w:val="22"/>
                <w:szCs w:val="22"/>
                <w:highlight w:val="none"/>
                <w:lang w:bidi="ar"/>
              </w:rPr>
              <w:t>A</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B07A">
            <w:pPr>
              <w:widowControl/>
              <w:jc w:val="center"/>
              <w:textAlignment w:val="center"/>
              <w:rPr>
                <w:rFonts w:ascii="宋体" w:hAnsi="宋体" w:cs="宋体"/>
                <w:color w:val="auto"/>
                <w:sz w:val="22"/>
                <w:szCs w:val="22"/>
                <w:highlight w:val="none"/>
              </w:rPr>
            </w:pPr>
            <w:r>
              <w:rPr>
                <w:rFonts w:hint="eastAsia"/>
                <w:color w:val="auto"/>
                <w:sz w:val="22"/>
                <w:szCs w:val="22"/>
                <w:highlight w:val="none"/>
              </w:rPr>
              <w:t xml:space="preserve">2350561.727 </w:t>
            </w:r>
          </w:p>
        </w:tc>
        <w:tc>
          <w:tcPr>
            <w:tcW w:w="35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2DAF50">
            <w:pPr>
              <w:widowControl/>
              <w:jc w:val="center"/>
              <w:textAlignment w:val="center"/>
              <w:rPr>
                <w:rFonts w:ascii="宋体" w:hAnsi="宋体" w:cs="宋体"/>
                <w:color w:val="auto"/>
                <w:sz w:val="22"/>
                <w:szCs w:val="22"/>
                <w:highlight w:val="none"/>
              </w:rPr>
            </w:pPr>
            <w:r>
              <w:rPr>
                <w:rFonts w:hint="eastAsia"/>
                <w:color w:val="auto"/>
                <w:sz w:val="22"/>
                <w:szCs w:val="22"/>
                <w:highlight w:val="none"/>
              </w:rPr>
              <w:t>491473.837</w:t>
            </w:r>
          </w:p>
        </w:tc>
      </w:tr>
      <w:tr w14:paraId="48790984">
        <w:tblPrEx>
          <w:tblCellMar>
            <w:top w:w="0" w:type="dxa"/>
            <w:left w:w="108" w:type="dxa"/>
            <w:bottom w:w="0" w:type="dxa"/>
            <w:right w:w="108" w:type="dxa"/>
          </w:tblCellMar>
        </w:tblPrEx>
        <w:trPr>
          <w:trHeight w:val="270" w:hRule="atLeast"/>
          <w:jc w:val="center"/>
        </w:trPr>
        <w:tc>
          <w:tcPr>
            <w:tcW w:w="14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DDA82D">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B</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1A83">
            <w:pPr>
              <w:widowControl/>
              <w:jc w:val="center"/>
              <w:textAlignment w:val="center"/>
              <w:rPr>
                <w:rFonts w:ascii="宋体" w:hAnsi="宋体" w:cs="宋体"/>
                <w:color w:val="auto"/>
                <w:sz w:val="22"/>
                <w:szCs w:val="22"/>
                <w:highlight w:val="none"/>
              </w:rPr>
            </w:pPr>
            <w:r>
              <w:rPr>
                <w:rFonts w:hint="eastAsia"/>
                <w:color w:val="auto"/>
                <w:sz w:val="22"/>
                <w:szCs w:val="22"/>
                <w:highlight w:val="none"/>
              </w:rPr>
              <w:t xml:space="preserve">2349291.738 </w:t>
            </w:r>
          </w:p>
        </w:tc>
        <w:tc>
          <w:tcPr>
            <w:tcW w:w="35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06DE9">
            <w:pPr>
              <w:widowControl/>
              <w:jc w:val="center"/>
              <w:textAlignment w:val="center"/>
              <w:rPr>
                <w:rFonts w:ascii="宋体" w:hAnsi="宋体" w:cs="宋体"/>
                <w:color w:val="auto"/>
                <w:sz w:val="22"/>
                <w:szCs w:val="22"/>
                <w:highlight w:val="none"/>
              </w:rPr>
            </w:pPr>
            <w:r>
              <w:rPr>
                <w:rFonts w:hint="eastAsia"/>
                <w:color w:val="auto"/>
                <w:sz w:val="22"/>
                <w:szCs w:val="22"/>
                <w:highlight w:val="none"/>
              </w:rPr>
              <w:t>492677.842</w:t>
            </w:r>
          </w:p>
        </w:tc>
      </w:tr>
      <w:tr w14:paraId="5D7A61FD">
        <w:tblPrEx>
          <w:tblCellMar>
            <w:top w:w="0" w:type="dxa"/>
            <w:left w:w="108" w:type="dxa"/>
            <w:bottom w:w="0" w:type="dxa"/>
            <w:right w:w="108" w:type="dxa"/>
          </w:tblCellMar>
        </w:tblPrEx>
        <w:trPr>
          <w:trHeight w:val="270" w:hRule="atLeast"/>
          <w:jc w:val="center"/>
        </w:trPr>
        <w:tc>
          <w:tcPr>
            <w:tcW w:w="14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8B647C">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D</w:t>
            </w:r>
            <w:r>
              <w:rPr>
                <w:rFonts w:ascii="宋体" w:hAnsi="宋体" w:cs="宋体"/>
                <w:color w:val="auto"/>
                <w:sz w:val="22"/>
                <w:szCs w:val="22"/>
                <w:highlight w:val="none"/>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EF6A">
            <w:pPr>
              <w:widowControl/>
              <w:jc w:val="center"/>
              <w:textAlignment w:val="center"/>
              <w:rPr>
                <w:rFonts w:ascii="宋体" w:hAnsi="宋体" w:cs="宋体"/>
                <w:color w:val="auto"/>
                <w:sz w:val="22"/>
                <w:szCs w:val="22"/>
                <w:highlight w:val="none"/>
              </w:rPr>
            </w:pPr>
            <w:r>
              <w:rPr>
                <w:rFonts w:hint="eastAsia"/>
                <w:color w:val="auto"/>
                <w:sz w:val="22"/>
                <w:szCs w:val="22"/>
                <w:highlight w:val="none"/>
              </w:rPr>
              <w:t xml:space="preserve">2357689.371 </w:t>
            </w:r>
          </w:p>
        </w:tc>
        <w:tc>
          <w:tcPr>
            <w:tcW w:w="35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0405AD">
            <w:pPr>
              <w:widowControl/>
              <w:jc w:val="center"/>
              <w:textAlignment w:val="center"/>
              <w:rPr>
                <w:rFonts w:ascii="宋体" w:hAnsi="宋体" w:cs="宋体"/>
                <w:color w:val="auto"/>
                <w:sz w:val="22"/>
                <w:szCs w:val="22"/>
                <w:highlight w:val="none"/>
              </w:rPr>
            </w:pPr>
            <w:r>
              <w:rPr>
                <w:rFonts w:hint="eastAsia"/>
                <w:color w:val="auto"/>
                <w:sz w:val="22"/>
                <w:szCs w:val="22"/>
                <w:highlight w:val="none"/>
              </w:rPr>
              <w:t>498992.247</w:t>
            </w:r>
          </w:p>
        </w:tc>
      </w:tr>
      <w:tr w14:paraId="5025B779">
        <w:tblPrEx>
          <w:tblCellMar>
            <w:top w:w="0" w:type="dxa"/>
            <w:left w:w="108" w:type="dxa"/>
            <w:bottom w:w="0" w:type="dxa"/>
            <w:right w:w="108" w:type="dxa"/>
          </w:tblCellMar>
        </w:tblPrEx>
        <w:trPr>
          <w:trHeight w:val="270" w:hRule="atLeast"/>
          <w:jc w:val="center"/>
        </w:trPr>
        <w:tc>
          <w:tcPr>
            <w:tcW w:w="14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5D9B53">
            <w:pPr>
              <w:widowControl/>
              <w:jc w:val="center"/>
              <w:textAlignment w:val="center"/>
              <w:rPr>
                <w:rFonts w:ascii="宋体" w:hAnsi="宋体" w:cs="宋体"/>
                <w:color w:val="auto"/>
                <w:sz w:val="22"/>
                <w:szCs w:val="22"/>
                <w:highlight w:val="none"/>
              </w:rPr>
            </w:pPr>
            <w:r>
              <w:rPr>
                <w:rFonts w:ascii="宋体" w:hAnsi="宋体" w:cs="宋体"/>
                <w:color w:val="auto"/>
                <w:sz w:val="22"/>
                <w:szCs w:val="22"/>
                <w:highlight w:val="none"/>
              </w:rPr>
              <w:t>E’</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32E1">
            <w:pPr>
              <w:widowControl/>
              <w:jc w:val="center"/>
              <w:textAlignment w:val="center"/>
              <w:rPr>
                <w:rFonts w:ascii="宋体" w:hAnsi="宋体" w:cs="宋体"/>
                <w:color w:val="auto"/>
                <w:sz w:val="22"/>
                <w:szCs w:val="22"/>
                <w:highlight w:val="none"/>
              </w:rPr>
            </w:pPr>
            <w:r>
              <w:rPr>
                <w:rFonts w:hint="eastAsia"/>
                <w:color w:val="auto"/>
                <w:sz w:val="22"/>
                <w:szCs w:val="22"/>
                <w:highlight w:val="none"/>
              </w:rPr>
              <w:t xml:space="preserve">2354520.515 </w:t>
            </w:r>
          </w:p>
        </w:tc>
        <w:tc>
          <w:tcPr>
            <w:tcW w:w="35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497EE2">
            <w:pPr>
              <w:widowControl/>
              <w:jc w:val="center"/>
              <w:textAlignment w:val="center"/>
              <w:rPr>
                <w:rFonts w:ascii="宋体" w:hAnsi="宋体" w:cs="宋体"/>
                <w:color w:val="auto"/>
                <w:sz w:val="22"/>
                <w:szCs w:val="22"/>
                <w:highlight w:val="none"/>
              </w:rPr>
            </w:pPr>
            <w:r>
              <w:rPr>
                <w:rFonts w:hint="eastAsia"/>
                <w:color w:val="auto"/>
                <w:sz w:val="22"/>
                <w:szCs w:val="22"/>
                <w:highlight w:val="none"/>
              </w:rPr>
              <w:t>498193.263</w:t>
            </w:r>
          </w:p>
        </w:tc>
      </w:tr>
      <w:tr w14:paraId="5FA19562">
        <w:tblPrEx>
          <w:tblCellMar>
            <w:top w:w="0" w:type="dxa"/>
            <w:left w:w="108" w:type="dxa"/>
            <w:bottom w:w="0" w:type="dxa"/>
            <w:right w:w="108" w:type="dxa"/>
          </w:tblCellMar>
        </w:tblPrEx>
        <w:trPr>
          <w:trHeight w:val="270" w:hRule="atLeast"/>
          <w:jc w:val="center"/>
        </w:trPr>
        <w:tc>
          <w:tcPr>
            <w:tcW w:w="14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DD38B5">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Z</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2CCF">
            <w:pPr>
              <w:widowControl/>
              <w:jc w:val="center"/>
              <w:textAlignment w:val="center"/>
              <w:rPr>
                <w:rFonts w:ascii="宋体" w:hAnsi="宋体" w:cs="宋体"/>
                <w:color w:val="auto"/>
                <w:sz w:val="22"/>
                <w:szCs w:val="22"/>
                <w:highlight w:val="none"/>
              </w:rPr>
            </w:pPr>
            <w:r>
              <w:rPr>
                <w:rFonts w:hint="eastAsia"/>
                <w:color w:val="auto"/>
                <w:sz w:val="22"/>
                <w:szCs w:val="22"/>
                <w:highlight w:val="none"/>
              </w:rPr>
              <w:t xml:space="preserve">2357152.429 </w:t>
            </w:r>
          </w:p>
        </w:tc>
        <w:tc>
          <w:tcPr>
            <w:tcW w:w="35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5EF9E7">
            <w:pPr>
              <w:widowControl/>
              <w:jc w:val="center"/>
              <w:textAlignment w:val="center"/>
              <w:rPr>
                <w:rFonts w:ascii="宋体" w:hAnsi="宋体" w:cs="宋体"/>
                <w:color w:val="auto"/>
                <w:sz w:val="22"/>
                <w:szCs w:val="22"/>
                <w:highlight w:val="none"/>
              </w:rPr>
            </w:pPr>
            <w:r>
              <w:rPr>
                <w:rFonts w:hint="eastAsia"/>
                <w:color w:val="auto"/>
                <w:sz w:val="22"/>
                <w:szCs w:val="22"/>
                <w:highlight w:val="none"/>
              </w:rPr>
              <w:t>499501.293</w:t>
            </w:r>
          </w:p>
        </w:tc>
      </w:tr>
      <w:tr w14:paraId="00266870">
        <w:tblPrEx>
          <w:tblCellMar>
            <w:top w:w="0" w:type="dxa"/>
            <w:left w:w="108" w:type="dxa"/>
            <w:bottom w:w="0" w:type="dxa"/>
            <w:right w:w="108" w:type="dxa"/>
          </w:tblCellMar>
        </w:tblPrEx>
        <w:trPr>
          <w:trHeight w:val="285" w:hRule="atLeast"/>
          <w:jc w:val="center"/>
        </w:trPr>
        <w:tc>
          <w:tcPr>
            <w:tcW w:w="1408"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709C94A0">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Z</w:t>
            </w:r>
            <w:r>
              <w:rPr>
                <w:rFonts w:ascii="宋体" w:hAnsi="宋体" w:cs="宋体"/>
                <w:color w:val="auto"/>
                <w:sz w:val="22"/>
                <w:szCs w:val="22"/>
                <w:highlight w:val="none"/>
              </w:rPr>
              <w:t>’</w:t>
            </w:r>
          </w:p>
        </w:tc>
        <w:tc>
          <w:tcPr>
            <w:tcW w:w="240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436D44B">
            <w:pPr>
              <w:widowControl/>
              <w:jc w:val="center"/>
              <w:textAlignment w:val="center"/>
              <w:rPr>
                <w:rFonts w:ascii="宋体" w:hAnsi="宋体" w:cs="宋体"/>
                <w:color w:val="auto"/>
                <w:sz w:val="22"/>
                <w:szCs w:val="22"/>
                <w:highlight w:val="none"/>
              </w:rPr>
            </w:pPr>
            <w:r>
              <w:rPr>
                <w:rFonts w:hint="eastAsia"/>
                <w:color w:val="auto"/>
                <w:sz w:val="22"/>
                <w:szCs w:val="22"/>
                <w:highlight w:val="none"/>
              </w:rPr>
              <w:t>2355253.</w:t>
            </w:r>
            <w:r>
              <w:rPr>
                <w:color w:val="auto"/>
                <w:sz w:val="22"/>
                <w:szCs w:val="22"/>
                <w:highlight w:val="none"/>
              </w:rPr>
              <w:t>479</w:t>
            </w:r>
            <w:r>
              <w:rPr>
                <w:rFonts w:hint="eastAsia"/>
                <w:color w:val="auto"/>
                <w:sz w:val="22"/>
                <w:szCs w:val="22"/>
                <w:highlight w:val="none"/>
              </w:rPr>
              <w:t xml:space="preserve"> </w:t>
            </w:r>
          </w:p>
        </w:tc>
        <w:tc>
          <w:tcPr>
            <w:tcW w:w="358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73E1302A">
            <w:pPr>
              <w:widowControl/>
              <w:jc w:val="center"/>
              <w:textAlignment w:val="center"/>
              <w:rPr>
                <w:rFonts w:ascii="宋体" w:hAnsi="宋体" w:cs="宋体"/>
                <w:color w:val="auto"/>
                <w:sz w:val="22"/>
                <w:szCs w:val="22"/>
                <w:highlight w:val="none"/>
              </w:rPr>
            </w:pPr>
            <w:r>
              <w:rPr>
                <w:rFonts w:hint="eastAsia"/>
                <w:color w:val="auto"/>
                <w:sz w:val="22"/>
                <w:szCs w:val="22"/>
                <w:highlight w:val="none"/>
              </w:rPr>
              <w:t>497498.395</w:t>
            </w:r>
          </w:p>
        </w:tc>
      </w:tr>
    </w:tbl>
    <w:p w14:paraId="59C405D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highlight w:val="none"/>
          <w:lang w:val="en-US" w:eastAsia="zh-CN" w:bidi="ar"/>
        </w:rPr>
      </w:pPr>
      <w:r>
        <w:rPr>
          <w:rFonts w:hint="eastAsia" w:ascii="宋体" w:hAnsi="宋体" w:cs="宋体"/>
          <w:b/>
          <w:bCs/>
          <w:color w:val="auto"/>
          <w:sz w:val="24"/>
          <w:highlight w:val="none"/>
          <w:lang w:val="en-US" w:eastAsia="zh-CN" w:bidi="ar"/>
        </w:rPr>
        <w:t>7.</w:t>
      </w:r>
      <w:r>
        <w:rPr>
          <w:rFonts w:hint="eastAsia" w:ascii="宋体" w:hAnsi="宋体" w:cs="宋体"/>
          <w:snapToGrid w:val="0"/>
          <w:color w:val="auto"/>
          <w:kern w:val="0"/>
          <w:sz w:val="24"/>
          <w:szCs w:val="24"/>
          <w:highlight w:val="none"/>
          <w:lang w:bidi="ar"/>
        </w:rPr>
        <w:t>配合</w:t>
      </w:r>
      <w:r>
        <w:rPr>
          <w:rFonts w:hint="eastAsia" w:ascii="宋体" w:hAnsi="宋体" w:cs="宋体"/>
          <w:snapToGrid w:val="0"/>
          <w:color w:val="auto"/>
          <w:kern w:val="0"/>
          <w:sz w:val="24"/>
          <w:szCs w:val="24"/>
          <w:highlight w:val="none"/>
          <w:lang w:val="en-US" w:eastAsia="zh-CN" w:bidi="ar"/>
        </w:rPr>
        <w:t>采购</w:t>
      </w:r>
      <w:r>
        <w:rPr>
          <w:rFonts w:hint="eastAsia" w:ascii="宋体" w:hAnsi="宋体" w:cs="宋体"/>
          <w:snapToGrid w:val="0"/>
          <w:color w:val="auto"/>
          <w:kern w:val="0"/>
          <w:sz w:val="24"/>
          <w:szCs w:val="24"/>
          <w:highlight w:val="none"/>
          <w:lang w:bidi="ar"/>
        </w:rPr>
        <w:t>人完成本工程</w:t>
      </w:r>
      <w:r>
        <w:rPr>
          <w:rFonts w:hint="eastAsia" w:ascii="宋体" w:hAnsi="宋体" w:cs="宋体"/>
          <w:snapToGrid w:val="0"/>
          <w:color w:val="auto"/>
          <w:kern w:val="0"/>
          <w:sz w:val="24"/>
          <w:szCs w:val="24"/>
          <w:highlight w:val="none"/>
          <w:lang w:eastAsia="zh-CN" w:bidi="ar"/>
        </w:rPr>
        <w:t>疏浚</w:t>
      </w:r>
      <w:r>
        <w:rPr>
          <w:rFonts w:hint="eastAsia" w:ascii="宋体" w:hAnsi="宋体" w:cs="宋体"/>
          <w:snapToGrid w:val="0"/>
          <w:color w:val="auto"/>
          <w:kern w:val="0"/>
          <w:sz w:val="24"/>
          <w:szCs w:val="24"/>
          <w:highlight w:val="none"/>
          <w:lang w:bidi="ar"/>
        </w:rPr>
        <w:t>工程交工验收。</w:t>
      </w:r>
    </w:p>
    <w:p w14:paraId="55B9C320">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四、商务要求</w:t>
      </w:r>
    </w:p>
    <w:p w14:paraId="6E4876E6">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（一）报价要求</w:t>
      </w:r>
    </w:p>
    <w:p w14:paraId="7577ACAD">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投标报价为完成采购人指定服务全部内容的报价，必须包含：履行合同的最终价格，包括了供应商完成本项目所需的一切工作内容而发生的所有直接费用、间接费用、其他费用、税金等全部费用和供应商要求获得的利润以及应由供应商承担的义务、责任和风险所发生的一切费用。</w:t>
      </w:r>
    </w:p>
    <w:p w14:paraId="2EAA7217">
      <w:pPr>
        <w:widowControl/>
        <w:spacing w:line="360" w:lineRule="auto"/>
        <w:ind w:firstLine="480" w:firstLineChars="200"/>
        <w:rPr>
          <w:rFonts w:hint="eastAsia" w:ascii="宋体" w:hAnsi="宋体" w:eastAsia="宋体" w:cs="宋体"/>
          <w:color w:val="auto"/>
          <w:sz w:val="24"/>
          <w:highlight w:val="none"/>
          <w:lang w:eastAsia="zh-CN" w:bidi="ar"/>
        </w:rPr>
      </w:pPr>
      <w:r>
        <w:rPr>
          <w:rFonts w:hint="eastAsia" w:ascii="宋体" w:hAnsi="宋体" w:cs="宋体"/>
          <w:color w:val="auto"/>
          <w:sz w:val="24"/>
          <w:highlight w:val="none"/>
          <w:lang w:bidi="ar"/>
        </w:rPr>
        <w:t>2.本次采购采用总价包干，投标报价已包含从前期踏勘、资料收集到最后验收（含审查验收）等全过程的所有费用，包含为完成</w:t>
      </w:r>
      <w:bookmarkStart w:id="37" w:name="OLE_LINK13"/>
      <w:r>
        <w:rPr>
          <w:rFonts w:hint="eastAsia" w:ascii="宋体" w:hAnsi="宋体" w:cs="宋体"/>
          <w:color w:val="auto"/>
          <w:sz w:val="24"/>
          <w:highlight w:val="none"/>
          <w:u w:val="single"/>
          <w:lang w:bidi="ar"/>
        </w:rPr>
        <w:t>北海港铁山港区1万至3万吨级锚地工程</w:t>
      </w:r>
      <w:r>
        <w:rPr>
          <w:rFonts w:hint="eastAsia" w:ascii="宋体" w:hAnsi="宋体" w:cs="宋体"/>
          <w:color w:val="auto"/>
          <w:sz w:val="24"/>
          <w:highlight w:val="none"/>
          <w:u w:val="single"/>
          <w:lang w:eastAsia="zh-CN" w:bidi="ar"/>
        </w:rPr>
        <w:t>交工验收测量</w:t>
      </w:r>
      <w:r>
        <w:rPr>
          <w:rFonts w:hint="eastAsia" w:ascii="宋体" w:hAnsi="宋体" w:cs="宋体"/>
          <w:color w:val="auto"/>
          <w:sz w:val="24"/>
          <w:highlight w:val="none"/>
          <w:u w:val="single"/>
          <w:lang w:bidi="ar"/>
        </w:rPr>
        <w:t>服务项目</w:t>
      </w:r>
      <w:r>
        <w:rPr>
          <w:rFonts w:hint="eastAsia" w:ascii="宋体" w:hAnsi="宋体" w:cs="宋体"/>
          <w:color w:val="auto"/>
          <w:sz w:val="24"/>
          <w:highlight w:val="none"/>
          <w:lang w:bidi="ar"/>
        </w:rPr>
        <w:t>的全部工作</w:t>
      </w:r>
      <w:bookmarkEnd w:id="37"/>
      <w:r>
        <w:rPr>
          <w:rFonts w:hint="eastAsia" w:ascii="宋体" w:hAnsi="宋体" w:cs="宋体"/>
          <w:color w:val="auto"/>
          <w:sz w:val="24"/>
          <w:highlight w:val="none"/>
          <w:lang w:bidi="ar"/>
        </w:rPr>
        <w:t>以及可能发生的各种费用。本项目合同总价在合同执行过程中固定不变，不因各种情况变化而调整。</w:t>
      </w:r>
      <w:r>
        <w:rPr>
          <w:rFonts w:hint="eastAsia" w:ascii="宋体" w:hAnsi="宋体" w:cs="宋体"/>
          <w:color w:val="auto"/>
          <w:sz w:val="24"/>
          <w:highlight w:val="none"/>
          <w:lang w:eastAsia="zh-CN" w:bidi="ar"/>
        </w:rPr>
        <w:t>为保证测量成果准确，中标供应商在测量作业时，测量面积可能超过</w:t>
      </w:r>
      <w:r>
        <w:rPr>
          <w:rFonts w:hint="eastAsia" w:ascii="宋体" w:hAnsi="宋体" w:cs="宋体"/>
          <w:bCs/>
          <w:color w:val="auto"/>
          <w:sz w:val="24"/>
          <w:highlight w:val="none"/>
        </w:rPr>
        <w:t>16.07平方公里</w:t>
      </w:r>
      <w:r>
        <w:rPr>
          <w:rFonts w:hint="eastAsia" w:ascii="宋体" w:hAnsi="宋体" w:cs="宋体"/>
          <w:bCs/>
          <w:color w:val="auto"/>
          <w:sz w:val="24"/>
          <w:highlight w:val="none"/>
          <w:lang w:eastAsia="zh-CN"/>
        </w:rPr>
        <w:t>，超过部分费用已包含在投标报价中，</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lang w:eastAsia="zh-CN"/>
        </w:rPr>
        <w:t>人不另行支付。</w:t>
      </w:r>
    </w:p>
    <w:p w14:paraId="5E444D5B">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（二）工期要求</w:t>
      </w:r>
    </w:p>
    <w:p w14:paraId="63A2F481">
      <w:pPr>
        <w:widowControl/>
        <w:spacing w:line="360" w:lineRule="auto"/>
        <w:ind w:firstLine="480" w:firstLineChars="200"/>
        <w:rPr>
          <w:rFonts w:ascii="宋体" w:hAnsi="宋体" w:cs="宋体"/>
          <w:color w:val="auto"/>
          <w:sz w:val="24"/>
          <w:highlight w:val="none"/>
          <w:lang w:bidi="ar"/>
        </w:rPr>
      </w:pPr>
      <w:r>
        <w:rPr>
          <w:rFonts w:hint="eastAsia" w:ascii="宋体" w:hAnsi="宋体" w:cs="宋体"/>
          <w:bCs/>
          <w:color w:val="auto"/>
          <w:sz w:val="24"/>
          <w:highlight w:val="none"/>
        </w:rPr>
        <w:t>总工期：20个日历天内完成测量外业及内业工作并提交测量成果文件，具体开始时间由采购人另行通知</w:t>
      </w:r>
      <w:r>
        <w:rPr>
          <w:rFonts w:hint="eastAsia" w:ascii="宋体" w:hAnsi="宋体" w:cs="宋体"/>
          <w:color w:val="auto"/>
          <w:sz w:val="24"/>
          <w:highlight w:val="none"/>
          <w:lang w:bidi="ar"/>
        </w:rPr>
        <w:t>。</w:t>
      </w:r>
    </w:p>
    <w:p w14:paraId="0FDE7582">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（三）成果交付要求</w:t>
      </w:r>
    </w:p>
    <w:p w14:paraId="47C274EA">
      <w:pPr>
        <w:widowControl/>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1.按海事和航海保障中心等部门的相关要求，提交合格的材料，完成办理涉水工程通航安全技术参数备案、锚地对外公布、海图发布等工作。</w:t>
      </w:r>
    </w:p>
    <w:p w14:paraId="0819357D">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cs="宋体"/>
          <w:color w:val="auto"/>
          <w:sz w:val="24"/>
          <w:highlight w:val="none"/>
          <w:lang w:bidi="ar"/>
        </w:rPr>
        <w:t>供应商按照现行《水运工程测量规范》等国家和行业的标准规范的规定，提交所测绘的</w:t>
      </w:r>
      <w:r>
        <w:rPr>
          <w:rFonts w:hint="eastAsia" w:ascii="宋体" w:hAnsi="宋体" w:cs="宋体"/>
          <w:color w:val="auto"/>
          <w:sz w:val="24"/>
          <w:highlight w:val="none"/>
          <w:lang w:eastAsia="zh-CN" w:bidi="ar"/>
        </w:rPr>
        <w:t>交工验收测量</w:t>
      </w:r>
      <w:r>
        <w:rPr>
          <w:rFonts w:hint="eastAsia" w:ascii="宋体" w:hAnsi="宋体" w:cs="宋体"/>
          <w:color w:val="auto"/>
          <w:sz w:val="24"/>
          <w:highlight w:val="none"/>
          <w:lang w:bidi="ar"/>
        </w:rPr>
        <w:t>等图纸、测量工作技术报告</w:t>
      </w:r>
      <w:r>
        <w:rPr>
          <w:rFonts w:hint="eastAsia" w:ascii="宋体" w:hAnsi="宋体" w:cs="宋体"/>
          <w:color w:val="auto"/>
          <w:sz w:val="24"/>
          <w:highlight w:val="none"/>
          <w:lang w:eastAsia="zh-CN" w:bidi="ar"/>
        </w:rPr>
        <w:t>、</w:t>
      </w:r>
      <w:r>
        <w:rPr>
          <w:rFonts w:hint="eastAsia" w:ascii="宋体" w:hAnsi="宋体" w:cs="宋体"/>
          <w:snapToGrid w:val="0"/>
          <w:color w:val="auto"/>
          <w:kern w:val="0"/>
          <w:sz w:val="24"/>
          <w:highlight w:val="none"/>
          <w:lang w:bidi="ar"/>
        </w:rPr>
        <w:t>交工验收质量检测报告</w:t>
      </w:r>
      <w:r>
        <w:rPr>
          <w:rFonts w:hint="eastAsia" w:ascii="宋体" w:hAnsi="宋体" w:cs="宋体"/>
          <w:color w:val="auto"/>
          <w:sz w:val="24"/>
          <w:highlight w:val="none"/>
          <w:lang w:bidi="ar"/>
        </w:rPr>
        <w:t>等</w:t>
      </w:r>
      <w:r>
        <w:rPr>
          <w:rFonts w:hint="eastAsia" w:ascii="宋体" w:hAnsi="宋体" w:cs="宋体"/>
          <w:color w:val="auto"/>
          <w:sz w:val="24"/>
          <w:highlight w:val="none"/>
          <w:lang w:eastAsia="zh-CN" w:bidi="ar"/>
        </w:rPr>
        <w:t>纸质版及电子版</w:t>
      </w:r>
      <w:r>
        <w:rPr>
          <w:rFonts w:hint="eastAsia" w:ascii="宋体" w:hAnsi="宋体" w:cs="宋体"/>
          <w:color w:val="auto"/>
          <w:sz w:val="24"/>
          <w:highlight w:val="none"/>
          <w:lang w:bidi="ar"/>
        </w:rPr>
        <w:t>测量成果。</w:t>
      </w:r>
    </w:p>
    <w:p w14:paraId="07DCFFAD">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提供成果份数：</w:t>
      </w:r>
    </w:p>
    <w:p w14:paraId="37935389">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1.</w:t>
      </w:r>
      <w:r>
        <w:rPr>
          <w:rFonts w:hint="eastAsia" w:ascii="宋体" w:hAnsi="宋体" w:cs="宋体"/>
          <w:b/>
          <w:bCs/>
          <w:color w:val="auto"/>
          <w:sz w:val="24"/>
          <w:highlight w:val="none"/>
          <w:lang w:eastAsia="zh-CN" w:bidi="ar"/>
        </w:rPr>
        <w:t>根据评审需要，按</w:t>
      </w:r>
      <w:r>
        <w:rPr>
          <w:rFonts w:hint="eastAsia" w:ascii="宋体" w:hAnsi="宋体" w:cs="宋体"/>
          <w:b/>
          <w:bCs/>
          <w:color w:val="auto"/>
          <w:sz w:val="24"/>
          <w:highlight w:val="none"/>
          <w:lang w:val="en-US" w:eastAsia="zh-CN" w:bidi="ar"/>
        </w:rPr>
        <w:t>采购</w:t>
      </w:r>
      <w:r>
        <w:rPr>
          <w:rFonts w:hint="eastAsia" w:ascii="宋体" w:hAnsi="宋体" w:cs="宋体"/>
          <w:b/>
          <w:bCs/>
          <w:color w:val="auto"/>
          <w:sz w:val="24"/>
          <w:highlight w:val="none"/>
          <w:lang w:eastAsia="zh-CN" w:bidi="ar"/>
        </w:rPr>
        <w:t>人要求的份数</w:t>
      </w:r>
      <w:r>
        <w:rPr>
          <w:rFonts w:hint="eastAsia" w:ascii="宋体" w:hAnsi="宋体" w:cs="宋体"/>
          <w:b/>
          <w:bCs/>
          <w:color w:val="auto"/>
          <w:sz w:val="24"/>
          <w:highlight w:val="none"/>
          <w:lang w:bidi="ar"/>
        </w:rPr>
        <w:t>提交符合要求的成果报告送审稿。</w:t>
      </w:r>
    </w:p>
    <w:p w14:paraId="1F3CF8AD">
      <w:pPr>
        <w:widowControl/>
        <w:spacing w:line="360" w:lineRule="auto"/>
        <w:ind w:firstLine="482" w:firstLineChars="200"/>
        <w:rPr>
          <w:rFonts w:hint="eastAsia" w:ascii="宋体" w:hAnsi="宋体" w:cs="宋体"/>
          <w:b/>
          <w:bCs/>
          <w:color w:val="auto"/>
          <w:sz w:val="24"/>
          <w:highlight w:val="none"/>
          <w:lang w:bidi="ar"/>
        </w:rPr>
      </w:pPr>
      <w:r>
        <w:rPr>
          <w:rFonts w:hint="eastAsia" w:ascii="宋体" w:hAnsi="宋体" w:cs="宋体"/>
          <w:b/>
          <w:bCs/>
          <w:color w:val="auto"/>
          <w:sz w:val="24"/>
          <w:highlight w:val="none"/>
          <w:lang w:bidi="ar"/>
        </w:rPr>
        <w:t>2.</w:t>
      </w:r>
      <w:r>
        <w:rPr>
          <w:rFonts w:hint="eastAsia" w:ascii="宋体" w:hAnsi="宋体" w:cs="宋体"/>
          <w:b/>
          <w:bCs/>
          <w:color w:val="auto"/>
          <w:sz w:val="24"/>
          <w:highlight w:val="none"/>
          <w:lang w:eastAsia="zh-CN" w:bidi="ar"/>
        </w:rPr>
        <w:t>按评审要求</w:t>
      </w:r>
      <w:r>
        <w:rPr>
          <w:rFonts w:hint="eastAsia" w:ascii="宋体" w:hAnsi="宋体" w:cs="宋体"/>
          <w:b/>
          <w:bCs/>
          <w:color w:val="auto"/>
          <w:sz w:val="24"/>
          <w:highlight w:val="none"/>
          <w:lang w:bidi="ar"/>
        </w:rPr>
        <w:t>修改完善后</w:t>
      </w:r>
      <w:r>
        <w:rPr>
          <w:rFonts w:hint="eastAsia" w:ascii="宋体" w:hAnsi="宋体" w:cs="宋体"/>
          <w:b/>
          <w:bCs/>
          <w:color w:val="auto"/>
          <w:sz w:val="24"/>
          <w:highlight w:val="none"/>
          <w:lang w:eastAsia="zh-CN" w:bidi="ar"/>
        </w:rPr>
        <w:t>提交含（但不限于）下表资料：其中</w:t>
      </w:r>
      <w:r>
        <w:rPr>
          <w:rFonts w:hint="eastAsia" w:ascii="宋体" w:hAnsi="宋体" w:cs="宋体"/>
          <w:b/>
          <w:bCs/>
          <w:color w:val="auto"/>
          <w:sz w:val="24"/>
          <w:highlight w:val="none"/>
          <w:lang w:bidi="ar"/>
        </w:rPr>
        <w:t>所有最终成果电子文件数据U盘2个，包括可编辑文档、CAD格式数据和按要求签章的PDF成果文件等。</w:t>
      </w:r>
    </w:p>
    <w:p w14:paraId="694B69A9">
      <w:pPr>
        <w:pStyle w:val="46"/>
        <w:widowControl/>
        <w:spacing w:line="300" w:lineRule="auto"/>
        <w:jc w:val="center"/>
        <w:rPr>
          <w:rFonts w:ascii="宋体" w:hAnsi="宋体"/>
          <w:color w:val="auto"/>
          <w:sz w:val="24"/>
          <w:szCs w:val="24"/>
          <w:highlight w:val="none"/>
        </w:rPr>
      </w:pPr>
      <w:r>
        <w:rPr>
          <w:rFonts w:hint="eastAsia" w:ascii="宋体" w:hAnsi="宋体"/>
          <w:color w:val="auto"/>
          <w:sz w:val="24"/>
          <w:szCs w:val="24"/>
          <w:highlight w:val="none"/>
        </w:rPr>
        <w:t>需提交测量成果资料表</w:t>
      </w:r>
    </w:p>
    <w:tbl>
      <w:tblPr>
        <w:tblStyle w:val="26"/>
        <w:tblW w:w="477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4"/>
        <w:gridCol w:w="3839"/>
        <w:gridCol w:w="851"/>
        <w:gridCol w:w="3333"/>
      </w:tblGrid>
      <w:tr w14:paraId="0FDC10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63A3EDDD">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188" w:type="pct"/>
            <w:tcBorders>
              <w:top w:val="single" w:color="auto" w:sz="4" w:space="0"/>
              <w:left w:val="single" w:color="auto" w:sz="4" w:space="0"/>
              <w:bottom w:val="single" w:color="auto" w:sz="4" w:space="0"/>
              <w:right w:val="single" w:color="auto" w:sz="4" w:space="0"/>
            </w:tcBorders>
            <w:vAlign w:val="center"/>
          </w:tcPr>
          <w:p w14:paraId="38394851">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成果资料名称</w:t>
            </w:r>
          </w:p>
        </w:tc>
        <w:tc>
          <w:tcPr>
            <w:tcW w:w="485" w:type="pct"/>
            <w:tcBorders>
              <w:top w:val="single" w:color="auto" w:sz="4" w:space="0"/>
              <w:left w:val="single" w:color="auto" w:sz="4" w:space="0"/>
              <w:bottom w:val="single" w:color="auto" w:sz="4" w:space="0"/>
              <w:right w:val="single" w:color="auto" w:sz="4" w:space="0"/>
            </w:tcBorders>
            <w:vAlign w:val="center"/>
          </w:tcPr>
          <w:p w14:paraId="70A8ECE9">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1900" w:type="pct"/>
            <w:tcBorders>
              <w:top w:val="single" w:color="auto" w:sz="4" w:space="0"/>
              <w:left w:val="single" w:color="auto" w:sz="4" w:space="0"/>
              <w:bottom w:val="single" w:color="auto" w:sz="4" w:space="0"/>
              <w:right w:val="single" w:color="auto" w:sz="4" w:space="0"/>
            </w:tcBorders>
            <w:vAlign w:val="center"/>
          </w:tcPr>
          <w:p w14:paraId="430F7FDC">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  注</w:t>
            </w:r>
          </w:p>
        </w:tc>
      </w:tr>
      <w:tr w14:paraId="6AB84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1BB926E8">
            <w:pPr>
              <w:pStyle w:val="46"/>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w:t>
            </w:r>
          </w:p>
        </w:tc>
        <w:tc>
          <w:tcPr>
            <w:tcW w:w="2188" w:type="pct"/>
            <w:tcBorders>
              <w:top w:val="single" w:color="auto" w:sz="4" w:space="0"/>
              <w:left w:val="single" w:color="auto" w:sz="4" w:space="0"/>
              <w:bottom w:val="single" w:color="auto" w:sz="4" w:space="0"/>
              <w:right w:val="single" w:color="auto" w:sz="4" w:space="0"/>
            </w:tcBorders>
            <w:vAlign w:val="center"/>
          </w:tcPr>
          <w:p w14:paraId="55A982C1">
            <w:pPr>
              <w:pStyle w:val="46"/>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1:500高程地形图图纸（蓝晒图）</w:t>
            </w:r>
          </w:p>
        </w:tc>
        <w:tc>
          <w:tcPr>
            <w:tcW w:w="485" w:type="pct"/>
            <w:tcBorders>
              <w:top w:val="single" w:color="auto" w:sz="4" w:space="0"/>
              <w:left w:val="single" w:color="auto" w:sz="4" w:space="0"/>
              <w:bottom w:val="single" w:color="auto" w:sz="4" w:space="0"/>
              <w:right w:val="single" w:color="auto" w:sz="4" w:space="0"/>
            </w:tcBorders>
            <w:vAlign w:val="center"/>
          </w:tcPr>
          <w:p w14:paraId="2174085E">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900" w:type="pct"/>
            <w:tcBorders>
              <w:top w:val="single" w:color="auto" w:sz="4" w:space="0"/>
              <w:left w:val="single" w:color="auto" w:sz="4" w:space="0"/>
              <w:bottom w:val="single" w:color="auto" w:sz="4" w:space="0"/>
              <w:right w:val="single" w:color="auto" w:sz="4" w:space="0"/>
            </w:tcBorders>
            <w:vAlign w:val="center"/>
          </w:tcPr>
          <w:p w14:paraId="35968543">
            <w:pPr>
              <w:pStyle w:val="46"/>
              <w:widowControl/>
              <w:jc w:val="left"/>
              <w:rPr>
                <w:rFonts w:hint="eastAsia" w:ascii="宋体" w:hAnsi="宋体" w:eastAsia="宋体" w:cs="宋体"/>
                <w:color w:val="auto"/>
                <w:kern w:val="0"/>
                <w:sz w:val="24"/>
                <w:szCs w:val="24"/>
                <w:highlight w:val="none"/>
                <w:lang w:eastAsia="zh-CN"/>
              </w:rPr>
            </w:pPr>
            <w:r>
              <w:rPr>
                <w:rFonts w:hint="eastAsia" w:ascii="宋体" w:hAnsi="宋体" w:cs="宋体"/>
                <w:snapToGrid w:val="0"/>
                <w:color w:val="auto"/>
                <w:kern w:val="0"/>
                <w:sz w:val="24"/>
                <w:szCs w:val="24"/>
                <w:highlight w:val="none"/>
              </w:rPr>
              <w:t>2000国家大地坐标系、</w:t>
            </w:r>
            <w:r>
              <w:rPr>
                <w:rFonts w:hint="eastAsia" w:ascii="宋体" w:hAnsi="宋体" w:cs="宋体"/>
                <w:color w:val="auto"/>
                <w:kern w:val="0"/>
                <w:sz w:val="24"/>
                <w:szCs w:val="24"/>
                <w:highlight w:val="none"/>
              </w:rPr>
              <w:t>高程成图</w:t>
            </w:r>
            <w:r>
              <w:rPr>
                <w:rFonts w:hint="eastAsia" w:ascii="宋体" w:hAnsi="宋体" w:cs="宋体"/>
                <w:color w:val="auto"/>
                <w:kern w:val="0"/>
                <w:sz w:val="24"/>
                <w:szCs w:val="24"/>
                <w:highlight w:val="none"/>
                <w:lang w:eastAsia="zh-CN"/>
              </w:rPr>
              <w:t>，需进行图幅分幅，出版1:500测图</w:t>
            </w:r>
          </w:p>
        </w:tc>
      </w:tr>
      <w:tr w14:paraId="21FB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6F93B493">
            <w:pPr>
              <w:pStyle w:val="46"/>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2188" w:type="pct"/>
            <w:tcBorders>
              <w:top w:val="single" w:color="auto" w:sz="4" w:space="0"/>
              <w:left w:val="single" w:color="auto" w:sz="4" w:space="0"/>
              <w:bottom w:val="single" w:color="auto" w:sz="4" w:space="0"/>
              <w:right w:val="single" w:color="auto" w:sz="4" w:space="0"/>
            </w:tcBorders>
            <w:vAlign w:val="center"/>
          </w:tcPr>
          <w:p w14:paraId="2FFBE299">
            <w:pPr>
              <w:pStyle w:val="46"/>
              <w:widowControl/>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交工验收质量检测报告</w:t>
            </w:r>
            <w:r>
              <w:rPr>
                <w:rFonts w:hint="eastAsia" w:ascii="宋体" w:hAnsi="宋体" w:cs="宋体"/>
                <w:color w:val="auto"/>
                <w:kern w:val="0"/>
                <w:sz w:val="24"/>
                <w:szCs w:val="24"/>
                <w:highlight w:val="none"/>
                <w:lang w:val="en-US" w:eastAsia="zh-CN"/>
              </w:rPr>
              <w:t>等报告</w:t>
            </w:r>
          </w:p>
        </w:tc>
        <w:tc>
          <w:tcPr>
            <w:tcW w:w="485" w:type="pct"/>
            <w:tcBorders>
              <w:top w:val="single" w:color="auto" w:sz="4" w:space="0"/>
              <w:left w:val="single" w:color="auto" w:sz="4" w:space="0"/>
              <w:bottom w:val="single" w:color="auto" w:sz="4" w:space="0"/>
              <w:right w:val="single" w:color="auto" w:sz="4" w:space="0"/>
            </w:tcBorders>
            <w:vAlign w:val="center"/>
          </w:tcPr>
          <w:p w14:paraId="5A234E0F">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1900" w:type="pct"/>
            <w:tcBorders>
              <w:top w:val="single" w:color="auto" w:sz="4" w:space="0"/>
              <w:left w:val="single" w:color="auto" w:sz="4" w:space="0"/>
              <w:bottom w:val="single" w:color="auto" w:sz="4" w:space="0"/>
              <w:right w:val="single" w:color="auto" w:sz="4" w:space="0"/>
            </w:tcBorders>
            <w:vAlign w:val="center"/>
          </w:tcPr>
          <w:p w14:paraId="23FA6542">
            <w:pPr>
              <w:pStyle w:val="46"/>
              <w:widowControl/>
              <w:jc w:val="left"/>
              <w:rPr>
                <w:rFonts w:ascii="宋体" w:hAnsi="宋体" w:cs="宋体"/>
                <w:color w:val="auto"/>
                <w:kern w:val="0"/>
                <w:sz w:val="24"/>
                <w:szCs w:val="24"/>
                <w:highlight w:val="none"/>
              </w:rPr>
            </w:pPr>
          </w:p>
        </w:tc>
      </w:tr>
      <w:tr w14:paraId="6892C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1AED8462">
            <w:pPr>
              <w:pStyle w:val="46"/>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2188" w:type="pct"/>
            <w:tcBorders>
              <w:top w:val="single" w:color="auto" w:sz="4" w:space="0"/>
              <w:left w:val="single" w:color="auto" w:sz="4" w:space="0"/>
              <w:bottom w:val="single" w:color="auto" w:sz="4" w:space="0"/>
              <w:right w:val="single" w:color="auto" w:sz="4" w:space="0"/>
            </w:tcBorders>
            <w:vAlign w:val="center"/>
          </w:tcPr>
          <w:p w14:paraId="11AD35D4">
            <w:pPr>
              <w:pStyle w:val="46"/>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测量技术设计书</w:t>
            </w:r>
          </w:p>
        </w:tc>
        <w:tc>
          <w:tcPr>
            <w:tcW w:w="485" w:type="pct"/>
            <w:tcBorders>
              <w:top w:val="single" w:color="auto" w:sz="4" w:space="0"/>
              <w:left w:val="single" w:color="auto" w:sz="4" w:space="0"/>
              <w:bottom w:val="single" w:color="auto" w:sz="4" w:space="0"/>
              <w:right w:val="single" w:color="auto" w:sz="4" w:space="0"/>
            </w:tcBorders>
            <w:vAlign w:val="center"/>
          </w:tcPr>
          <w:p w14:paraId="03F54092">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900" w:type="pct"/>
            <w:tcBorders>
              <w:top w:val="single" w:color="auto" w:sz="4" w:space="0"/>
              <w:left w:val="single" w:color="auto" w:sz="4" w:space="0"/>
              <w:bottom w:val="single" w:color="auto" w:sz="4" w:space="0"/>
              <w:right w:val="single" w:color="auto" w:sz="4" w:space="0"/>
            </w:tcBorders>
            <w:vAlign w:val="center"/>
          </w:tcPr>
          <w:p w14:paraId="2DB36F8A">
            <w:pPr>
              <w:pStyle w:val="46"/>
              <w:widowControl/>
              <w:jc w:val="left"/>
              <w:rPr>
                <w:rFonts w:ascii="宋体" w:hAnsi="宋体" w:cs="宋体"/>
                <w:color w:val="auto"/>
                <w:kern w:val="0"/>
                <w:sz w:val="24"/>
                <w:szCs w:val="24"/>
                <w:highlight w:val="none"/>
              </w:rPr>
            </w:pPr>
          </w:p>
        </w:tc>
      </w:tr>
      <w:tr w14:paraId="4045B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7B49D629">
            <w:pPr>
              <w:pStyle w:val="46"/>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2188" w:type="pct"/>
            <w:tcBorders>
              <w:top w:val="single" w:color="auto" w:sz="4" w:space="0"/>
              <w:left w:val="single" w:color="auto" w:sz="4" w:space="0"/>
              <w:bottom w:val="single" w:color="auto" w:sz="4" w:space="0"/>
              <w:right w:val="single" w:color="auto" w:sz="4" w:space="0"/>
            </w:tcBorders>
            <w:vAlign w:val="center"/>
          </w:tcPr>
          <w:p w14:paraId="30F8C502">
            <w:pPr>
              <w:pStyle w:val="46"/>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质</w:t>
            </w:r>
            <w:r>
              <w:rPr>
                <w:rFonts w:hint="eastAsia" w:ascii="宋体" w:hAnsi="宋体" w:cs="宋体"/>
                <w:color w:val="auto"/>
                <w:kern w:val="0"/>
                <w:sz w:val="24"/>
                <w:szCs w:val="24"/>
                <w:highlight w:val="none"/>
              </w:rPr>
              <w:t>量监督机构</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海事部门、航海保障中心等部门</w:t>
            </w:r>
            <w:r>
              <w:rPr>
                <w:rFonts w:hint="eastAsia" w:ascii="宋体" w:hAnsi="宋体" w:cs="宋体"/>
                <w:color w:val="auto"/>
                <w:kern w:val="0"/>
                <w:sz w:val="24"/>
                <w:szCs w:val="24"/>
                <w:highlight w:val="none"/>
              </w:rPr>
              <w:t>要求的其他资料（如有）</w:t>
            </w:r>
          </w:p>
        </w:tc>
        <w:tc>
          <w:tcPr>
            <w:tcW w:w="485" w:type="pct"/>
            <w:tcBorders>
              <w:top w:val="single" w:color="auto" w:sz="4" w:space="0"/>
              <w:left w:val="single" w:color="auto" w:sz="4" w:space="0"/>
              <w:bottom w:val="single" w:color="auto" w:sz="4" w:space="0"/>
              <w:right w:val="single" w:color="auto" w:sz="4" w:space="0"/>
            </w:tcBorders>
            <w:vAlign w:val="center"/>
          </w:tcPr>
          <w:p w14:paraId="71DD5D59">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1900" w:type="pct"/>
            <w:tcBorders>
              <w:top w:val="single" w:color="auto" w:sz="4" w:space="0"/>
              <w:left w:val="single" w:color="auto" w:sz="4" w:space="0"/>
              <w:bottom w:val="single" w:color="auto" w:sz="4" w:space="0"/>
              <w:right w:val="single" w:color="auto" w:sz="4" w:space="0"/>
            </w:tcBorders>
            <w:vAlign w:val="center"/>
          </w:tcPr>
          <w:p w14:paraId="2608DA9F">
            <w:pPr>
              <w:pStyle w:val="46"/>
              <w:widowControl/>
              <w:jc w:val="left"/>
              <w:rPr>
                <w:rFonts w:ascii="宋体" w:hAnsi="宋体" w:cs="宋体"/>
                <w:color w:val="auto"/>
                <w:kern w:val="0"/>
                <w:sz w:val="24"/>
                <w:szCs w:val="24"/>
                <w:highlight w:val="none"/>
              </w:rPr>
            </w:pPr>
          </w:p>
        </w:tc>
      </w:tr>
      <w:tr w14:paraId="6614E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71BB4163">
            <w:pPr>
              <w:pStyle w:val="46"/>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2188" w:type="pct"/>
            <w:tcBorders>
              <w:top w:val="single" w:color="auto" w:sz="4" w:space="0"/>
              <w:left w:val="single" w:color="auto" w:sz="4" w:space="0"/>
              <w:bottom w:val="single" w:color="auto" w:sz="4" w:space="0"/>
              <w:right w:val="single" w:color="auto" w:sz="4" w:space="0"/>
            </w:tcBorders>
            <w:vAlign w:val="center"/>
          </w:tcPr>
          <w:p w14:paraId="638A7A8A">
            <w:pPr>
              <w:pStyle w:val="46"/>
              <w:widowControl/>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地形图及成果资料电子</w:t>
            </w:r>
            <w:r>
              <w:rPr>
                <w:rFonts w:hint="eastAsia" w:ascii="宋体" w:hAnsi="宋体" w:cs="宋体"/>
                <w:color w:val="auto"/>
                <w:kern w:val="0"/>
                <w:sz w:val="24"/>
                <w:szCs w:val="24"/>
                <w:highlight w:val="none"/>
                <w:lang w:eastAsia="zh-CN"/>
              </w:rPr>
              <w:t>文件</w:t>
            </w:r>
          </w:p>
        </w:tc>
        <w:tc>
          <w:tcPr>
            <w:tcW w:w="485" w:type="pct"/>
            <w:tcBorders>
              <w:top w:val="single" w:color="auto" w:sz="4" w:space="0"/>
              <w:left w:val="single" w:color="auto" w:sz="4" w:space="0"/>
              <w:bottom w:val="single" w:color="auto" w:sz="4" w:space="0"/>
              <w:right w:val="single" w:color="auto" w:sz="4" w:space="0"/>
            </w:tcBorders>
            <w:vAlign w:val="center"/>
          </w:tcPr>
          <w:p w14:paraId="1D0CED26">
            <w:pPr>
              <w:pStyle w:val="46"/>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900" w:type="pct"/>
            <w:tcBorders>
              <w:top w:val="single" w:color="auto" w:sz="4" w:space="0"/>
              <w:left w:val="single" w:color="auto" w:sz="4" w:space="0"/>
              <w:bottom w:val="single" w:color="auto" w:sz="4" w:space="0"/>
              <w:right w:val="single" w:color="auto" w:sz="4" w:space="0"/>
            </w:tcBorders>
            <w:vAlign w:val="center"/>
          </w:tcPr>
          <w:p w14:paraId="4C3451DE">
            <w:pPr>
              <w:pStyle w:val="46"/>
              <w:widowControl/>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可编制文件</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U盘形式</w:t>
            </w:r>
          </w:p>
        </w:tc>
      </w:tr>
    </w:tbl>
    <w:p w14:paraId="7DCA1795">
      <w:pPr>
        <w:pStyle w:val="46"/>
        <w:spacing w:before="240" w:line="360" w:lineRule="auto"/>
        <w:ind w:left="420" w:leftChars="200"/>
        <w:rPr>
          <w:rFonts w:ascii="宋体" w:hAnsi="宋体"/>
          <w:color w:val="auto"/>
          <w:sz w:val="24"/>
          <w:szCs w:val="24"/>
          <w:highlight w:val="none"/>
        </w:rPr>
      </w:pPr>
      <w:r>
        <w:rPr>
          <w:rFonts w:hint="eastAsia" w:ascii="宋体" w:hAnsi="宋体" w:cs="宋体"/>
          <w:b/>
          <w:color w:val="auto"/>
          <w:kern w:val="0"/>
          <w:sz w:val="24"/>
          <w:szCs w:val="24"/>
          <w:highlight w:val="none"/>
        </w:rPr>
        <w:t>以上成果资料应符合有关规范要求和满足质量监督机构要求，并经验收合格。</w:t>
      </w:r>
    </w:p>
    <w:p w14:paraId="4FE16DFE">
      <w:pPr>
        <w:pStyle w:val="46"/>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1"/>
          <w:highlight w:val="none"/>
        </w:rPr>
        <w:t>其他未尽要求按照《工程测量通用规范》（GB</w:t>
      </w:r>
      <w:r>
        <w:rPr>
          <w:rFonts w:ascii="宋体" w:hAnsi="宋体"/>
          <w:color w:val="auto"/>
          <w:kern w:val="0"/>
          <w:sz w:val="24"/>
          <w:szCs w:val="21"/>
          <w:highlight w:val="none"/>
        </w:rPr>
        <w:t xml:space="preserve"> 55018-2021</w:t>
      </w:r>
      <w:r>
        <w:rPr>
          <w:rFonts w:hint="eastAsia" w:ascii="宋体" w:hAnsi="宋体"/>
          <w:color w:val="auto"/>
          <w:kern w:val="0"/>
          <w:sz w:val="24"/>
          <w:szCs w:val="21"/>
          <w:highlight w:val="none"/>
        </w:rPr>
        <w:t>）、《工程测量标准》（GB</w:t>
      </w:r>
      <w:r>
        <w:rPr>
          <w:rFonts w:ascii="宋体" w:hAnsi="宋体"/>
          <w:color w:val="auto"/>
          <w:kern w:val="0"/>
          <w:sz w:val="24"/>
          <w:szCs w:val="21"/>
          <w:highlight w:val="none"/>
        </w:rPr>
        <w:t xml:space="preserve"> 50026-2020</w:t>
      </w:r>
      <w:r>
        <w:rPr>
          <w:rFonts w:hint="eastAsia" w:ascii="宋体" w:hAnsi="宋体"/>
          <w:color w:val="auto"/>
          <w:kern w:val="0"/>
          <w:sz w:val="24"/>
          <w:szCs w:val="21"/>
          <w:highlight w:val="none"/>
        </w:rPr>
        <w:t>）和《水运工程测量规范》（JTS131-2012）等执行，并且工程测量成果应能完全满足设计需求。</w:t>
      </w:r>
    </w:p>
    <w:p w14:paraId="60AE0516">
      <w:pPr>
        <w:pStyle w:val="4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保密要求：本项目须严格遵守《中华人民共和国测绘法》、《中华人民共和国测绘成果管理条例》和国家保密法律法规的规定，切实做好涉密测绘成果的保密工作。</w:t>
      </w:r>
    </w:p>
    <w:p w14:paraId="1710097D">
      <w:pPr>
        <w:pStyle w:val="30"/>
        <w:rPr>
          <w:color w:val="auto"/>
          <w:highlight w:val="none"/>
        </w:rPr>
      </w:pPr>
    </w:p>
    <w:p w14:paraId="1C637890">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（四）付款方式</w:t>
      </w:r>
    </w:p>
    <w:p w14:paraId="49DDFF66">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1.合同签订后，由中标供应商提交</w:t>
      </w:r>
      <w:r>
        <w:rPr>
          <w:rFonts w:hint="eastAsia" w:ascii="宋体" w:hAnsi="宋体" w:cs="宋体"/>
          <w:color w:val="auto"/>
          <w:sz w:val="24"/>
          <w:highlight w:val="none"/>
          <w:lang w:eastAsia="zh-CN" w:bidi="ar"/>
        </w:rPr>
        <w:t>第一次付</w:t>
      </w:r>
      <w:r>
        <w:rPr>
          <w:rFonts w:hint="eastAsia" w:ascii="宋体" w:hAnsi="宋体" w:cs="宋体"/>
          <w:color w:val="auto"/>
          <w:sz w:val="24"/>
          <w:highlight w:val="none"/>
          <w:lang w:bidi="ar"/>
        </w:rPr>
        <w:t>款支付申请，</w:t>
      </w:r>
      <w:r>
        <w:rPr>
          <w:rFonts w:hint="eastAsia" w:ascii="宋体" w:hAnsi="宋体" w:cs="宋体"/>
          <w:color w:val="auto"/>
          <w:sz w:val="24"/>
          <w:highlight w:val="none"/>
          <w:lang w:val="en-US" w:eastAsia="zh-CN" w:bidi="ar"/>
        </w:rPr>
        <w:t>采购</w:t>
      </w:r>
      <w:r>
        <w:rPr>
          <w:rFonts w:hint="eastAsia" w:ascii="宋体" w:hAnsi="宋体" w:cs="宋体"/>
          <w:color w:val="auto"/>
          <w:sz w:val="24"/>
          <w:highlight w:val="none"/>
          <w:lang w:bidi="ar"/>
        </w:rPr>
        <w:t>人收到</w:t>
      </w:r>
      <w:r>
        <w:rPr>
          <w:rFonts w:hint="eastAsia" w:ascii="宋体" w:hAnsi="宋体" w:cs="宋体"/>
          <w:color w:val="auto"/>
          <w:sz w:val="24"/>
          <w:highlight w:val="none"/>
          <w:lang w:eastAsia="zh-CN" w:bidi="ar"/>
        </w:rPr>
        <w:t>第一次付</w:t>
      </w:r>
      <w:r>
        <w:rPr>
          <w:rFonts w:hint="eastAsia" w:ascii="宋体" w:hAnsi="宋体" w:cs="宋体"/>
          <w:color w:val="auto"/>
          <w:sz w:val="24"/>
          <w:highlight w:val="none"/>
          <w:lang w:bidi="ar"/>
        </w:rPr>
        <w:t>款支付申请后10个工作日内，向中标供应商支付本合同价的</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w:t>
      </w:r>
      <w:r>
        <w:rPr>
          <w:rFonts w:hint="eastAsia" w:ascii="宋体" w:hAnsi="宋体" w:cs="宋体"/>
          <w:color w:val="auto"/>
          <w:sz w:val="24"/>
          <w:highlight w:val="none"/>
          <w:lang w:eastAsia="zh-CN" w:bidi="ar"/>
        </w:rPr>
        <w:t>合同</w:t>
      </w:r>
      <w:r>
        <w:rPr>
          <w:rFonts w:hint="eastAsia" w:ascii="宋体" w:hAnsi="宋体" w:cs="宋体"/>
          <w:color w:val="auto"/>
          <w:sz w:val="24"/>
          <w:highlight w:val="none"/>
          <w:lang w:bidi="ar"/>
        </w:rPr>
        <w:t>款；中标供应商</w:t>
      </w:r>
      <w:r>
        <w:rPr>
          <w:rFonts w:hint="eastAsia" w:ascii="宋体" w:hAnsi="宋体" w:cs="宋体"/>
          <w:color w:val="auto"/>
          <w:sz w:val="24"/>
          <w:szCs w:val="24"/>
          <w:highlight w:val="none"/>
          <w:lang w:bidi="ar"/>
        </w:rPr>
        <w:t>不得将该</w:t>
      </w:r>
      <w:r>
        <w:rPr>
          <w:rFonts w:hint="eastAsia" w:ascii="宋体" w:hAnsi="宋体" w:cs="宋体"/>
          <w:color w:val="auto"/>
          <w:sz w:val="24"/>
          <w:szCs w:val="24"/>
          <w:highlight w:val="none"/>
          <w:lang w:eastAsia="zh-CN" w:bidi="ar"/>
        </w:rPr>
        <w:t>款项</w:t>
      </w:r>
      <w:r>
        <w:rPr>
          <w:rFonts w:hint="eastAsia" w:ascii="宋体" w:hAnsi="宋体" w:cs="宋体"/>
          <w:color w:val="auto"/>
          <w:sz w:val="24"/>
          <w:szCs w:val="24"/>
          <w:highlight w:val="none"/>
          <w:lang w:bidi="ar"/>
        </w:rPr>
        <w:t>用于本项目无关的支出，监理工程师有权监督</w:t>
      </w:r>
      <w:r>
        <w:rPr>
          <w:rFonts w:hint="eastAsia" w:ascii="宋体" w:hAnsi="宋体" w:cs="宋体"/>
          <w:color w:val="auto"/>
          <w:sz w:val="24"/>
          <w:highlight w:val="none"/>
          <w:lang w:bidi="ar"/>
        </w:rPr>
        <w:t>中标供应商</w:t>
      </w:r>
      <w:r>
        <w:rPr>
          <w:rFonts w:hint="eastAsia" w:ascii="宋体" w:hAnsi="宋体" w:cs="宋体"/>
          <w:color w:val="auto"/>
          <w:sz w:val="24"/>
          <w:szCs w:val="24"/>
          <w:highlight w:val="none"/>
          <w:lang w:bidi="ar"/>
        </w:rPr>
        <w:t>对该项费用的使用，如经</w:t>
      </w:r>
      <w:r>
        <w:rPr>
          <w:rFonts w:hint="eastAsia" w:ascii="宋体" w:hAnsi="宋体" w:cs="宋体"/>
          <w:color w:val="auto"/>
          <w:sz w:val="24"/>
          <w:szCs w:val="24"/>
          <w:highlight w:val="none"/>
          <w:lang w:eastAsia="zh-CN" w:bidi="ar"/>
        </w:rPr>
        <w:t>核</w:t>
      </w:r>
      <w:r>
        <w:rPr>
          <w:rFonts w:hint="eastAsia" w:ascii="宋体" w:hAnsi="宋体" w:cs="宋体"/>
          <w:color w:val="auto"/>
          <w:sz w:val="24"/>
          <w:szCs w:val="24"/>
          <w:highlight w:val="none"/>
          <w:lang w:bidi="ar"/>
        </w:rPr>
        <w:t>实</w:t>
      </w:r>
      <w:r>
        <w:rPr>
          <w:rFonts w:hint="eastAsia" w:ascii="宋体" w:hAnsi="宋体" w:cs="宋体"/>
          <w:color w:val="auto"/>
          <w:sz w:val="24"/>
          <w:highlight w:val="none"/>
          <w:lang w:bidi="ar"/>
        </w:rPr>
        <w:t>中标供应商</w:t>
      </w:r>
      <w:r>
        <w:rPr>
          <w:rFonts w:hint="eastAsia" w:ascii="宋体" w:hAnsi="宋体" w:cs="宋体"/>
          <w:color w:val="auto"/>
          <w:sz w:val="24"/>
          <w:szCs w:val="24"/>
          <w:highlight w:val="none"/>
          <w:lang w:bidi="ar"/>
        </w:rPr>
        <w:t>滥用</w:t>
      </w:r>
      <w:r>
        <w:rPr>
          <w:rFonts w:hint="eastAsia" w:ascii="宋体" w:hAnsi="宋体" w:cs="宋体"/>
          <w:color w:val="auto"/>
          <w:sz w:val="24"/>
          <w:szCs w:val="24"/>
          <w:highlight w:val="none"/>
          <w:lang w:eastAsia="zh-CN" w:bidi="ar"/>
        </w:rPr>
        <w:t>该项费用</w:t>
      </w: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val="en-US" w:eastAsia="zh-CN" w:bidi="ar"/>
        </w:rPr>
        <w:t>采购</w:t>
      </w:r>
      <w:r>
        <w:rPr>
          <w:rFonts w:hint="eastAsia" w:ascii="宋体" w:hAnsi="宋体" w:cs="宋体"/>
          <w:color w:val="auto"/>
          <w:sz w:val="24"/>
          <w:szCs w:val="24"/>
          <w:highlight w:val="none"/>
          <w:lang w:bidi="ar"/>
        </w:rPr>
        <w:t>人有权立即将该款收回。</w:t>
      </w:r>
    </w:p>
    <w:p w14:paraId="3CB35C85">
      <w:pPr>
        <w:widowControl/>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2.中标供应商</w:t>
      </w:r>
      <w:r>
        <w:rPr>
          <w:rFonts w:hint="eastAsia" w:ascii="宋体" w:hAnsi="宋体" w:cs="宋体"/>
          <w:color w:val="auto"/>
          <w:sz w:val="24"/>
          <w:highlight w:val="none"/>
          <w:lang w:val="en-US" w:eastAsia="zh-CN" w:bidi="ar"/>
        </w:rPr>
        <w:t>完成</w:t>
      </w:r>
      <w:r>
        <w:rPr>
          <w:rFonts w:hint="eastAsia" w:ascii="宋体" w:hAnsi="宋体" w:cs="宋体"/>
          <w:bCs/>
          <w:color w:val="auto"/>
          <w:sz w:val="24"/>
          <w:highlight w:val="none"/>
        </w:rPr>
        <w:t>测量外业及内业工作</w:t>
      </w:r>
      <w:r>
        <w:rPr>
          <w:rFonts w:hint="eastAsia" w:ascii="宋体" w:hAnsi="宋体" w:cs="宋体"/>
          <w:bCs/>
          <w:color w:val="auto"/>
          <w:sz w:val="24"/>
          <w:highlight w:val="none"/>
          <w:lang w:val="en-US" w:eastAsia="zh-CN"/>
        </w:rPr>
        <w:t>后，</w:t>
      </w:r>
      <w:r>
        <w:rPr>
          <w:rFonts w:hint="eastAsia" w:ascii="宋体" w:hAnsi="宋体" w:cs="宋体"/>
          <w:color w:val="auto"/>
          <w:sz w:val="24"/>
          <w:highlight w:val="none"/>
          <w:lang w:bidi="ar"/>
        </w:rPr>
        <w:t>在提交经</w:t>
      </w:r>
      <w:r>
        <w:rPr>
          <w:rFonts w:hint="eastAsia" w:ascii="宋体" w:hAnsi="宋体" w:cs="宋体"/>
          <w:color w:val="auto"/>
          <w:sz w:val="24"/>
          <w:highlight w:val="none"/>
          <w:lang w:val="en-US" w:eastAsia="zh-CN" w:bidi="ar"/>
        </w:rPr>
        <w:t>采购</w:t>
      </w:r>
      <w:r>
        <w:rPr>
          <w:rFonts w:hint="eastAsia" w:ascii="宋体" w:hAnsi="宋体" w:cs="宋体"/>
          <w:color w:val="auto"/>
          <w:sz w:val="24"/>
          <w:highlight w:val="none"/>
          <w:lang w:bidi="ar"/>
        </w:rPr>
        <w:t>人组织专家评审验收合格的测量成果报告，</w:t>
      </w:r>
      <w:r>
        <w:rPr>
          <w:rFonts w:hint="eastAsia" w:ascii="宋体" w:hAnsi="宋体" w:cs="宋体"/>
          <w:color w:val="auto"/>
          <w:sz w:val="24"/>
          <w:highlight w:val="none"/>
          <w:lang w:val="en-US" w:eastAsia="zh-CN" w:bidi="ar"/>
        </w:rPr>
        <w:t>同时项目通过交工验收后，</w:t>
      </w:r>
      <w:r>
        <w:rPr>
          <w:rFonts w:hint="eastAsia" w:ascii="宋体" w:hAnsi="宋体" w:cs="宋体"/>
          <w:color w:val="auto"/>
          <w:sz w:val="24"/>
          <w:highlight w:val="none"/>
          <w:lang w:bidi="ar"/>
        </w:rPr>
        <w:t>由中标供应商提交</w:t>
      </w:r>
      <w:r>
        <w:rPr>
          <w:rFonts w:hint="eastAsia" w:ascii="宋体" w:hAnsi="宋体" w:cs="宋体"/>
          <w:color w:val="auto"/>
          <w:sz w:val="24"/>
          <w:highlight w:val="none"/>
          <w:lang w:val="en-US" w:eastAsia="zh-CN" w:bidi="ar"/>
        </w:rPr>
        <w:t>进度</w:t>
      </w:r>
      <w:r>
        <w:rPr>
          <w:rFonts w:hint="eastAsia" w:ascii="宋体" w:hAnsi="宋体" w:cs="宋体"/>
          <w:color w:val="auto"/>
          <w:sz w:val="24"/>
          <w:highlight w:val="none"/>
          <w:lang w:bidi="ar"/>
        </w:rPr>
        <w:t>款支付申请，</w:t>
      </w:r>
      <w:r>
        <w:rPr>
          <w:rFonts w:hint="eastAsia" w:ascii="宋体" w:hAnsi="宋体" w:cs="宋体"/>
          <w:color w:val="auto"/>
          <w:sz w:val="24"/>
          <w:highlight w:val="none"/>
          <w:lang w:val="en-US" w:eastAsia="zh-CN" w:bidi="ar"/>
        </w:rPr>
        <w:t>采购</w:t>
      </w:r>
      <w:r>
        <w:rPr>
          <w:rFonts w:hint="eastAsia" w:ascii="宋体" w:hAnsi="宋体" w:cs="宋体"/>
          <w:color w:val="auto"/>
          <w:sz w:val="24"/>
          <w:highlight w:val="none"/>
          <w:lang w:bidi="ar"/>
        </w:rPr>
        <w:t>人收到</w:t>
      </w:r>
      <w:r>
        <w:rPr>
          <w:rFonts w:hint="eastAsia" w:ascii="宋体" w:hAnsi="宋体" w:cs="宋体"/>
          <w:color w:val="auto"/>
          <w:sz w:val="24"/>
          <w:highlight w:val="none"/>
          <w:lang w:val="en-US" w:eastAsia="zh-CN" w:bidi="ar"/>
        </w:rPr>
        <w:t>进度</w:t>
      </w:r>
      <w:r>
        <w:rPr>
          <w:rFonts w:hint="eastAsia" w:ascii="宋体" w:hAnsi="宋体" w:cs="宋体"/>
          <w:color w:val="auto"/>
          <w:sz w:val="24"/>
          <w:highlight w:val="none"/>
          <w:lang w:bidi="ar"/>
        </w:rPr>
        <w:t>款支付申请后10个工作日内，向中标供应商支付至本合同价的</w:t>
      </w:r>
      <w:r>
        <w:rPr>
          <w:rFonts w:hint="eastAsia" w:ascii="宋体" w:hAnsi="宋体" w:cs="宋体"/>
          <w:color w:val="auto"/>
          <w:sz w:val="24"/>
          <w:highlight w:val="none"/>
          <w:lang w:val="en-US" w:eastAsia="zh-CN" w:bidi="ar"/>
        </w:rPr>
        <w:t>95</w:t>
      </w:r>
      <w:r>
        <w:rPr>
          <w:rFonts w:hint="eastAsia" w:ascii="宋体" w:hAnsi="宋体" w:cs="宋体"/>
          <w:color w:val="auto"/>
          <w:sz w:val="24"/>
          <w:highlight w:val="none"/>
          <w:lang w:bidi="ar"/>
        </w:rPr>
        <w:t>%。</w:t>
      </w:r>
    </w:p>
    <w:p w14:paraId="39E292FF">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3.锚地通过</w:t>
      </w:r>
      <w:r>
        <w:rPr>
          <w:rFonts w:hint="eastAsia" w:ascii="宋体" w:hAnsi="宋体" w:cs="宋体"/>
          <w:color w:val="auto"/>
          <w:sz w:val="24"/>
          <w:highlight w:val="none"/>
          <w:lang w:bidi="ar"/>
        </w:rPr>
        <w:t>海事部门发布</w:t>
      </w:r>
      <w:r>
        <w:rPr>
          <w:rFonts w:hint="eastAsia" w:ascii="宋体" w:hAnsi="宋体" w:cs="宋体"/>
          <w:color w:val="auto"/>
          <w:sz w:val="24"/>
          <w:highlight w:val="none"/>
          <w:lang w:val="en-US" w:eastAsia="zh-CN" w:bidi="ar"/>
        </w:rPr>
        <w:t>对外</w:t>
      </w:r>
      <w:r>
        <w:rPr>
          <w:rFonts w:hint="eastAsia" w:ascii="宋体" w:hAnsi="宋体" w:cs="宋体"/>
          <w:color w:val="auto"/>
          <w:sz w:val="24"/>
          <w:highlight w:val="none"/>
          <w:lang w:bidi="ar"/>
        </w:rPr>
        <w:t>公告，</w:t>
      </w:r>
      <w:r>
        <w:rPr>
          <w:rFonts w:hint="eastAsia" w:ascii="宋体" w:hAnsi="宋体" w:cs="宋体"/>
          <w:color w:val="auto"/>
          <w:sz w:val="24"/>
          <w:highlight w:val="none"/>
          <w:lang w:val="en-US" w:eastAsia="zh-CN" w:bidi="ar"/>
        </w:rPr>
        <w:t>并由航海保障中心</w:t>
      </w:r>
      <w:r>
        <w:rPr>
          <w:rFonts w:hint="eastAsia" w:ascii="宋体" w:hAnsi="宋体" w:cs="宋体"/>
          <w:color w:val="auto"/>
          <w:sz w:val="24"/>
          <w:highlight w:val="none"/>
          <w:lang w:eastAsia="zh-CN" w:bidi="ar"/>
        </w:rPr>
        <w:t>发布</w:t>
      </w:r>
      <w:r>
        <w:rPr>
          <w:rFonts w:hint="eastAsia" w:ascii="宋体" w:hAnsi="宋体" w:cs="宋体"/>
          <w:color w:val="auto"/>
          <w:sz w:val="24"/>
          <w:highlight w:val="none"/>
          <w:lang w:bidi="ar"/>
        </w:rPr>
        <w:t>海图后，由中标供应商提交尾款支付申请，</w:t>
      </w:r>
      <w:r>
        <w:rPr>
          <w:rFonts w:hint="eastAsia" w:ascii="宋体" w:hAnsi="宋体" w:cs="宋体"/>
          <w:color w:val="auto"/>
          <w:sz w:val="24"/>
          <w:highlight w:val="none"/>
          <w:lang w:val="en-US" w:eastAsia="zh-CN" w:bidi="ar"/>
        </w:rPr>
        <w:t>采购</w:t>
      </w:r>
      <w:r>
        <w:rPr>
          <w:rFonts w:hint="eastAsia" w:ascii="宋体" w:hAnsi="宋体" w:cs="宋体"/>
          <w:color w:val="auto"/>
          <w:sz w:val="24"/>
          <w:highlight w:val="none"/>
          <w:lang w:bidi="ar"/>
        </w:rPr>
        <w:t>人收到尾款支付申请后10个工作日内，向中标供应商支付至本合同价的100%。</w:t>
      </w:r>
    </w:p>
    <w:p w14:paraId="37D6233F">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.中标供应商提交支付申请时，应当提供等额的增值税发票。</w:t>
      </w:r>
    </w:p>
    <w:p w14:paraId="13B40F94">
      <w:pPr>
        <w:widowControl/>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.因本项目经费为财政性资金，由于财政资金未按时到位或财政资金管理原因暂时不能支付的，合同价款的支付时间相应顺延，并且</w:t>
      </w:r>
      <w:r>
        <w:rPr>
          <w:rFonts w:hint="eastAsia" w:ascii="宋体" w:hAnsi="宋体" w:cs="宋体"/>
          <w:color w:val="auto"/>
          <w:sz w:val="24"/>
          <w:highlight w:val="none"/>
          <w:lang w:val="en-US" w:eastAsia="zh-CN" w:bidi="ar"/>
        </w:rPr>
        <w:t>采购</w:t>
      </w:r>
      <w:r>
        <w:rPr>
          <w:rFonts w:hint="eastAsia" w:ascii="宋体" w:hAnsi="宋体" w:cs="宋体"/>
          <w:color w:val="auto"/>
          <w:sz w:val="24"/>
          <w:highlight w:val="none"/>
          <w:lang w:bidi="ar"/>
        </w:rPr>
        <w:t>人不因此承担逾期付款的违约责任。</w:t>
      </w:r>
    </w:p>
    <w:p w14:paraId="1A1077C3">
      <w:pPr>
        <w:pStyle w:val="30"/>
        <w:ind w:firstLine="480" w:firstLineChars="200"/>
        <w:rPr>
          <w:rFonts w:hint="eastAsia" w:ascii="宋体" w:hAnsi="宋体" w:eastAsia="宋体" w:cs="宋体"/>
          <w:color w:val="auto"/>
          <w:kern w:val="2"/>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6.采购</w:t>
      </w:r>
      <w:r>
        <w:rPr>
          <w:rFonts w:hint="eastAsia" w:ascii="宋体" w:hAnsi="宋体" w:eastAsia="宋体" w:cs="宋体"/>
          <w:color w:val="auto"/>
          <w:kern w:val="2"/>
          <w:sz w:val="24"/>
          <w:szCs w:val="24"/>
          <w:highlight w:val="none"/>
          <w:lang w:bidi="ar"/>
        </w:rPr>
        <w:t>人支付的</w:t>
      </w:r>
      <w:r>
        <w:rPr>
          <w:rFonts w:hint="eastAsia" w:ascii="宋体" w:hAnsi="宋体" w:eastAsia="宋体" w:cs="宋体"/>
          <w:color w:val="auto"/>
          <w:kern w:val="2"/>
          <w:sz w:val="24"/>
          <w:szCs w:val="24"/>
          <w:highlight w:val="none"/>
          <w:lang w:eastAsia="zh-CN" w:bidi="ar"/>
        </w:rPr>
        <w:t>款项</w:t>
      </w:r>
      <w:r>
        <w:rPr>
          <w:rFonts w:hint="eastAsia" w:ascii="宋体" w:hAnsi="宋体" w:eastAsia="宋体" w:cs="宋体"/>
          <w:color w:val="auto"/>
          <w:kern w:val="2"/>
          <w:sz w:val="24"/>
          <w:szCs w:val="24"/>
          <w:highlight w:val="none"/>
          <w:lang w:bidi="ar"/>
        </w:rPr>
        <w:t>应为本工程的专款专用资金，不得转移或用于其他工程。</w:t>
      </w:r>
    </w:p>
    <w:p w14:paraId="69E51A30">
      <w:pPr>
        <w:rPr>
          <w:color w:val="auto"/>
          <w:sz w:val="28"/>
          <w:szCs w:val="28"/>
          <w:highlight w:val="none"/>
        </w:rPr>
      </w:pPr>
      <w:bookmarkStart w:id="38" w:name="_Toc6863"/>
      <w:bookmarkStart w:id="39" w:name="_Toc23331"/>
      <w:bookmarkStart w:id="40" w:name="_Toc12517"/>
      <w:r>
        <w:rPr>
          <w:rFonts w:hint="eastAsia"/>
          <w:color w:val="auto"/>
          <w:sz w:val="28"/>
          <w:szCs w:val="28"/>
          <w:highlight w:val="none"/>
        </w:rPr>
        <w:br w:type="page"/>
      </w:r>
    </w:p>
    <w:p w14:paraId="660B74A2">
      <w:pPr>
        <w:pStyle w:val="2"/>
        <w:spacing w:before="0" w:after="0" w:line="360" w:lineRule="auto"/>
        <w:jc w:val="center"/>
        <w:rPr>
          <w:color w:val="auto"/>
          <w:sz w:val="28"/>
          <w:szCs w:val="28"/>
          <w:highlight w:val="none"/>
        </w:rPr>
      </w:pPr>
      <w:bookmarkStart w:id="41" w:name="_Toc28053"/>
      <w:bookmarkStart w:id="42" w:name="_Toc24083"/>
      <w:bookmarkStart w:id="43" w:name="_Toc18712"/>
      <w:bookmarkStart w:id="44" w:name="_Toc15967"/>
      <w:bookmarkStart w:id="45" w:name="_Toc18471"/>
      <w:bookmarkStart w:id="46" w:name="_Toc3595"/>
      <w:bookmarkStart w:id="47" w:name="_Toc27586"/>
      <w:r>
        <w:rPr>
          <w:rFonts w:hint="eastAsia"/>
          <w:color w:val="auto"/>
          <w:sz w:val="28"/>
          <w:szCs w:val="28"/>
          <w:highlight w:val="none"/>
        </w:rPr>
        <w:t>第四章  评审办法</w:t>
      </w:r>
      <w:bookmarkEnd w:id="38"/>
      <w:bookmarkEnd w:id="39"/>
      <w:bookmarkEnd w:id="41"/>
      <w:bookmarkEnd w:id="42"/>
      <w:bookmarkEnd w:id="43"/>
      <w:bookmarkEnd w:id="44"/>
      <w:bookmarkEnd w:id="45"/>
      <w:bookmarkEnd w:id="46"/>
      <w:bookmarkEnd w:id="47"/>
    </w:p>
    <w:p w14:paraId="5B8AB292">
      <w:pPr>
        <w:spacing w:line="360" w:lineRule="auto"/>
        <w:jc w:val="center"/>
        <w:outlineLvl w:val="1"/>
        <w:rPr>
          <w:rFonts w:ascii="宋体" w:hAnsi="宋体"/>
          <w:b/>
          <w:color w:val="auto"/>
          <w:sz w:val="24"/>
          <w:highlight w:val="none"/>
        </w:rPr>
      </w:pPr>
      <w:bookmarkStart w:id="48" w:name="_Toc28533"/>
      <w:bookmarkStart w:id="49" w:name="_Toc24770"/>
      <w:bookmarkStart w:id="50" w:name="_Toc9226"/>
      <w:bookmarkStart w:id="51" w:name="_Toc683"/>
      <w:bookmarkStart w:id="52" w:name="_Toc11870"/>
      <w:bookmarkStart w:id="53" w:name="_Toc26385"/>
      <w:bookmarkStart w:id="54" w:name="_Toc14190"/>
      <w:bookmarkStart w:id="55" w:name="_Toc27339"/>
      <w:bookmarkStart w:id="56" w:name="_Toc17459"/>
      <w:r>
        <w:rPr>
          <w:rFonts w:hint="eastAsia" w:ascii="宋体" w:hAnsi="宋体"/>
          <w:b/>
          <w:color w:val="auto"/>
          <w:sz w:val="24"/>
          <w:highlight w:val="none"/>
        </w:rPr>
        <w:t>第一节  评审程序和评审方法</w:t>
      </w:r>
      <w:bookmarkEnd w:id="48"/>
      <w:bookmarkEnd w:id="49"/>
      <w:bookmarkEnd w:id="50"/>
      <w:bookmarkEnd w:id="51"/>
      <w:bookmarkEnd w:id="52"/>
      <w:bookmarkEnd w:id="53"/>
      <w:bookmarkEnd w:id="54"/>
      <w:bookmarkEnd w:id="55"/>
      <w:bookmarkEnd w:id="56"/>
    </w:p>
    <w:bookmarkEnd w:id="40"/>
    <w:p w14:paraId="67402F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根据《中华人民共和国政府采购法》《中华人民共和国民法典》《广西壮族自治区</w:t>
      </w:r>
      <w:r>
        <w:rPr>
          <w:rFonts w:hint="eastAsia" w:ascii="宋体" w:hAnsi="宋体" w:cs="宋体"/>
          <w:color w:val="auto"/>
          <w:szCs w:val="21"/>
          <w:highlight w:val="none"/>
        </w:rPr>
        <w:t>水运发展中心</w:t>
      </w:r>
      <w:r>
        <w:rPr>
          <w:rFonts w:ascii="宋体" w:hAnsi="宋体" w:cs="宋体"/>
          <w:color w:val="auto"/>
          <w:szCs w:val="21"/>
          <w:highlight w:val="none"/>
        </w:rPr>
        <w:t>自行采购管理办法》等有关规定，采购人组建合议小组（评审小组）按本采购文件规定，对响应文件进行评审。</w:t>
      </w:r>
      <w:r>
        <w:rPr>
          <w:rFonts w:hint="eastAsia" w:ascii="宋体" w:hAnsi="宋体" w:cs="宋体"/>
          <w:color w:val="auto"/>
          <w:szCs w:val="21"/>
          <w:highlight w:val="none"/>
        </w:rPr>
        <w:t>本次采购采用综合评估法。</w:t>
      </w:r>
    </w:p>
    <w:p w14:paraId="4B6D17F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一、资格审查</w:t>
      </w:r>
    </w:p>
    <w:p w14:paraId="79BD6C65">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（一）</w:t>
      </w:r>
      <w:r>
        <w:rPr>
          <w:rFonts w:hint="eastAsia" w:ascii="宋体" w:hAnsi="宋体"/>
          <w:color w:val="auto"/>
          <w:szCs w:val="21"/>
          <w:highlight w:val="none"/>
        </w:rPr>
        <w:t>评审小组依法对供应商的响应文件中资格证明文件进行审查。</w:t>
      </w:r>
    </w:p>
    <w:p w14:paraId="25C38A6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“信用中国”网站、中国政府采购网</w:t>
      </w:r>
      <w:r>
        <w:rPr>
          <w:rFonts w:hint="eastAsia" w:ascii="宋体" w:hAnsi="宋体" w:cs="宋体"/>
          <w:color w:val="auto"/>
          <w:szCs w:val="21"/>
          <w:highlight w:val="none"/>
        </w:rPr>
        <w:t>。</w:t>
      </w:r>
    </w:p>
    <w:p w14:paraId="0DF12CF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6ABE552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25A08E0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w:t>
      </w:r>
    </w:p>
    <w:p w14:paraId="6AD3234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对在“信用中国”网站、中国政府采购网被列入失信被执行人、重大税收违法案件当事人名单、政府采购严重违法失信行为记录名单及其他不符合《中华人民共和国政府采购法》第二十二条规定条件的供应商，不得参与本次采购活动。</w:t>
      </w:r>
    </w:p>
    <w:p w14:paraId="598EB33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（2)资格审查标准为本采购文件中载明对供应商资格要求的条件。资格审查采用合格制，凡符合采购文件规定的供应商资格要求的响应文件均通过资格审查。</w:t>
      </w:r>
    </w:p>
    <w:p w14:paraId="7B8034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(3)供应商资格审查不通过的，其响应文件按无效响应处理。</w:t>
      </w:r>
    </w:p>
    <w:p w14:paraId="3289B72D">
      <w:pPr>
        <w:tabs>
          <w:tab w:val="left" w:pos="3150"/>
        </w:tabs>
        <w:spacing w:line="360" w:lineRule="auto"/>
        <w:ind w:firstLine="420" w:firstLineChars="200"/>
        <w:rPr>
          <w:color w:val="auto"/>
          <w:highlight w:val="none"/>
        </w:rPr>
      </w:pPr>
      <w:r>
        <w:rPr>
          <w:rFonts w:hint="eastAsia" w:ascii="宋体" w:hAnsi="宋体" w:cs="宋体"/>
          <w:color w:val="auto"/>
          <w:szCs w:val="21"/>
          <w:highlight w:val="none"/>
        </w:rPr>
        <w:t>(4)</w:t>
      </w:r>
      <w:r>
        <w:rPr>
          <w:rFonts w:hint="eastAsia"/>
          <w:color w:val="auto"/>
          <w:highlight w:val="none"/>
        </w:rPr>
        <w:t>凡是不满足资格审查中的任意一条，均为不通过资格审查。</w:t>
      </w:r>
    </w:p>
    <w:p w14:paraId="354CDB96">
      <w:pPr>
        <w:tabs>
          <w:tab w:val="left" w:pos="3150"/>
        </w:tabs>
        <w:spacing w:line="360" w:lineRule="auto"/>
        <w:ind w:firstLine="420" w:firstLineChars="200"/>
        <w:rPr>
          <w:color w:val="auto"/>
          <w:highlight w:val="none"/>
        </w:rPr>
      </w:pPr>
      <w:r>
        <w:rPr>
          <w:rFonts w:hint="eastAsia" w:ascii="宋体" w:hAnsi="宋体" w:cs="宋体"/>
          <w:color w:val="auto"/>
          <w:szCs w:val="21"/>
          <w:highlight w:val="none"/>
        </w:rPr>
        <w:t>(5)</w:t>
      </w:r>
      <w:r>
        <w:rPr>
          <w:rFonts w:hint="eastAsia"/>
          <w:color w:val="auto"/>
          <w:highlight w:val="none"/>
        </w:rPr>
        <w:t>如果通过资格审查的投标供应商不足三家：</w:t>
      </w:r>
    </w:p>
    <w:p w14:paraId="5D6B3C10">
      <w:pPr>
        <w:tabs>
          <w:tab w:val="left" w:pos="3150"/>
        </w:tabs>
        <w:spacing w:line="360" w:lineRule="auto"/>
        <w:ind w:firstLine="420" w:firstLineChars="200"/>
        <w:rPr>
          <w:color w:val="auto"/>
          <w:highlight w:val="none"/>
        </w:rPr>
      </w:pPr>
      <w:r>
        <w:rPr>
          <w:rFonts w:hint="eastAsia" w:ascii="宋体" w:hAnsi="宋体" w:cs="宋体"/>
          <w:color w:val="auto"/>
          <w:highlight w:val="none"/>
        </w:rPr>
        <w:t>①</w:t>
      </w:r>
      <w:r>
        <w:rPr>
          <w:rFonts w:hint="eastAsia"/>
          <w:color w:val="auto"/>
          <w:highlight w:val="none"/>
        </w:rPr>
        <w:t>延长采购公告时间，延期3个工作日。</w:t>
      </w:r>
    </w:p>
    <w:p w14:paraId="5F06F8E6">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②</w:t>
      </w:r>
      <w:r>
        <w:rPr>
          <w:rFonts w:hint="eastAsia"/>
          <w:color w:val="auto"/>
          <w:highlight w:val="none"/>
        </w:rPr>
        <w:t>发布延期公告后，如投标供应商仍不足三家的，在已递交响应文件的供应商中按照评审规则评选。</w:t>
      </w:r>
    </w:p>
    <w:p w14:paraId="072C48D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二、符合性审查</w:t>
      </w:r>
    </w:p>
    <w:p w14:paraId="6FD360BE">
      <w:pPr>
        <w:spacing w:line="360" w:lineRule="auto"/>
        <w:ind w:firstLine="420" w:firstLineChars="200"/>
        <w:rPr>
          <w:rFonts w:ascii="宋体" w:hAnsi="宋体" w:cs="宋体"/>
          <w:color w:val="auto"/>
          <w:szCs w:val="21"/>
          <w:highlight w:val="none"/>
        </w:rPr>
      </w:pPr>
      <w:bookmarkStart w:id="57" w:name="_Hlk42528882"/>
      <w:r>
        <w:rPr>
          <w:rFonts w:hint="eastAsia" w:ascii="宋体" w:hAnsi="宋体" w:cs="宋体"/>
          <w:color w:val="auto"/>
          <w:szCs w:val="21"/>
          <w:highlight w:val="none"/>
        </w:rPr>
        <w:t>（一）由评审小组对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的响应文件进行符合性审查，以确定其是否满足采购文件的实质性要求。</w:t>
      </w:r>
    </w:p>
    <w:bookmarkEnd w:id="57"/>
    <w:p w14:paraId="035693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评审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2910C5">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三）评审小组要求供应商澄清、说明或者更正响应文件应当以正式函形式作出。供应商的澄清、说明或者更正应当以正式形式按照评审小组的要求作出明确的澄清、说明或者更正，未按评审小组的要求作出明确澄清、说明或者更正的供应商的响应文件将按照有利于采购人的原则由评审小组进行判定。供应商的澄清、说明或者更正必须由法定代表人或者其授权代表签字或加盖供应商公章</w:t>
      </w:r>
      <w:r>
        <w:rPr>
          <w:rFonts w:hint="eastAsia" w:ascii="宋体" w:hAnsi="宋体" w:cs="宋体"/>
          <w:color w:val="auto"/>
          <w:spacing w:val="-6"/>
          <w:szCs w:val="21"/>
          <w:highlight w:val="none"/>
        </w:rPr>
        <w:t>。</w:t>
      </w:r>
    </w:p>
    <w:p w14:paraId="60AB19D5">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（四）</w:t>
      </w:r>
      <w:r>
        <w:rPr>
          <w:rFonts w:hint="eastAsia" w:ascii="宋体" w:hAnsi="宋体" w:cs="宋体"/>
          <w:color w:val="auto"/>
          <w:szCs w:val="21"/>
          <w:highlight w:val="none"/>
        </w:rPr>
        <w:t xml:space="preserve">响应文件报价出现前后不一致的，按照下列规定修正： </w:t>
      </w:r>
    </w:p>
    <w:p w14:paraId="2781FF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B9F27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CDACB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BDD48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95B37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27751B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（五）商务技术及报价评审</w:t>
      </w:r>
    </w:p>
    <w:p w14:paraId="18DE05A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在评审时，如发现下列情形之一的，将被视为响应文件无效响应处理：</w:t>
      </w:r>
    </w:p>
    <w:p w14:paraId="4653DC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D064C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（1）响应文件未按采购文件要求签署、盖章；</w:t>
      </w:r>
    </w:p>
    <w:p w14:paraId="1B4799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4D637A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（3）响应文件的实质性内容未使用中文表述、使用计量单位不符合采购文件要求；</w:t>
      </w:r>
    </w:p>
    <w:p w14:paraId="164999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（4）响应文件中的文件资料因填写不齐全或者内容虚假或者出现其他情形而导致被评审小组认定无效；</w:t>
      </w:r>
    </w:p>
    <w:p w14:paraId="4FEDC4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（5）响应文件含有采购人不能接受的附加条件；</w:t>
      </w:r>
    </w:p>
    <w:p w14:paraId="2C2573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（6）虚假投标，或者出现其他情形而导致被评审小组认定无效；</w:t>
      </w:r>
    </w:p>
    <w:p w14:paraId="03480A0C">
      <w:pPr>
        <w:spacing w:line="360" w:lineRule="auto"/>
        <w:ind w:firstLine="420" w:firstLineChars="200"/>
        <w:rPr>
          <w:rFonts w:ascii="宋体" w:hAnsi="宋体" w:cs="宋体"/>
          <w:color w:val="auto"/>
          <w:szCs w:val="21"/>
          <w:highlight w:val="none"/>
        </w:rPr>
      </w:pPr>
      <w:bookmarkStart w:id="58" w:name="_Hlk71704147"/>
      <w:r>
        <w:rPr>
          <w:rFonts w:hint="eastAsia" w:ascii="宋体" w:hAnsi="宋体" w:cs="宋体"/>
          <w:color w:val="auto"/>
          <w:szCs w:val="21"/>
          <w:highlight w:val="none"/>
        </w:rPr>
        <w:t>（7）采购文件未载明允许提供备选（替代）投标方案或明确不允许提供备选（替代）投标方案时，供应商提供了备选（替代）投标方案的；</w:t>
      </w:r>
      <w:bookmarkEnd w:id="58"/>
    </w:p>
    <w:p w14:paraId="0FA75F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（8）响应文件标注的项目名称或者项目编号与采购文件标注的项目名称或者项目编号不一致的；</w:t>
      </w:r>
    </w:p>
    <w:p w14:paraId="7C2F1D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olor w:val="auto"/>
          <w:szCs w:val="21"/>
          <w:highlight w:val="none"/>
        </w:rPr>
        <w:t>采购文件明确不允许分包，响应文件拟分包的；</w:t>
      </w:r>
    </w:p>
    <w:p w14:paraId="79FBB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（10）未响应采购文件的采购内容、工期要求、质量要求等实质性要求；</w:t>
      </w:r>
    </w:p>
    <w:p w14:paraId="7CFBD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（11）法律、法规和采购文件规定的其他无效情形。</w:t>
      </w:r>
    </w:p>
    <w:p w14:paraId="078BA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4E68B3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（1）响应文件未提供采购文件中规定的“投标报价表”；</w:t>
      </w:r>
    </w:p>
    <w:p w14:paraId="295DE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（2）未采用人民币报价或者未按照采购文件标明的币种报价；</w:t>
      </w:r>
    </w:p>
    <w:p w14:paraId="1DE6DB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投标分标进行报价或者存在漏项报价；供应商未就所投标分标的单项内容作唯一报价；供应商未就所投标分标的全部内容作完整唯一总价报价；供应商响应文件中存在有选择、有条件报价的（采购文件允许有备选方案或者其他约定的除外）；</w:t>
      </w:r>
    </w:p>
    <w:p w14:paraId="16816C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（4）报价超过最高限价的（如本项目公布了最高限价）；</w:t>
      </w:r>
      <w:bookmarkStart w:id="59" w:name="_Hlk42596405"/>
      <w:r>
        <w:rPr>
          <w:rFonts w:hint="eastAsia" w:ascii="宋体" w:hAnsi="宋体" w:cs="宋体"/>
          <w:color w:val="auto"/>
          <w:szCs w:val="21"/>
          <w:highlight w:val="none"/>
        </w:rPr>
        <w:t xml:space="preserve"> </w:t>
      </w:r>
      <w:bookmarkEnd w:id="59"/>
    </w:p>
    <w:p w14:paraId="725096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（5）修正后的报价，供应商不确认的；或者经供应商确认修正后的最后报价超过最高限价（如本项目公布了最高限价）；</w:t>
      </w:r>
    </w:p>
    <w:p w14:paraId="6D1B44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响应文件响应的标的数量及单位与采购文件要求实质性不一致的。</w:t>
      </w:r>
    </w:p>
    <w:p w14:paraId="335D7C7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三、比较与评分</w:t>
      </w:r>
    </w:p>
    <w:p w14:paraId="5F154C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（一）评审方法：综合评分法。</w:t>
      </w:r>
    </w:p>
    <w:p w14:paraId="0386C0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（二）由评审小组采用综合评分法对有效响应文件进行综合评分。</w:t>
      </w:r>
    </w:p>
    <w:p w14:paraId="6EC46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（三）评审时，评审小组各成员应当对每个有效响应的文件进行评价、打分，然后汇总每个供应商每项评分因素的得分。</w:t>
      </w:r>
    </w:p>
    <w:p w14:paraId="55DCB7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1.评审小组按照采购文件中规定的评审标准计算各供应商的报价得分。项目评审过程中，不得去掉最后报价中的最高报价和最低报价。</w:t>
      </w:r>
    </w:p>
    <w:p w14:paraId="38E733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2.以投标人的有效报价的算术平均值为基准价，报价与基准价的差取绝对值。</w:t>
      </w:r>
    </w:p>
    <w:p w14:paraId="31172055">
      <w:pPr>
        <w:spacing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（四）由评审小组根据综合评分情况，按照评审得分由高到低顺序推荐3名成交候选供应商，</w:t>
      </w:r>
      <w:r>
        <w:rPr>
          <w:rFonts w:hint="eastAsia" w:ascii="宋体" w:hAnsi="宋体" w:cs="宋体"/>
          <w:color w:val="auto"/>
          <w:szCs w:val="21"/>
          <w:highlight w:val="none"/>
          <w:lang w:eastAsia="zh-CN"/>
        </w:rPr>
        <w:t>不足</w:t>
      </w:r>
      <w:r>
        <w:rPr>
          <w:rFonts w:hint="eastAsia" w:ascii="宋体" w:hAnsi="宋体" w:cs="宋体"/>
          <w:color w:val="auto"/>
          <w:szCs w:val="21"/>
          <w:highlight w:val="none"/>
          <w:lang w:val="en-US" w:eastAsia="zh-CN"/>
        </w:rPr>
        <w:t>3家的，按实有数量推荐，</w:t>
      </w:r>
      <w:r>
        <w:rPr>
          <w:rFonts w:hint="eastAsia" w:ascii="宋体" w:hAnsi="宋体" w:cs="宋体"/>
          <w:color w:val="auto"/>
          <w:szCs w:val="21"/>
          <w:highlight w:val="none"/>
        </w:rPr>
        <w:t>并编写评</w:t>
      </w:r>
      <w:r>
        <w:rPr>
          <w:rFonts w:hint="eastAsia" w:ascii="宋体" w:hAnsi="宋体"/>
          <w:color w:val="auto"/>
          <w:kern w:val="0"/>
          <w:szCs w:val="21"/>
          <w:highlight w:val="none"/>
        </w:rPr>
        <w:t>审报告。评审得分相同的，按照最后报价由低到高的顺序推荐。</w:t>
      </w:r>
    </w:p>
    <w:p w14:paraId="46249A72">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五）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2000B2B">
      <w:pPr>
        <w:widowControl/>
        <w:spacing w:line="360" w:lineRule="auto"/>
        <w:jc w:val="center"/>
        <w:outlineLvl w:val="1"/>
        <w:rPr>
          <w:rFonts w:ascii="宋体" w:hAnsi="宋体"/>
          <w:b/>
          <w:color w:val="auto"/>
          <w:sz w:val="24"/>
          <w:highlight w:val="none"/>
        </w:rPr>
      </w:pPr>
      <w:r>
        <w:rPr>
          <w:rFonts w:ascii="宋体" w:hAnsi="宋体"/>
          <w:b/>
          <w:color w:val="auto"/>
          <w:sz w:val="32"/>
          <w:szCs w:val="32"/>
          <w:highlight w:val="none"/>
        </w:rPr>
        <w:br w:type="page"/>
      </w:r>
      <w:bookmarkStart w:id="60" w:name="_Toc12111"/>
      <w:bookmarkStart w:id="61" w:name="_Toc29563"/>
      <w:bookmarkStart w:id="62" w:name="_Toc16449"/>
      <w:bookmarkStart w:id="63" w:name="_Toc4199"/>
      <w:bookmarkStart w:id="64" w:name="_Toc2435"/>
      <w:bookmarkStart w:id="65" w:name="_Toc24243"/>
      <w:bookmarkStart w:id="66" w:name="_Toc24975"/>
      <w:bookmarkStart w:id="67" w:name="_Toc8537"/>
      <w:bookmarkStart w:id="68" w:name="_Toc7508"/>
      <w:bookmarkStart w:id="69" w:name="_Toc31098"/>
      <w:r>
        <w:rPr>
          <w:rFonts w:hint="eastAsia" w:ascii="宋体" w:hAnsi="宋体"/>
          <w:b/>
          <w:color w:val="auto"/>
          <w:sz w:val="24"/>
          <w:highlight w:val="none"/>
        </w:rPr>
        <w:t>第二节  评审标准</w:t>
      </w:r>
      <w:bookmarkEnd w:id="60"/>
      <w:bookmarkEnd w:id="61"/>
      <w:bookmarkEnd w:id="62"/>
      <w:bookmarkEnd w:id="63"/>
      <w:bookmarkEnd w:id="64"/>
      <w:bookmarkEnd w:id="65"/>
      <w:bookmarkEnd w:id="66"/>
      <w:bookmarkEnd w:id="67"/>
      <w:bookmarkEnd w:id="68"/>
      <w:bookmarkEnd w:id="69"/>
    </w:p>
    <w:p w14:paraId="36EBC7E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评审小组将以采购文件为评审依据，对供应商的报价、技术、商务等方面内容按百分制打分。（计分方法按四舍五入取至百分位）</w:t>
      </w:r>
    </w:p>
    <w:tbl>
      <w:tblPr>
        <w:tblStyle w:val="26"/>
        <w:tblW w:w="9118" w:type="dxa"/>
        <w:jc w:val="center"/>
        <w:tblLayout w:type="fixed"/>
        <w:tblCellMar>
          <w:top w:w="28" w:type="dxa"/>
          <w:left w:w="28" w:type="dxa"/>
          <w:bottom w:w="28" w:type="dxa"/>
          <w:right w:w="28" w:type="dxa"/>
        </w:tblCellMar>
      </w:tblPr>
      <w:tblGrid>
        <w:gridCol w:w="592"/>
        <w:gridCol w:w="1385"/>
        <w:gridCol w:w="7141"/>
      </w:tblGrid>
      <w:tr w14:paraId="64C14B74">
        <w:tblPrEx>
          <w:tblCellMar>
            <w:top w:w="28" w:type="dxa"/>
            <w:left w:w="28" w:type="dxa"/>
            <w:bottom w:w="28" w:type="dxa"/>
            <w:right w:w="28" w:type="dxa"/>
          </w:tblCellMar>
        </w:tblPrEx>
        <w:trPr>
          <w:trHeight w:val="423"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14:paraId="6603919A">
            <w:pPr>
              <w:spacing w:line="264"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85" w:type="dxa"/>
            <w:tcBorders>
              <w:top w:val="single" w:color="000000" w:sz="4" w:space="0"/>
              <w:left w:val="single" w:color="000000" w:sz="4" w:space="0"/>
              <w:bottom w:val="single" w:color="000000" w:sz="4" w:space="0"/>
              <w:right w:val="single" w:color="000000" w:sz="4" w:space="0"/>
            </w:tcBorders>
            <w:vAlign w:val="center"/>
          </w:tcPr>
          <w:p w14:paraId="0D308A4A">
            <w:pPr>
              <w:widowControl/>
              <w:spacing w:line="264"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7141" w:type="dxa"/>
            <w:tcBorders>
              <w:top w:val="single" w:color="000000" w:sz="4" w:space="0"/>
              <w:left w:val="single" w:color="000000" w:sz="4" w:space="0"/>
              <w:bottom w:val="single" w:color="000000" w:sz="4" w:space="0"/>
              <w:right w:val="single" w:color="000000" w:sz="4" w:space="0"/>
            </w:tcBorders>
            <w:vAlign w:val="center"/>
          </w:tcPr>
          <w:p w14:paraId="7FA0370C">
            <w:pPr>
              <w:widowControl/>
              <w:spacing w:line="264"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7588972D">
        <w:tblPrEx>
          <w:tblCellMar>
            <w:top w:w="28" w:type="dxa"/>
            <w:left w:w="28" w:type="dxa"/>
            <w:bottom w:w="28" w:type="dxa"/>
            <w:right w:w="28" w:type="dxa"/>
          </w:tblCellMar>
        </w:tblPrEx>
        <w:trPr>
          <w:trHeight w:val="1647"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14:paraId="3CC4F5C2">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一</w:t>
            </w:r>
          </w:p>
        </w:tc>
        <w:tc>
          <w:tcPr>
            <w:tcW w:w="1385" w:type="dxa"/>
            <w:tcBorders>
              <w:top w:val="single" w:color="000000" w:sz="4" w:space="0"/>
              <w:left w:val="single" w:color="000000" w:sz="4" w:space="0"/>
              <w:bottom w:val="single" w:color="000000" w:sz="4" w:space="0"/>
              <w:right w:val="single" w:color="000000" w:sz="4" w:space="0"/>
            </w:tcBorders>
            <w:vAlign w:val="center"/>
          </w:tcPr>
          <w:p w14:paraId="17957163">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价格</w:t>
            </w:r>
          </w:p>
          <w:p w14:paraId="22D86147">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（满分10分）</w:t>
            </w:r>
          </w:p>
        </w:tc>
        <w:tc>
          <w:tcPr>
            <w:tcW w:w="7141" w:type="dxa"/>
            <w:tcBorders>
              <w:top w:val="single" w:color="000000" w:sz="4" w:space="0"/>
              <w:left w:val="single" w:color="000000" w:sz="4" w:space="0"/>
              <w:bottom w:val="single" w:color="000000" w:sz="4" w:space="0"/>
              <w:right w:val="single" w:color="000000" w:sz="4" w:space="0"/>
            </w:tcBorders>
            <w:vAlign w:val="center"/>
          </w:tcPr>
          <w:p w14:paraId="3219AF8C">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以投标人的有效报价的算术平均值为基准价。有效报价为：投标人的报价未超过最高控制价，且投标人符合参与条件要求。</w:t>
            </w:r>
          </w:p>
          <w:p w14:paraId="3406B28E">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偏差率=100%×（报价-基准价）/基准价。</w:t>
            </w:r>
          </w:p>
          <w:p w14:paraId="0CBBC84A">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若投标人报价&gt;评标基准价，则得分=10-∣偏差率∣×100×0.1；</w:t>
            </w:r>
          </w:p>
          <w:p w14:paraId="388A5A13">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若投标人报价≤评标基准价，则得分=10-∣偏差率∣×100×0.05。</w:t>
            </w:r>
          </w:p>
          <w:p w14:paraId="2C3ABBED">
            <w:pPr>
              <w:widowControl/>
              <w:spacing w:line="264" w:lineRule="auto"/>
              <w:textAlignment w:val="center"/>
              <w:rPr>
                <w:rFonts w:ascii="宋体" w:hAnsi="宋体" w:cs="宋体"/>
                <w:color w:val="auto"/>
                <w:szCs w:val="21"/>
                <w:highlight w:val="none"/>
              </w:rPr>
            </w:pPr>
            <w:r>
              <w:rPr>
                <w:rFonts w:hint="eastAsia" w:ascii="宋体" w:hAnsi="宋体" w:cs="宋体"/>
                <w:color w:val="auto"/>
                <w:szCs w:val="21"/>
                <w:highlight w:val="none"/>
              </w:rPr>
              <w:t>注：分数取小数点后两位。</w:t>
            </w:r>
          </w:p>
        </w:tc>
      </w:tr>
      <w:tr w14:paraId="355F6317">
        <w:tblPrEx>
          <w:tblCellMar>
            <w:top w:w="28" w:type="dxa"/>
            <w:left w:w="28" w:type="dxa"/>
            <w:bottom w:w="28" w:type="dxa"/>
            <w:right w:w="28" w:type="dxa"/>
          </w:tblCellMar>
        </w:tblPrEx>
        <w:trPr>
          <w:trHeight w:val="632" w:hRule="atLeast"/>
          <w:jc w:val="center"/>
        </w:trPr>
        <w:tc>
          <w:tcPr>
            <w:tcW w:w="592" w:type="dxa"/>
            <w:tcBorders>
              <w:top w:val="single" w:color="000000" w:sz="4" w:space="0"/>
              <w:left w:val="single" w:color="000000" w:sz="4" w:space="0"/>
              <w:bottom w:val="single" w:color="auto" w:sz="4" w:space="0"/>
              <w:right w:val="single" w:color="auto" w:sz="4" w:space="0"/>
            </w:tcBorders>
            <w:vAlign w:val="center"/>
          </w:tcPr>
          <w:p w14:paraId="27F0590B">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二</w:t>
            </w:r>
          </w:p>
        </w:tc>
        <w:tc>
          <w:tcPr>
            <w:tcW w:w="1385" w:type="dxa"/>
            <w:tcBorders>
              <w:top w:val="single" w:color="000000" w:sz="4" w:space="0"/>
              <w:left w:val="single" w:color="auto" w:sz="4" w:space="0"/>
              <w:bottom w:val="single" w:color="000000" w:sz="4" w:space="0"/>
              <w:right w:val="single" w:color="000000" w:sz="4" w:space="0"/>
            </w:tcBorders>
            <w:vAlign w:val="center"/>
          </w:tcPr>
          <w:p w14:paraId="7F49A522">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资信业绩</w:t>
            </w:r>
          </w:p>
          <w:p w14:paraId="0E81B553">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（满分22分）</w:t>
            </w:r>
          </w:p>
        </w:tc>
        <w:tc>
          <w:tcPr>
            <w:tcW w:w="7141" w:type="dxa"/>
            <w:tcBorders>
              <w:top w:val="nil"/>
              <w:left w:val="single" w:color="000000" w:sz="4" w:space="0"/>
              <w:bottom w:val="single" w:color="000000" w:sz="4" w:space="0"/>
              <w:right w:val="single" w:color="000000" w:sz="4" w:space="0"/>
            </w:tcBorders>
            <w:vAlign w:val="center"/>
          </w:tcPr>
          <w:p w14:paraId="53FEF025">
            <w:pPr>
              <w:pStyle w:val="35"/>
              <w:spacing w:after="0" w:line="264" w:lineRule="auto"/>
              <w:ind w:firstLine="420" w:firstLineChars="200"/>
              <w:jc w:val="both"/>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1.在满足资格条件的基础上，投标人自202</w:t>
            </w:r>
            <w:r>
              <w:rPr>
                <w:rFonts w:hint="eastAsia" w:ascii="宋体" w:hAnsi="宋体" w:cs="宋体"/>
                <w:bCs w:val="0"/>
                <w:color w:val="auto"/>
                <w:spacing w:val="0"/>
                <w:kern w:val="2"/>
                <w:sz w:val="21"/>
                <w:szCs w:val="21"/>
                <w:highlight w:val="none"/>
                <w:lang w:val="en-US" w:eastAsia="zh-CN"/>
              </w:rPr>
              <w:t>1</w:t>
            </w:r>
            <w:r>
              <w:rPr>
                <w:rFonts w:hint="eastAsia" w:ascii="宋体" w:hAnsi="宋体" w:cs="宋体"/>
                <w:bCs w:val="0"/>
                <w:color w:val="auto"/>
                <w:spacing w:val="0"/>
                <w:kern w:val="2"/>
                <w:sz w:val="21"/>
                <w:szCs w:val="21"/>
                <w:highlight w:val="none"/>
              </w:rPr>
              <w:t>年1月1日至今</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每完成1项</w:t>
            </w:r>
            <w:r>
              <w:rPr>
                <w:rFonts w:hint="eastAsia" w:ascii="宋体" w:hAnsi="宋体" w:cs="宋体"/>
                <w:bCs w:val="0"/>
                <w:color w:val="auto"/>
                <w:spacing w:val="0"/>
                <w:kern w:val="2"/>
                <w:sz w:val="21"/>
                <w:szCs w:val="21"/>
                <w:highlight w:val="none"/>
                <w:lang w:val="en-US" w:eastAsia="zh-CN"/>
              </w:rPr>
              <w:t>航道或水下相关测绘</w:t>
            </w:r>
            <w:r>
              <w:rPr>
                <w:rFonts w:hint="eastAsia" w:ascii="宋体" w:hAnsi="宋体" w:cs="宋体"/>
                <w:bCs w:val="0"/>
                <w:color w:val="auto"/>
                <w:spacing w:val="0"/>
                <w:kern w:val="2"/>
                <w:sz w:val="21"/>
                <w:szCs w:val="21"/>
                <w:highlight w:val="none"/>
              </w:rPr>
              <w:t>项目的，每项得5分；本项满分15分。</w:t>
            </w:r>
          </w:p>
          <w:p w14:paraId="3D584481">
            <w:pPr>
              <w:pStyle w:val="35"/>
              <w:spacing w:after="0" w:line="264" w:lineRule="auto"/>
              <w:ind w:firstLine="420" w:firstLineChars="200"/>
              <w:jc w:val="both"/>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注：1.每项业绩只计算一次分值</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业绩时间以签订合同时间为准；2.业绩需提供合同复印件作为评审依据，证明材料均加盖公章，未按要求提供相关证明材料的不得分。</w:t>
            </w:r>
          </w:p>
          <w:p w14:paraId="68780CA1">
            <w:pPr>
              <w:pStyle w:val="35"/>
              <w:spacing w:after="0" w:line="264" w:lineRule="auto"/>
              <w:ind w:firstLine="420" w:firstLineChars="200"/>
              <w:jc w:val="both"/>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2.投标供应商</w:t>
            </w:r>
            <w:r>
              <w:rPr>
                <w:rFonts w:hint="eastAsia" w:ascii="宋体" w:hAnsi="宋体" w:cs="宋体"/>
                <w:bCs w:val="0"/>
                <w:color w:val="auto"/>
                <w:spacing w:val="0"/>
                <w:kern w:val="2"/>
                <w:sz w:val="21"/>
                <w:szCs w:val="21"/>
                <w:highlight w:val="none"/>
                <w:lang w:val="en-US" w:eastAsia="zh-CN"/>
              </w:rPr>
              <w:t>同时</w:t>
            </w:r>
            <w:r>
              <w:rPr>
                <w:rFonts w:hint="eastAsia" w:ascii="宋体" w:hAnsi="宋体" w:cs="宋体"/>
                <w:bCs w:val="0"/>
                <w:color w:val="auto"/>
                <w:spacing w:val="0"/>
                <w:kern w:val="2"/>
                <w:sz w:val="21"/>
                <w:szCs w:val="21"/>
                <w:highlight w:val="none"/>
              </w:rPr>
              <w:t>具有ISO质量管理体系认证、环境管理体系认证、职业健康安全管理体系认证证书的得2分（认证范围涵盖“测绘”，且在有效期范围内）缺项不得分。</w:t>
            </w:r>
          </w:p>
          <w:p w14:paraId="482A25BB">
            <w:pPr>
              <w:pStyle w:val="35"/>
              <w:spacing w:after="0" w:line="264" w:lineRule="auto"/>
              <w:ind w:firstLine="420" w:firstLineChars="200"/>
              <w:jc w:val="both"/>
              <w:rPr>
                <w:rFonts w:ascii="宋体" w:hAnsi="宋体" w:cs="宋体"/>
                <w:color w:val="auto"/>
                <w:sz w:val="21"/>
                <w:szCs w:val="21"/>
                <w:highlight w:val="none"/>
              </w:rPr>
            </w:pPr>
            <w:r>
              <w:rPr>
                <w:rFonts w:hint="eastAsia" w:ascii="宋体" w:hAnsi="宋体" w:cs="宋体"/>
                <w:bCs w:val="0"/>
                <w:color w:val="auto"/>
                <w:spacing w:val="0"/>
                <w:kern w:val="2"/>
                <w:sz w:val="21"/>
                <w:szCs w:val="21"/>
                <w:highlight w:val="none"/>
              </w:rPr>
              <w:t>3.202</w:t>
            </w:r>
            <w:r>
              <w:rPr>
                <w:rFonts w:hint="eastAsia" w:ascii="宋体" w:hAnsi="宋体" w:cs="宋体"/>
                <w:bCs w:val="0"/>
                <w:color w:val="auto"/>
                <w:spacing w:val="0"/>
                <w:kern w:val="2"/>
                <w:sz w:val="21"/>
                <w:szCs w:val="21"/>
                <w:highlight w:val="none"/>
                <w:lang w:val="en-US" w:eastAsia="zh-CN"/>
              </w:rPr>
              <w:t>1</w:t>
            </w:r>
            <w:r>
              <w:rPr>
                <w:rFonts w:hint="eastAsia" w:ascii="宋体" w:hAnsi="宋体" w:cs="宋体"/>
                <w:bCs w:val="0"/>
                <w:color w:val="auto"/>
                <w:spacing w:val="0"/>
                <w:kern w:val="2"/>
                <w:sz w:val="21"/>
                <w:szCs w:val="21"/>
                <w:highlight w:val="none"/>
              </w:rPr>
              <w:t>年1月至今（以获奖证书颁发时间为准）每获得一个省部级（含）以上优秀成果奖</w:t>
            </w:r>
            <w:r>
              <w:rPr>
                <w:rFonts w:hint="eastAsia" w:ascii="宋体" w:hAnsi="宋体" w:cs="宋体"/>
                <w:bCs w:val="0"/>
                <w:color w:val="auto"/>
                <w:spacing w:val="0"/>
                <w:kern w:val="2"/>
                <w:sz w:val="21"/>
                <w:szCs w:val="21"/>
                <w:highlight w:val="none"/>
                <w:lang w:val="en-US" w:eastAsia="zh-CN"/>
              </w:rPr>
              <w:t>或行业协会（学会）的优质测绘地理信息产品奖</w:t>
            </w:r>
            <w:r>
              <w:rPr>
                <w:rFonts w:hint="eastAsia" w:ascii="宋体" w:hAnsi="宋体" w:cs="宋体"/>
                <w:bCs w:val="0"/>
                <w:color w:val="auto"/>
                <w:spacing w:val="0"/>
                <w:kern w:val="2"/>
                <w:sz w:val="21"/>
                <w:szCs w:val="21"/>
                <w:highlight w:val="none"/>
              </w:rPr>
              <w:t>（仅指测绘、测量类项目）得1.5分；每获得一个</w:t>
            </w:r>
            <w:r>
              <w:rPr>
                <w:rFonts w:hint="eastAsia" w:ascii="宋体" w:hAnsi="宋体" w:cs="宋体"/>
                <w:bCs w:val="0"/>
                <w:color w:val="auto"/>
                <w:spacing w:val="0"/>
                <w:kern w:val="2"/>
                <w:sz w:val="21"/>
                <w:szCs w:val="21"/>
                <w:highlight w:val="none"/>
                <w:lang w:val="en-US" w:eastAsia="zh-CN"/>
              </w:rPr>
              <w:t>市</w:t>
            </w:r>
            <w:r>
              <w:rPr>
                <w:rFonts w:hint="eastAsia" w:ascii="宋体" w:hAnsi="宋体" w:cs="宋体"/>
                <w:bCs w:val="0"/>
                <w:color w:val="auto"/>
                <w:spacing w:val="0"/>
                <w:kern w:val="2"/>
                <w:sz w:val="21"/>
                <w:szCs w:val="21"/>
                <w:highlight w:val="none"/>
              </w:rPr>
              <w:t>级（含）以上优秀成果奖（仅指测绘、测量类项目）得1分；本项满分5分。</w:t>
            </w:r>
          </w:p>
        </w:tc>
      </w:tr>
      <w:tr w14:paraId="62D03A3D">
        <w:tblPrEx>
          <w:tblCellMar>
            <w:top w:w="28" w:type="dxa"/>
            <w:left w:w="28" w:type="dxa"/>
            <w:bottom w:w="28" w:type="dxa"/>
            <w:right w:w="28" w:type="dxa"/>
          </w:tblCellMar>
        </w:tblPrEx>
        <w:trPr>
          <w:trHeight w:val="1372"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6402372B">
            <w:pPr>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三</w:t>
            </w:r>
          </w:p>
        </w:tc>
        <w:tc>
          <w:tcPr>
            <w:tcW w:w="1385" w:type="dxa"/>
            <w:tcBorders>
              <w:top w:val="single" w:color="000000" w:sz="4" w:space="0"/>
              <w:left w:val="single" w:color="auto" w:sz="4" w:space="0"/>
              <w:bottom w:val="single" w:color="000000" w:sz="4" w:space="0"/>
              <w:right w:val="single" w:color="000000" w:sz="4" w:space="0"/>
            </w:tcBorders>
            <w:vAlign w:val="center"/>
          </w:tcPr>
          <w:p w14:paraId="1BF007FB">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人员设备配置</w:t>
            </w:r>
          </w:p>
          <w:p w14:paraId="4BBEFD1C">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（满分30分）</w:t>
            </w:r>
          </w:p>
        </w:tc>
        <w:tc>
          <w:tcPr>
            <w:tcW w:w="7141" w:type="dxa"/>
            <w:tcBorders>
              <w:top w:val="single" w:color="000000" w:sz="4" w:space="0"/>
              <w:left w:val="single" w:color="000000" w:sz="4" w:space="0"/>
              <w:bottom w:val="single" w:color="000000" w:sz="4" w:space="0"/>
              <w:right w:val="single" w:color="000000" w:sz="4" w:space="0"/>
            </w:tcBorders>
            <w:vAlign w:val="center"/>
          </w:tcPr>
          <w:p w14:paraId="3A95ACB8">
            <w:pPr>
              <w:pStyle w:val="35"/>
              <w:spacing w:before="0" w:after="0" w:line="264" w:lineRule="auto"/>
              <w:ind w:firstLine="420" w:firstLineChars="200"/>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 拟投入人员具有高级职称</w:t>
            </w:r>
            <w:r>
              <w:rPr>
                <w:rFonts w:hint="eastAsia" w:ascii="宋体" w:hAnsi="宋体" w:cs="宋体"/>
                <w:bCs w:val="0"/>
                <w:color w:val="auto"/>
                <w:spacing w:val="0"/>
                <w:kern w:val="2"/>
                <w:sz w:val="21"/>
                <w:szCs w:val="21"/>
                <w:highlight w:val="none"/>
                <w:lang w:eastAsia="zh-CN"/>
              </w:rPr>
              <w:t>的，</w:t>
            </w:r>
            <w:r>
              <w:rPr>
                <w:rFonts w:hint="eastAsia" w:ascii="宋体" w:hAnsi="宋体" w:cs="宋体"/>
                <w:bCs w:val="0"/>
                <w:color w:val="auto"/>
                <w:spacing w:val="0"/>
                <w:kern w:val="2"/>
                <w:sz w:val="21"/>
                <w:szCs w:val="21"/>
                <w:highlight w:val="none"/>
              </w:rPr>
              <w:t>每人加2分；具有注册测绘师每人加3分，本项满分18分。</w:t>
            </w:r>
          </w:p>
          <w:p w14:paraId="3FD754E5">
            <w:pPr>
              <w:pStyle w:val="35"/>
              <w:spacing w:before="0" w:after="0" w:line="264" w:lineRule="auto"/>
              <w:ind w:firstLine="420" w:firstLineChars="200"/>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 以上人员202</w:t>
            </w:r>
            <w:r>
              <w:rPr>
                <w:rFonts w:hint="eastAsia" w:ascii="宋体" w:hAnsi="宋体" w:cs="宋体"/>
                <w:bCs w:val="0"/>
                <w:color w:val="auto"/>
                <w:spacing w:val="0"/>
                <w:kern w:val="2"/>
                <w:sz w:val="21"/>
                <w:szCs w:val="21"/>
                <w:highlight w:val="none"/>
                <w:lang w:val="en-US" w:eastAsia="zh-CN"/>
              </w:rPr>
              <w:t>1</w:t>
            </w:r>
            <w:r>
              <w:rPr>
                <w:rFonts w:hint="eastAsia" w:ascii="宋体" w:hAnsi="宋体" w:cs="宋体"/>
                <w:bCs w:val="0"/>
                <w:color w:val="auto"/>
                <w:spacing w:val="0"/>
                <w:kern w:val="2"/>
                <w:sz w:val="21"/>
                <w:szCs w:val="21"/>
                <w:highlight w:val="none"/>
              </w:rPr>
              <w:t>年1月至今（以获奖证书颁发时间为准）</w:t>
            </w:r>
            <w:r>
              <w:rPr>
                <w:rFonts w:hint="eastAsia" w:ascii="宋体" w:hAnsi="宋体" w:cs="宋体"/>
                <w:bCs w:val="0"/>
                <w:color w:val="auto"/>
                <w:spacing w:val="0"/>
                <w:kern w:val="2"/>
                <w:sz w:val="21"/>
                <w:szCs w:val="21"/>
                <w:highlight w:val="none"/>
                <w:lang w:val="en-US" w:eastAsia="zh-CN"/>
              </w:rPr>
              <w:t>获</w:t>
            </w:r>
            <w:r>
              <w:rPr>
                <w:rFonts w:hint="eastAsia" w:ascii="宋体" w:hAnsi="宋体" w:cs="宋体"/>
                <w:bCs w:val="0"/>
                <w:color w:val="auto"/>
                <w:spacing w:val="0"/>
                <w:kern w:val="2"/>
                <w:sz w:val="21"/>
                <w:szCs w:val="21"/>
                <w:highlight w:val="none"/>
              </w:rPr>
              <w:t>得省部级（含）以上优秀成果奖</w:t>
            </w:r>
            <w:r>
              <w:rPr>
                <w:rFonts w:hint="eastAsia" w:ascii="宋体" w:hAnsi="宋体" w:cs="宋体"/>
                <w:bCs w:val="0"/>
                <w:color w:val="auto"/>
                <w:spacing w:val="0"/>
                <w:kern w:val="2"/>
                <w:sz w:val="21"/>
                <w:szCs w:val="21"/>
                <w:highlight w:val="none"/>
                <w:lang w:val="en-US" w:eastAsia="zh-CN"/>
              </w:rPr>
              <w:t>或行业协会（学会）的优质测绘地理信息产品奖</w:t>
            </w:r>
            <w:r>
              <w:rPr>
                <w:rFonts w:hint="eastAsia" w:ascii="宋体" w:hAnsi="宋体" w:cs="宋体"/>
                <w:bCs w:val="0"/>
                <w:color w:val="auto"/>
                <w:spacing w:val="0"/>
                <w:kern w:val="2"/>
                <w:sz w:val="21"/>
                <w:szCs w:val="21"/>
                <w:highlight w:val="none"/>
              </w:rPr>
              <w:t>（仅指测绘、测量类项目）每人加1分，本项满分5分。</w:t>
            </w:r>
          </w:p>
          <w:p w14:paraId="0602AA27">
            <w:pPr>
              <w:pStyle w:val="35"/>
              <w:spacing w:before="0" w:after="0" w:line="264" w:lineRule="auto"/>
              <w:ind w:firstLine="420" w:firstLineChars="200"/>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3. 拟投入</w:t>
            </w:r>
            <w:r>
              <w:rPr>
                <w:rFonts w:hint="eastAsia" w:ascii="宋体" w:hAnsi="宋体" w:cs="宋体"/>
                <w:bCs w:val="0"/>
                <w:color w:val="auto"/>
                <w:spacing w:val="0"/>
                <w:kern w:val="2"/>
                <w:sz w:val="21"/>
                <w:szCs w:val="21"/>
                <w:highlight w:val="none"/>
                <w:lang w:eastAsia="zh-CN"/>
              </w:rPr>
              <w:t>自有</w:t>
            </w:r>
            <w:r>
              <w:rPr>
                <w:rFonts w:hint="eastAsia" w:ascii="宋体" w:hAnsi="宋体" w:cs="宋体"/>
                <w:bCs w:val="0"/>
                <w:color w:val="auto"/>
                <w:spacing w:val="0"/>
                <w:kern w:val="2"/>
                <w:sz w:val="21"/>
                <w:szCs w:val="21"/>
                <w:highlight w:val="none"/>
              </w:rPr>
              <w:t>测深仪或无人船2台（含）以上，得4分；拟投入</w:t>
            </w:r>
            <w:r>
              <w:rPr>
                <w:rFonts w:hint="eastAsia" w:ascii="宋体" w:hAnsi="宋体" w:cs="宋体"/>
                <w:bCs w:val="0"/>
                <w:color w:val="auto"/>
                <w:spacing w:val="0"/>
                <w:kern w:val="2"/>
                <w:sz w:val="21"/>
                <w:szCs w:val="21"/>
                <w:highlight w:val="none"/>
                <w:lang w:eastAsia="zh-CN"/>
              </w:rPr>
              <w:t>自有</w:t>
            </w:r>
            <w:r>
              <w:rPr>
                <w:rFonts w:hint="eastAsia" w:ascii="宋体" w:hAnsi="宋体" w:cs="宋体"/>
                <w:bCs w:val="0"/>
                <w:color w:val="auto"/>
                <w:spacing w:val="0"/>
                <w:kern w:val="2"/>
                <w:sz w:val="21"/>
                <w:szCs w:val="21"/>
                <w:highlight w:val="none"/>
              </w:rPr>
              <w:t>多波束1台（含）以上，得3分，本项满分7分。</w:t>
            </w:r>
          </w:p>
          <w:p w14:paraId="729B2DFB">
            <w:pPr>
              <w:pStyle w:val="35"/>
              <w:spacing w:before="0" w:after="0" w:line="264" w:lineRule="auto"/>
              <w:ind w:firstLine="420" w:firstLineChars="200"/>
              <w:rPr>
                <w:rFonts w:ascii="宋体" w:hAnsi="宋体" w:cs="宋体"/>
                <w:color w:val="auto"/>
                <w:sz w:val="21"/>
                <w:szCs w:val="21"/>
                <w:highlight w:val="none"/>
              </w:rPr>
            </w:pPr>
            <w:r>
              <w:rPr>
                <w:rFonts w:hint="eastAsia" w:ascii="宋体" w:hAnsi="宋体" w:cs="宋体"/>
                <w:bCs w:val="0"/>
                <w:color w:val="auto"/>
                <w:spacing w:val="0"/>
                <w:kern w:val="2"/>
                <w:sz w:val="21"/>
                <w:szCs w:val="21"/>
                <w:highlight w:val="none"/>
              </w:rPr>
              <w:t>注：1、提供职称证书、注册资格证书复印件作为评审依据2、提供购置发票或合同等证明复印件。证明材料均需加盖公章，未按要求提供相关证明材料的不得分</w:t>
            </w:r>
          </w:p>
        </w:tc>
      </w:tr>
      <w:tr w14:paraId="7E264BFB">
        <w:tblPrEx>
          <w:tblCellMar>
            <w:top w:w="28" w:type="dxa"/>
            <w:left w:w="28" w:type="dxa"/>
            <w:bottom w:w="28" w:type="dxa"/>
            <w:right w:w="28" w:type="dxa"/>
          </w:tblCellMar>
        </w:tblPrEx>
        <w:trPr>
          <w:trHeight w:val="2893"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236015E8">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四</w:t>
            </w:r>
          </w:p>
        </w:tc>
        <w:tc>
          <w:tcPr>
            <w:tcW w:w="1385" w:type="dxa"/>
            <w:tcBorders>
              <w:top w:val="single" w:color="000000" w:sz="4" w:space="0"/>
              <w:left w:val="single" w:color="auto" w:sz="4" w:space="0"/>
              <w:bottom w:val="single" w:color="000000" w:sz="4" w:space="0"/>
              <w:right w:val="single" w:color="000000" w:sz="4" w:space="0"/>
            </w:tcBorders>
            <w:vAlign w:val="center"/>
          </w:tcPr>
          <w:p w14:paraId="6B7B9334">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服务方案</w:t>
            </w:r>
          </w:p>
          <w:p w14:paraId="610F1F17">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（满分38分）</w:t>
            </w:r>
          </w:p>
        </w:tc>
        <w:tc>
          <w:tcPr>
            <w:tcW w:w="7141" w:type="dxa"/>
            <w:tcBorders>
              <w:top w:val="single" w:color="000000" w:sz="4" w:space="0"/>
              <w:left w:val="single" w:color="000000" w:sz="4" w:space="0"/>
              <w:bottom w:val="single" w:color="000000" w:sz="4" w:space="0"/>
              <w:right w:val="single" w:color="000000" w:sz="4" w:space="0"/>
            </w:tcBorders>
            <w:vAlign w:val="center"/>
          </w:tcPr>
          <w:p w14:paraId="6B9245BF">
            <w:pPr>
              <w:widowControl/>
              <w:spacing w:line="264" w:lineRule="auto"/>
              <w:ind w:firstLine="422" w:firstLineChars="200"/>
              <w:textAlignment w:val="center"/>
              <w:rPr>
                <w:rFonts w:ascii="宋体" w:hAnsi="宋体" w:cs="宋体"/>
                <w:color w:val="auto"/>
                <w:szCs w:val="21"/>
                <w:highlight w:val="none"/>
              </w:rPr>
            </w:pPr>
            <w:r>
              <w:rPr>
                <w:rFonts w:hint="eastAsia" w:ascii="宋体" w:hAnsi="宋体" w:cs="宋体"/>
                <w:b/>
                <w:color w:val="auto"/>
                <w:szCs w:val="21"/>
                <w:highlight w:val="none"/>
              </w:rPr>
              <w:t>优：</w:t>
            </w:r>
            <w:r>
              <w:rPr>
                <w:rFonts w:hint="eastAsia" w:ascii="宋体" w:hAnsi="宋体" w:cs="宋体"/>
                <w:color w:val="auto"/>
                <w:szCs w:val="21"/>
                <w:highlight w:val="none"/>
              </w:rPr>
              <w:t>工作思路清晰，内容详实，对项目重点要点分析准确到位，提出的安全措施可行、有针对性，评估结论客观准确，能很好地满足采购需求（32.1-38分）；</w:t>
            </w:r>
          </w:p>
          <w:p w14:paraId="63EEBF66">
            <w:pPr>
              <w:widowControl/>
              <w:spacing w:line="264" w:lineRule="auto"/>
              <w:ind w:firstLine="422" w:firstLineChars="200"/>
              <w:textAlignment w:val="center"/>
              <w:rPr>
                <w:rFonts w:ascii="宋体" w:hAnsi="宋体" w:cs="宋体"/>
                <w:color w:val="auto"/>
                <w:szCs w:val="21"/>
                <w:highlight w:val="none"/>
              </w:rPr>
            </w:pPr>
            <w:r>
              <w:rPr>
                <w:rFonts w:hint="eastAsia" w:ascii="宋体" w:hAnsi="宋体" w:cs="宋体"/>
                <w:b/>
                <w:color w:val="auto"/>
                <w:szCs w:val="21"/>
                <w:highlight w:val="none"/>
              </w:rPr>
              <w:t>良：</w:t>
            </w:r>
            <w:r>
              <w:rPr>
                <w:rFonts w:hint="eastAsia" w:ascii="宋体" w:hAnsi="宋体" w:cs="宋体"/>
                <w:color w:val="auto"/>
                <w:szCs w:val="21"/>
                <w:highlight w:val="none"/>
              </w:rPr>
              <w:t>工作思路较清晰，内容较详实，对项目重点要点分析比较准确到位，提出的安全措施可行、有针对性，评估结论客观准确，满足采购需求（26.1-32分）；</w:t>
            </w:r>
          </w:p>
          <w:p w14:paraId="607CA1D8">
            <w:pPr>
              <w:widowControl/>
              <w:spacing w:line="264" w:lineRule="auto"/>
              <w:ind w:firstLine="422" w:firstLineChars="200"/>
              <w:textAlignment w:val="center"/>
              <w:rPr>
                <w:rFonts w:ascii="宋体" w:hAnsi="宋体" w:cs="宋体"/>
                <w:color w:val="auto"/>
                <w:szCs w:val="21"/>
                <w:highlight w:val="none"/>
              </w:rPr>
            </w:pPr>
            <w:r>
              <w:rPr>
                <w:rFonts w:hint="eastAsia" w:ascii="宋体" w:hAnsi="宋体" w:cs="宋体"/>
                <w:b/>
                <w:color w:val="auto"/>
                <w:szCs w:val="21"/>
                <w:highlight w:val="none"/>
              </w:rPr>
              <w:t>中：</w:t>
            </w:r>
            <w:r>
              <w:rPr>
                <w:rFonts w:hint="eastAsia" w:ascii="宋体" w:hAnsi="宋体" w:cs="宋体"/>
                <w:color w:val="auto"/>
                <w:szCs w:val="21"/>
                <w:highlight w:val="none"/>
              </w:rPr>
              <w:t>工作思路基本清晰，内容基本详实，对项目重点要点分析基本准确到位，提出的安全措施可行，评估结论客观基本准确，基本满足采购需求（20.1-26分）；</w:t>
            </w:r>
          </w:p>
          <w:p w14:paraId="2D3102AA">
            <w:pPr>
              <w:widowControl/>
              <w:spacing w:line="264" w:lineRule="auto"/>
              <w:ind w:firstLine="422" w:firstLineChars="200"/>
              <w:textAlignment w:val="center"/>
              <w:rPr>
                <w:rFonts w:ascii="宋体" w:hAnsi="宋体" w:cs="宋体"/>
                <w:b/>
                <w:color w:val="auto"/>
                <w:szCs w:val="21"/>
                <w:highlight w:val="none"/>
              </w:rPr>
            </w:pPr>
            <w:r>
              <w:rPr>
                <w:rFonts w:hint="eastAsia" w:ascii="宋体" w:hAnsi="宋体" w:cs="宋体"/>
                <w:b/>
                <w:color w:val="auto"/>
                <w:szCs w:val="21"/>
                <w:highlight w:val="none"/>
              </w:rPr>
              <w:t>差：服务方案不能满足采购需求（0-20分）。</w:t>
            </w:r>
          </w:p>
        </w:tc>
      </w:tr>
      <w:tr w14:paraId="7A68E918">
        <w:tblPrEx>
          <w:tblCellMar>
            <w:top w:w="28" w:type="dxa"/>
            <w:left w:w="28" w:type="dxa"/>
            <w:bottom w:w="28" w:type="dxa"/>
            <w:right w:w="28" w:type="dxa"/>
          </w:tblCellMar>
        </w:tblPrEx>
        <w:trPr>
          <w:trHeight w:val="561"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1A7959B3">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五</w:t>
            </w:r>
          </w:p>
        </w:tc>
        <w:tc>
          <w:tcPr>
            <w:tcW w:w="8526" w:type="dxa"/>
            <w:gridSpan w:val="2"/>
            <w:tcBorders>
              <w:top w:val="single" w:color="000000" w:sz="4" w:space="0"/>
              <w:left w:val="single" w:color="auto" w:sz="4" w:space="0"/>
              <w:bottom w:val="single" w:color="000000" w:sz="4" w:space="0"/>
              <w:right w:val="single" w:color="000000" w:sz="4" w:space="0"/>
            </w:tcBorders>
            <w:vAlign w:val="center"/>
          </w:tcPr>
          <w:p w14:paraId="1D046414">
            <w:pPr>
              <w:widowControl/>
              <w:spacing w:line="264" w:lineRule="auto"/>
              <w:textAlignment w:val="center"/>
              <w:rPr>
                <w:rFonts w:ascii="宋体" w:hAnsi="宋体" w:cs="宋体"/>
                <w:color w:val="auto"/>
                <w:szCs w:val="21"/>
                <w:highlight w:val="none"/>
              </w:rPr>
            </w:pPr>
            <w:r>
              <w:rPr>
                <w:rFonts w:hint="eastAsia" w:ascii="宋体" w:hAnsi="宋体" w:cs="宋体"/>
                <w:color w:val="auto"/>
                <w:szCs w:val="21"/>
                <w:highlight w:val="none"/>
              </w:rPr>
              <w:t>总分=价格分+业绩分+人员配置分+服务方案分</w:t>
            </w:r>
          </w:p>
        </w:tc>
      </w:tr>
    </w:tbl>
    <w:p w14:paraId="7A92B17D">
      <w:pPr>
        <w:pStyle w:val="2"/>
        <w:spacing w:before="0" w:after="0" w:line="360" w:lineRule="auto"/>
        <w:jc w:val="center"/>
        <w:rPr>
          <w:color w:val="auto"/>
          <w:highlight w:val="none"/>
        </w:rPr>
      </w:pPr>
      <w:bookmarkStart w:id="70" w:name="_Toc21380"/>
      <w:bookmarkStart w:id="71" w:name="_Toc31417"/>
      <w:bookmarkStart w:id="72" w:name="_Toc12713"/>
      <w:bookmarkStart w:id="73" w:name="_Toc32720"/>
      <w:r>
        <w:rPr>
          <w:rFonts w:hint="eastAsia"/>
          <w:color w:val="auto"/>
          <w:sz w:val="28"/>
          <w:szCs w:val="28"/>
          <w:highlight w:val="none"/>
        </w:rPr>
        <w:t>第五章 中标和合同</w:t>
      </w:r>
      <w:bookmarkEnd w:id="70"/>
      <w:bookmarkEnd w:id="71"/>
      <w:bookmarkEnd w:id="72"/>
      <w:bookmarkEnd w:id="73"/>
    </w:p>
    <w:p w14:paraId="3BA3DD7D">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一、确定中标人</w:t>
      </w:r>
    </w:p>
    <w:p w14:paraId="14C461BE">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（一）采购人根据评审办法确定的中标候选人名单，总分排名第一的中标候选人为中标人。</w:t>
      </w:r>
    </w:p>
    <w:p w14:paraId="1A3FF50E">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（二）出现下列情形之一的，应予废标：</w:t>
      </w:r>
    </w:p>
    <w:p w14:paraId="78A3E832">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1.出现影响采购公正的违法、违规行为的；</w:t>
      </w:r>
    </w:p>
    <w:p w14:paraId="50E552A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2.投标人的报价均超过了采购预算，采购人不能支付的；</w:t>
      </w:r>
    </w:p>
    <w:p w14:paraId="310B3252">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3.因重大变故，采购任务取消的。</w:t>
      </w:r>
    </w:p>
    <w:p w14:paraId="2136B606">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废标后，采购人应当将废标理由通知所有投标人。</w:t>
      </w:r>
    </w:p>
    <w:p w14:paraId="78971E38">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二、结果公告</w:t>
      </w:r>
    </w:p>
    <w:p w14:paraId="3E6DA766">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一）采购人应当自中标人确定之日起2个工作日内，在广西壮族自治区水运发展中心网站(http://www.gxghj.cn/)公告中标结果，总分排名第一的中标候选人放弃中标资格的，则采购人可确定排名第二的中标候选人为中标人，以此类推，公示期3个工作日。</w:t>
      </w:r>
    </w:p>
    <w:p w14:paraId="33C9834C">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三、发出中标通知书</w:t>
      </w:r>
    </w:p>
    <w:p w14:paraId="251CF103">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在发布中标结果公告公示期满3个工作日后，采购人应向中标人发出中标通知书，中标通知书规定与采购人签订合同的时间。</w:t>
      </w:r>
    </w:p>
    <w:p w14:paraId="7A147577">
      <w:pPr>
        <w:widowControl/>
        <w:spacing w:line="360" w:lineRule="auto"/>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四、签订合同</w:t>
      </w:r>
    </w:p>
    <w:p w14:paraId="64602B48">
      <w:pPr>
        <w:spacing w:line="360" w:lineRule="auto"/>
        <w:ind w:firstLine="420" w:firstLineChars="200"/>
        <w:rPr>
          <w:rFonts w:ascii="宋体" w:hAnsi="宋体"/>
          <w:color w:val="auto"/>
          <w:kern w:val="0"/>
          <w:szCs w:val="21"/>
          <w:highlight w:val="none"/>
        </w:rPr>
      </w:pPr>
      <w:bookmarkStart w:id="74" w:name="_40.1投标人接到中标通知书后，按须知前附表规定向采购人出示相关资格证"/>
      <w:bookmarkEnd w:id="74"/>
      <w:r>
        <w:rPr>
          <w:rFonts w:hint="eastAsia" w:ascii="宋体" w:hAnsi="宋体"/>
          <w:color w:val="auto"/>
          <w:kern w:val="0"/>
          <w:szCs w:val="21"/>
          <w:highlight w:val="none"/>
        </w:rPr>
        <w:t>（一）签订合同：投标人领取中标通知书后，按中标通知书规定的时间与采购人签订合同。</w:t>
      </w:r>
    </w:p>
    <w:p w14:paraId="169994EB">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二）中标人拒绝签订合同（包括但不限于放弃中标、因不可抗力不能履行合同而放弃签订合同），采购人可以按照中标候选人名单排序，确定下一候选人为中标供应商，也可以重新开展采购活动。如采购人无正当理由拒签合同的，给中标供应商造成损失的，中标供应商可追究采购人承担相应的法律责任。</w:t>
      </w:r>
    </w:p>
    <w:p w14:paraId="659D8EE9">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三）采购合同是项目验收的依据，中标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0CD9C64D">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（四）采购人或中标供应商不得单方面向合同另一方提出任何采购文件没有约定的条件或不合理的要求，作为签订合同的条件；也不得协商另行订立背离采购文件和合同实质性内容的协议。</w:t>
      </w:r>
    </w:p>
    <w:p w14:paraId="6C468C0A">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（五）如签订合同并生效后，供应商无故拒绝或延期，除按照合同条款处理外，将承担相应的法律责任。</w:t>
      </w:r>
    </w:p>
    <w:p w14:paraId="4C64BB90">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六）政府采购合同履行中，采购人需追加与合同标的相同的货物、工程或者服务的，在不改变合同其他条款的前提下，可以与供应商协商签订补充合同，但所有补充合同的采购金额不得超过原合同采购金额的10%。</w:t>
      </w:r>
    </w:p>
    <w:p w14:paraId="63AC1124">
      <w:pPr>
        <w:widowControl/>
        <w:spacing w:line="360" w:lineRule="auto"/>
        <w:ind w:firstLine="482" w:firstLineChars="200"/>
        <w:rPr>
          <w:rFonts w:ascii="宋体" w:hAnsi="宋体" w:cs="宋体"/>
          <w:b/>
          <w:bCs/>
          <w:color w:val="auto"/>
          <w:sz w:val="24"/>
          <w:highlight w:val="none"/>
          <w:lang w:bidi="ar"/>
        </w:rPr>
      </w:pPr>
      <w:bookmarkStart w:id="75" w:name="_41.政府采购合同公告"/>
      <w:bookmarkEnd w:id="75"/>
      <w:r>
        <w:rPr>
          <w:rFonts w:hint="eastAsia" w:ascii="宋体" w:hAnsi="宋体" w:cs="宋体"/>
          <w:b/>
          <w:bCs/>
          <w:color w:val="auto"/>
          <w:sz w:val="24"/>
          <w:highlight w:val="none"/>
          <w:lang w:bidi="ar"/>
        </w:rPr>
        <w:t>五、 询问、质疑</w:t>
      </w:r>
    </w:p>
    <w:p w14:paraId="68EAFD44">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（一）供应商对采购活动事项有疑问的，可以向采购人提出询问，采购人或者采购代理机构应当在3个工作日内对供应商依法提出的询问作出答复，但答复的内容不得涉及商业秘密。</w:t>
      </w:r>
    </w:p>
    <w:p w14:paraId="295E7B41">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（二）供应商认为采购文件、采购过程或者中标结果使自己的合法权益受到损害的，必须在知道或者应知其权益受到损害之日起7个工作日内，以书面形式向采购人提出质疑。具体质疑起算时间如下： </w:t>
      </w:r>
    </w:p>
    <w:p w14:paraId="196F01B0">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1.对可以质疑的采购文件提出质疑的，为收到采购文件之日或者采购文件公告期限届满之日；</w:t>
      </w:r>
    </w:p>
    <w:p w14:paraId="6631745F">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2.对采购过程提出质疑的，为各采购程序环节结束之日；</w:t>
      </w:r>
    </w:p>
    <w:p w14:paraId="67C649F5">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3.对中标结果提出质疑的，为中标结果公告期限届满之日。</w:t>
      </w:r>
    </w:p>
    <w:p w14:paraId="6A624D7B">
      <w:pPr>
        <w:spacing w:line="360" w:lineRule="auto"/>
        <w:ind w:firstLine="420" w:firstLineChars="200"/>
        <w:rPr>
          <w:rFonts w:ascii="宋体" w:hAnsi="宋体"/>
          <w:color w:val="auto"/>
          <w:kern w:val="0"/>
          <w:szCs w:val="21"/>
          <w:highlight w:val="none"/>
        </w:rPr>
      </w:pPr>
      <w:bookmarkStart w:id="76" w:name="_9.2质疑、投诉应当采用书面形式，质疑函、投诉书均应明确阐述招标文件、"/>
      <w:bookmarkEnd w:id="76"/>
      <w:r>
        <w:rPr>
          <w:rFonts w:hint="eastAsia" w:ascii="宋体" w:hAnsi="宋体"/>
          <w:color w:val="auto"/>
          <w:kern w:val="0"/>
          <w:szCs w:val="21"/>
          <w:highlight w:val="none"/>
        </w:rPr>
        <w:t xml:space="preserve"> （三）供应商提出质疑应当提交质疑函和必要的证明材料，针对同一采购程序环节的质疑必须在法定质疑期内一次性提出。质疑函应当包括下列内容：</w:t>
      </w:r>
    </w:p>
    <w:p w14:paraId="4305B3D0">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1.供应商的姓名或者名称、地址、邮编、联系人及联系电话；</w:t>
      </w:r>
    </w:p>
    <w:p w14:paraId="471D7A6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2.质疑项目的名称；</w:t>
      </w:r>
    </w:p>
    <w:p w14:paraId="1DAA64D8">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3.具体、明确的质疑事项和与质疑事项相关的请求；</w:t>
      </w:r>
    </w:p>
    <w:p w14:paraId="590938CB">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4.事实依据；</w:t>
      </w:r>
    </w:p>
    <w:p w14:paraId="55601768">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5.必要的法律依据；</w:t>
      </w:r>
    </w:p>
    <w:p w14:paraId="72DB86E2">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6.提出质疑的日期。</w:t>
      </w:r>
    </w:p>
    <w:p w14:paraId="2446D4FF">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（四）采购人、采购代理机构认为供应商质疑不成立，或者成立但未对中标结果构成影响的，继续开展采购活动；认为供应商质疑成立且影响或者可能影响中标结果的，按照下列情况处理：</w:t>
      </w:r>
    </w:p>
    <w:p w14:paraId="51AF64C7">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1.对采购文件提出的质疑，依法通过澄清或者修改可以继续开展采购活动的，澄清或者修改采购文件后继续开展采购活动；否则应当修改采购文件后重新开展采购活动。</w:t>
      </w:r>
    </w:p>
    <w:p w14:paraId="79509127">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2.对采购过程、中标结果提出的质疑，合格供应商符合法定数量时，可以从合格的中标候选人中另行确定中标供应商的，应当依法另行确定中标供应商；否则应当重新开展采购活动。</w:t>
      </w:r>
    </w:p>
    <w:p w14:paraId="08227BB9">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质疑答复导致中标结果改变的，采购人应当将有关情况书面报告本级财政部门。</w:t>
      </w:r>
    </w:p>
    <w:p w14:paraId="23F11FB6">
      <w:pPr>
        <w:pStyle w:val="11"/>
        <w:rPr>
          <w:color w:val="auto"/>
          <w:highlight w:val="none"/>
        </w:rPr>
        <w:sectPr>
          <w:pgSz w:w="11910" w:h="16840"/>
          <w:pgMar w:top="1340" w:right="1446" w:bottom="1185" w:left="1508" w:header="720" w:footer="720" w:gutter="0"/>
          <w:cols w:space="720" w:num="1"/>
        </w:sectPr>
      </w:pPr>
    </w:p>
    <w:p w14:paraId="087093C8">
      <w:pPr>
        <w:pStyle w:val="11"/>
        <w:rPr>
          <w:color w:val="auto"/>
          <w:highlight w:val="none"/>
        </w:rPr>
      </w:pPr>
    </w:p>
    <w:p w14:paraId="7AC8D5E9">
      <w:pPr>
        <w:rPr>
          <w:color w:val="auto"/>
          <w:highlight w:val="none"/>
        </w:rPr>
      </w:pPr>
    </w:p>
    <w:p w14:paraId="566086FD">
      <w:pPr>
        <w:pStyle w:val="2"/>
        <w:spacing w:before="0" w:after="0" w:line="579" w:lineRule="auto"/>
        <w:jc w:val="center"/>
        <w:rPr>
          <w:color w:val="auto"/>
          <w:sz w:val="28"/>
          <w:szCs w:val="28"/>
          <w:highlight w:val="none"/>
        </w:rPr>
      </w:pPr>
      <w:bookmarkStart w:id="77" w:name="_Toc10156"/>
      <w:bookmarkStart w:id="78" w:name="_Toc15131"/>
      <w:bookmarkStart w:id="79" w:name="_Toc5116"/>
      <w:bookmarkStart w:id="80" w:name="_Toc15207"/>
      <w:bookmarkStart w:id="81" w:name="_Toc7276"/>
      <w:bookmarkStart w:id="82" w:name="_Toc8070"/>
      <w:bookmarkStart w:id="83" w:name="_Toc17325"/>
      <w:bookmarkStart w:id="84" w:name="_Toc29925"/>
      <w:bookmarkStart w:id="85" w:name="_Toc31993"/>
      <w:r>
        <w:rPr>
          <w:rFonts w:hint="eastAsia"/>
          <w:color w:val="auto"/>
          <w:sz w:val="28"/>
          <w:szCs w:val="28"/>
          <w:highlight w:val="none"/>
        </w:rPr>
        <w:t>第六章 响应文件格式</w:t>
      </w:r>
      <w:bookmarkEnd w:id="77"/>
      <w:bookmarkEnd w:id="78"/>
      <w:bookmarkEnd w:id="79"/>
      <w:bookmarkEnd w:id="80"/>
      <w:bookmarkEnd w:id="81"/>
      <w:bookmarkEnd w:id="82"/>
      <w:bookmarkEnd w:id="83"/>
      <w:bookmarkEnd w:id="84"/>
      <w:bookmarkEnd w:id="85"/>
    </w:p>
    <w:p w14:paraId="1A3F2E19">
      <w:pPr>
        <w:spacing w:line="240" w:lineRule="atLeast"/>
        <w:rPr>
          <w:rFonts w:ascii="仿宋_GB2312" w:hAnsi="仿宋_GB2312" w:eastAsia="仿宋_GB2312" w:cs="仿宋_GB2312"/>
          <w:bCs/>
          <w:color w:val="auto"/>
          <w:sz w:val="32"/>
          <w:szCs w:val="32"/>
          <w:highlight w:val="none"/>
        </w:rPr>
      </w:pPr>
    </w:p>
    <w:p w14:paraId="6D29C0F0">
      <w:pPr>
        <w:snapToGrid w:val="0"/>
        <w:spacing w:before="120" w:beforeLines="50" w:after="50" w:line="360" w:lineRule="auto"/>
        <w:jc w:val="left"/>
        <w:rPr>
          <w:rFonts w:ascii="宋体" w:hAnsi="宋体"/>
          <w:b/>
          <w:color w:val="auto"/>
          <w:sz w:val="24"/>
          <w:highlight w:val="none"/>
        </w:rPr>
      </w:pPr>
      <w:bookmarkStart w:id="86" w:name="_Toc35611438"/>
      <w:bookmarkStart w:id="87" w:name="_Toc44229899"/>
      <w:bookmarkStart w:id="88" w:name="_Toc31723070"/>
      <w:bookmarkStart w:id="89" w:name="_Toc31728084"/>
      <w:bookmarkStart w:id="90" w:name="_Toc71365925"/>
      <w:bookmarkStart w:id="91" w:name="_Toc35611516"/>
      <w:r>
        <w:rPr>
          <w:b/>
          <w:color w:val="auto"/>
          <w:sz w:val="32"/>
          <w:szCs w:val="32"/>
          <w:highlight w:val="none"/>
        </w:rPr>
        <w:br w:type="page"/>
      </w:r>
      <w:bookmarkEnd w:id="86"/>
      <w:bookmarkEnd w:id="87"/>
      <w:bookmarkEnd w:id="88"/>
      <w:bookmarkEnd w:id="89"/>
      <w:bookmarkEnd w:id="90"/>
      <w:bookmarkEnd w:id="91"/>
    </w:p>
    <w:p w14:paraId="64D70F2F">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897BB04">
      <w:pPr>
        <w:snapToGrid w:val="0"/>
        <w:spacing w:before="120" w:beforeLines="50" w:after="50"/>
        <w:rPr>
          <w:rFonts w:ascii="宋体" w:hAnsi="宋体"/>
          <w:color w:val="auto"/>
          <w:sz w:val="24"/>
          <w:szCs w:val="20"/>
          <w:highlight w:val="none"/>
        </w:rPr>
      </w:pPr>
    </w:p>
    <w:p w14:paraId="266C110A">
      <w:pPr>
        <w:snapToGrid w:val="0"/>
        <w:spacing w:before="120" w:beforeLines="50" w:after="50"/>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rPr>
        <w:t>北海港铁山港区1万至3万吨级锚地工程</w:t>
      </w:r>
      <w:r>
        <w:rPr>
          <w:rFonts w:hint="eastAsia" w:ascii="宋体" w:hAnsi="宋体" w:cs="宋体"/>
          <w:color w:val="auto"/>
          <w:sz w:val="32"/>
          <w:szCs w:val="32"/>
          <w:highlight w:val="none"/>
          <w:lang w:eastAsia="zh-CN"/>
        </w:rPr>
        <w:t>交工验收</w:t>
      </w:r>
    </w:p>
    <w:p w14:paraId="0D609ADA">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lang w:eastAsia="zh-CN"/>
        </w:rPr>
        <w:t>测量</w:t>
      </w:r>
      <w:r>
        <w:rPr>
          <w:rFonts w:hint="eastAsia" w:ascii="宋体" w:hAnsi="宋体" w:cs="宋体"/>
          <w:color w:val="auto"/>
          <w:sz w:val="32"/>
          <w:szCs w:val="32"/>
          <w:highlight w:val="none"/>
        </w:rPr>
        <w:t>服务采购项目</w:t>
      </w:r>
    </w:p>
    <w:p w14:paraId="584F3B4A">
      <w:pPr>
        <w:snapToGrid w:val="0"/>
        <w:spacing w:before="120" w:beforeLines="50" w:after="50"/>
        <w:jc w:val="center"/>
        <w:rPr>
          <w:rFonts w:ascii="宋体" w:hAnsi="宋体" w:cs="宋体"/>
          <w:bCs/>
          <w:color w:val="auto"/>
          <w:sz w:val="32"/>
          <w:szCs w:val="32"/>
          <w:highlight w:val="none"/>
        </w:rPr>
      </w:pPr>
    </w:p>
    <w:p w14:paraId="32CE70DA">
      <w:pPr>
        <w:snapToGrid w:val="0"/>
        <w:spacing w:before="120" w:beforeLines="50" w:after="50"/>
        <w:jc w:val="center"/>
        <w:rPr>
          <w:rFonts w:ascii="黑体" w:hAnsi="黑体" w:eastAsia="黑体" w:cs="黑体"/>
          <w:bCs/>
          <w:color w:val="auto"/>
          <w:sz w:val="84"/>
          <w:szCs w:val="84"/>
          <w:highlight w:val="none"/>
        </w:rPr>
      </w:pPr>
      <w:r>
        <w:rPr>
          <w:rFonts w:hint="eastAsia" w:ascii="黑体" w:hAnsi="黑体" w:eastAsia="黑体" w:cs="黑体"/>
          <w:bCs/>
          <w:color w:val="auto"/>
          <w:sz w:val="84"/>
          <w:szCs w:val="84"/>
          <w:highlight w:val="none"/>
        </w:rPr>
        <w:t>响 应 文 件</w:t>
      </w:r>
    </w:p>
    <w:p w14:paraId="37F51CE0">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p>
    <w:p w14:paraId="57E7D048">
      <w:pPr>
        <w:snapToGrid w:val="0"/>
        <w:spacing w:before="120" w:beforeLines="50" w:after="50"/>
        <w:jc w:val="center"/>
        <w:rPr>
          <w:rFonts w:ascii="方正小标宋简体" w:hAnsi="方正小标宋简体" w:eastAsia="方正小标宋简体" w:cs="方正小标宋简体"/>
          <w:bCs/>
          <w:color w:val="auto"/>
          <w:sz w:val="32"/>
          <w:szCs w:val="32"/>
          <w:highlight w:val="none"/>
        </w:rPr>
      </w:pPr>
    </w:p>
    <w:p w14:paraId="5D34B565">
      <w:pPr>
        <w:snapToGrid w:val="0"/>
        <w:spacing w:before="120" w:beforeLines="50" w:after="50"/>
        <w:rPr>
          <w:rFonts w:ascii="宋体" w:hAnsi="宋体"/>
          <w:bCs/>
          <w:color w:val="auto"/>
          <w:sz w:val="24"/>
          <w:szCs w:val="20"/>
          <w:highlight w:val="none"/>
        </w:rPr>
      </w:pPr>
    </w:p>
    <w:p w14:paraId="3EAB8727">
      <w:pPr>
        <w:snapToGrid w:val="0"/>
        <w:spacing w:before="120" w:beforeLines="50" w:after="50"/>
        <w:rPr>
          <w:rFonts w:ascii="宋体" w:hAnsi="宋体"/>
          <w:bCs/>
          <w:color w:val="auto"/>
          <w:sz w:val="24"/>
          <w:szCs w:val="20"/>
          <w:highlight w:val="none"/>
        </w:rPr>
      </w:pPr>
    </w:p>
    <w:p w14:paraId="48B65A91">
      <w:pPr>
        <w:snapToGrid w:val="0"/>
        <w:spacing w:before="120" w:beforeLines="50" w:after="50"/>
        <w:rPr>
          <w:rFonts w:ascii="宋体" w:hAnsi="宋体"/>
          <w:bCs/>
          <w:color w:val="auto"/>
          <w:sz w:val="24"/>
          <w:szCs w:val="20"/>
          <w:highlight w:val="none"/>
        </w:rPr>
      </w:pPr>
    </w:p>
    <w:p w14:paraId="30A3DB5E">
      <w:pPr>
        <w:snapToGrid w:val="0"/>
        <w:spacing w:before="120" w:beforeLines="50" w:after="50"/>
        <w:ind w:firstLine="640" w:firstLineChars="200"/>
        <w:rPr>
          <w:rFonts w:ascii="宋体" w:hAnsi="宋体" w:cs="仿宋_GB2312"/>
          <w:bCs/>
          <w:color w:val="auto"/>
          <w:sz w:val="32"/>
          <w:szCs w:val="32"/>
          <w:highlight w:val="none"/>
        </w:rPr>
      </w:pPr>
    </w:p>
    <w:p w14:paraId="5AEF6C0B">
      <w:pPr>
        <w:snapToGrid w:val="0"/>
        <w:spacing w:before="120" w:beforeLines="50" w:after="50"/>
        <w:ind w:firstLine="720" w:firstLineChars="225"/>
        <w:rPr>
          <w:rFonts w:ascii="宋体" w:hAnsi="宋体" w:cs="仿宋_GB2312"/>
          <w:bCs/>
          <w:color w:val="auto"/>
          <w:sz w:val="32"/>
          <w:szCs w:val="32"/>
          <w:highlight w:val="none"/>
        </w:rPr>
      </w:pPr>
    </w:p>
    <w:p w14:paraId="7DFC96C4">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r>
        <w:rPr>
          <w:rFonts w:hint="eastAsia" w:ascii="宋体" w:hAnsi="宋体" w:cs="仿宋_GB2312"/>
          <w:bCs/>
          <w:color w:val="auto"/>
          <w:sz w:val="32"/>
          <w:szCs w:val="32"/>
          <w:highlight w:val="none"/>
          <w:u w:val="single"/>
        </w:rPr>
        <w:t xml:space="preserve">                         </w:t>
      </w:r>
      <w:r>
        <w:rPr>
          <w:rFonts w:hint="eastAsia" w:ascii="宋体" w:hAnsi="宋体" w:cs="仿宋_GB2312"/>
          <w:bCs/>
          <w:color w:val="auto"/>
          <w:sz w:val="32"/>
          <w:szCs w:val="32"/>
          <w:highlight w:val="none"/>
        </w:rPr>
        <w:t>（盖单位公章）</w:t>
      </w:r>
    </w:p>
    <w:p w14:paraId="0B08BB91">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法定代表人或其委托代理人：</w:t>
      </w:r>
      <w:r>
        <w:rPr>
          <w:rFonts w:hint="eastAsia" w:ascii="宋体" w:hAnsi="宋体" w:cs="仿宋_GB2312"/>
          <w:bCs/>
          <w:color w:val="auto"/>
          <w:sz w:val="32"/>
          <w:szCs w:val="32"/>
          <w:highlight w:val="none"/>
          <w:u w:val="single"/>
        </w:rPr>
        <w:t xml:space="preserve">           </w:t>
      </w:r>
      <w:r>
        <w:rPr>
          <w:rFonts w:hint="eastAsia" w:ascii="宋体" w:hAnsi="宋体" w:cs="仿宋_GB2312"/>
          <w:bCs/>
          <w:color w:val="auto"/>
          <w:sz w:val="32"/>
          <w:szCs w:val="32"/>
          <w:highlight w:val="none"/>
        </w:rPr>
        <w:t>（签字）</w:t>
      </w:r>
    </w:p>
    <w:p w14:paraId="36E8C87D">
      <w:pPr>
        <w:snapToGrid w:val="0"/>
        <w:spacing w:before="120" w:beforeLines="50" w:after="50"/>
        <w:ind w:firstLine="720" w:firstLineChars="225"/>
        <w:rPr>
          <w:rFonts w:ascii="宋体" w:hAnsi="宋体" w:cs="仿宋_GB2312"/>
          <w:bCs/>
          <w:color w:val="auto"/>
          <w:sz w:val="32"/>
          <w:szCs w:val="32"/>
          <w:highlight w:val="none"/>
        </w:rPr>
      </w:pPr>
    </w:p>
    <w:p w14:paraId="71B1306F">
      <w:pPr>
        <w:pStyle w:val="7"/>
        <w:snapToGrid w:val="0"/>
        <w:spacing w:before="50" w:after="50"/>
        <w:ind w:firstLine="720" w:firstLineChars="225"/>
        <w:rPr>
          <w:rFonts w:ascii="宋体" w:hAnsi="宋体" w:cs="仿宋_GB2312"/>
          <w:bCs/>
          <w:color w:val="auto"/>
          <w:sz w:val="32"/>
          <w:szCs w:val="32"/>
          <w:highlight w:val="none"/>
        </w:rPr>
      </w:pPr>
    </w:p>
    <w:p w14:paraId="3E480A6E">
      <w:pPr>
        <w:pStyle w:val="7"/>
        <w:snapToGrid w:val="0"/>
        <w:spacing w:before="50" w:after="50"/>
        <w:ind w:firstLine="720" w:firstLineChars="225"/>
        <w:rPr>
          <w:rFonts w:ascii="宋体" w:hAnsi="宋体" w:cs="仿宋_GB2312"/>
          <w:bCs/>
          <w:color w:val="auto"/>
          <w:sz w:val="32"/>
          <w:szCs w:val="32"/>
          <w:highlight w:val="none"/>
        </w:rPr>
      </w:pPr>
    </w:p>
    <w:p w14:paraId="1408C6EE">
      <w:pPr>
        <w:pStyle w:val="7"/>
        <w:snapToGrid w:val="0"/>
        <w:spacing w:before="50" w:after="50"/>
        <w:ind w:firstLine="720" w:firstLineChars="225"/>
        <w:rPr>
          <w:rFonts w:ascii="宋体" w:hAnsi="宋体" w:cs="仿宋_GB2312"/>
          <w:bCs/>
          <w:color w:val="auto"/>
          <w:sz w:val="32"/>
          <w:szCs w:val="32"/>
          <w:highlight w:val="none"/>
        </w:rPr>
      </w:pPr>
    </w:p>
    <w:p w14:paraId="3D4443E1">
      <w:pPr>
        <w:pStyle w:val="7"/>
        <w:snapToGrid w:val="0"/>
        <w:spacing w:before="50" w:after="50"/>
        <w:ind w:firstLine="1280" w:firstLineChars="400"/>
        <w:rPr>
          <w:rFonts w:ascii="宋体" w:hAnsi="宋体" w:cs="仿宋_GB2312"/>
          <w:bCs/>
          <w:color w:val="auto"/>
          <w:sz w:val="32"/>
          <w:szCs w:val="32"/>
          <w:highlight w:val="none"/>
        </w:rPr>
      </w:pPr>
    </w:p>
    <w:p w14:paraId="7C5148E9">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u w:val="single"/>
        </w:rPr>
        <w:t xml:space="preserve">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u w:val="single"/>
        </w:rPr>
        <w:t xml:space="preserve">    </w:t>
      </w:r>
      <w:r>
        <w:rPr>
          <w:rFonts w:hint="eastAsia" w:ascii="宋体" w:hAnsi="宋体" w:cs="仿宋_GB2312"/>
          <w:color w:val="auto"/>
          <w:sz w:val="32"/>
          <w:szCs w:val="32"/>
          <w:highlight w:val="none"/>
        </w:rPr>
        <w:t>月</w:t>
      </w:r>
      <w:r>
        <w:rPr>
          <w:rFonts w:hint="eastAsia" w:ascii="宋体" w:hAnsi="宋体" w:cs="仿宋_GB2312"/>
          <w:color w:val="auto"/>
          <w:sz w:val="32"/>
          <w:szCs w:val="32"/>
          <w:highlight w:val="none"/>
          <w:u w:val="single"/>
        </w:rPr>
        <w:t xml:space="preserve">    </w:t>
      </w:r>
      <w:r>
        <w:rPr>
          <w:rFonts w:hint="eastAsia" w:ascii="宋体" w:hAnsi="宋体" w:cs="仿宋_GB2312"/>
          <w:color w:val="auto"/>
          <w:sz w:val="32"/>
          <w:szCs w:val="32"/>
          <w:highlight w:val="none"/>
        </w:rPr>
        <w:t>日</w:t>
      </w:r>
    </w:p>
    <w:p w14:paraId="62FA388E">
      <w:pPr>
        <w:snapToGrid w:val="0"/>
        <w:spacing w:before="120" w:beforeLines="50" w:after="50" w:line="360" w:lineRule="auto"/>
        <w:jc w:val="center"/>
        <w:outlineLvl w:val="1"/>
        <w:rPr>
          <w:rFonts w:ascii="宋体" w:hAnsi="宋体"/>
          <w:b/>
          <w:bCs/>
          <w:color w:val="auto"/>
          <w:sz w:val="36"/>
          <w:szCs w:val="36"/>
          <w:highlight w:val="none"/>
        </w:rPr>
      </w:pPr>
      <w:r>
        <w:rPr>
          <w:rFonts w:ascii="宋体" w:hAnsi="宋体"/>
          <w:color w:val="auto"/>
          <w:sz w:val="24"/>
          <w:highlight w:val="none"/>
        </w:rPr>
        <w:br w:type="page"/>
      </w:r>
      <w:bookmarkStart w:id="92" w:name="_Toc14424"/>
      <w:bookmarkStart w:id="93" w:name="_Toc18860"/>
      <w:bookmarkStart w:id="94" w:name="_Toc14824"/>
      <w:bookmarkStart w:id="95" w:name="_Toc13495"/>
      <w:bookmarkStart w:id="96" w:name="_Toc15878"/>
      <w:bookmarkStart w:id="97" w:name="_Toc28937"/>
      <w:bookmarkStart w:id="98" w:name="_Toc5241"/>
      <w:bookmarkStart w:id="99" w:name="_Toc4852"/>
      <w:bookmarkStart w:id="100" w:name="_Toc18803"/>
      <w:r>
        <w:rPr>
          <w:rFonts w:hint="eastAsia" w:ascii="宋体" w:hAnsi="宋体"/>
          <w:b/>
          <w:bCs/>
          <w:color w:val="auto"/>
          <w:sz w:val="36"/>
          <w:szCs w:val="36"/>
          <w:highlight w:val="none"/>
        </w:rPr>
        <w:t>目录</w:t>
      </w:r>
      <w:bookmarkEnd w:id="92"/>
      <w:bookmarkEnd w:id="93"/>
      <w:bookmarkEnd w:id="94"/>
      <w:bookmarkEnd w:id="95"/>
      <w:bookmarkEnd w:id="96"/>
      <w:bookmarkEnd w:id="97"/>
      <w:bookmarkEnd w:id="98"/>
      <w:bookmarkEnd w:id="99"/>
      <w:bookmarkEnd w:id="100"/>
    </w:p>
    <w:p w14:paraId="39CE4607">
      <w:pPr>
        <w:snapToGrid w:val="0"/>
        <w:spacing w:before="120" w:beforeLines="50" w:after="50"/>
        <w:rPr>
          <w:rFonts w:ascii="宋体" w:hAnsi="宋体"/>
          <w:color w:val="auto"/>
          <w:sz w:val="24"/>
          <w:szCs w:val="20"/>
          <w:highlight w:val="none"/>
        </w:rPr>
      </w:pPr>
    </w:p>
    <w:p w14:paraId="34AB5541">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一、投标函</w:t>
      </w:r>
    </w:p>
    <w:p w14:paraId="4D6F8E3F">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二、法定代表人身份证明（适用于无委托代理人的情况）</w:t>
      </w:r>
    </w:p>
    <w:p w14:paraId="1FD119A3">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二、授权委托书（适用于有委托代理人的情况）</w:t>
      </w:r>
    </w:p>
    <w:p w14:paraId="1347E86E">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三、报价清单</w:t>
      </w:r>
    </w:p>
    <w:p w14:paraId="432F9C0A">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四、资格审查资料</w:t>
      </w:r>
    </w:p>
    <w:p w14:paraId="05030EBB">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(一)投标人基本情况表</w:t>
      </w:r>
    </w:p>
    <w:p w14:paraId="7946F76A">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(二)近年的业绩证明文件</w:t>
      </w:r>
    </w:p>
    <w:p w14:paraId="67355FAA">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(三)供应商信用及守法证明材料</w:t>
      </w:r>
    </w:p>
    <w:p w14:paraId="78E4D1AC">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(四)拟投入的主要人员表</w:t>
      </w:r>
    </w:p>
    <w:p w14:paraId="3141D705">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五、服务方案</w:t>
      </w:r>
    </w:p>
    <w:p w14:paraId="02D61FD9">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六、其他资料</w:t>
      </w:r>
    </w:p>
    <w:p w14:paraId="7DD84492">
      <w:pPr>
        <w:spacing w:line="300" w:lineRule="auto"/>
        <w:rPr>
          <w:rFonts w:ascii="宋体" w:hAnsi="宋体"/>
          <w:color w:val="auto"/>
          <w:szCs w:val="21"/>
          <w:highlight w:val="none"/>
        </w:rPr>
      </w:pPr>
    </w:p>
    <w:p w14:paraId="44C0EBAB">
      <w:pPr>
        <w:spacing w:line="300" w:lineRule="auto"/>
        <w:rPr>
          <w:rFonts w:ascii="宋体" w:hAnsi="宋体"/>
          <w:color w:val="auto"/>
          <w:szCs w:val="21"/>
          <w:highlight w:val="none"/>
        </w:rPr>
      </w:pPr>
    </w:p>
    <w:p w14:paraId="6D365B16">
      <w:pPr>
        <w:spacing w:line="300" w:lineRule="auto"/>
        <w:rPr>
          <w:rFonts w:ascii="宋体" w:hAnsi="宋体"/>
          <w:color w:val="auto"/>
          <w:szCs w:val="21"/>
          <w:highlight w:val="none"/>
        </w:rPr>
      </w:pPr>
    </w:p>
    <w:p w14:paraId="180D0B1F">
      <w:pPr>
        <w:spacing w:line="300" w:lineRule="auto"/>
        <w:rPr>
          <w:rFonts w:ascii="宋体" w:hAnsi="宋体"/>
          <w:color w:val="auto"/>
          <w:szCs w:val="21"/>
          <w:highlight w:val="none"/>
        </w:rPr>
      </w:pPr>
    </w:p>
    <w:p w14:paraId="3A2A460A">
      <w:pPr>
        <w:jc w:val="center"/>
        <w:outlineLvl w:val="1"/>
        <w:rPr>
          <w:rFonts w:ascii="黑体" w:hAnsi="黑体" w:eastAsia="黑体" w:cs="黑体"/>
          <w:color w:val="auto"/>
          <w:sz w:val="36"/>
          <w:szCs w:val="36"/>
          <w:highlight w:val="none"/>
        </w:rPr>
      </w:pPr>
      <w:r>
        <w:rPr>
          <w:rFonts w:ascii="宋体" w:hAnsi="宋体"/>
          <w:color w:val="auto"/>
          <w:szCs w:val="21"/>
          <w:highlight w:val="none"/>
        </w:rPr>
        <w:br w:type="page"/>
      </w:r>
      <w:bookmarkStart w:id="101" w:name="_Toc31375"/>
      <w:bookmarkStart w:id="102" w:name="_Toc10457"/>
      <w:bookmarkStart w:id="103" w:name="_Toc10047"/>
      <w:bookmarkStart w:id="104" w:name="_Toc30651"/>
      <w:bookmarkStart w:id="105" w:name="_Toc2649"/>
      <w:bookmarkStart w:id="106" w:name="_Toc11212"/>
      <w:bookmarkStart w:id="107" w:name="_Toc12166"/>
      <w:bookmarkStart w:id="108" w:name="_Toc5505"/>
      <w:bookmarkStart w:id="109" w:name="_Toc29629"/>
      <w:r>
        <w:rPr>
          <w:rFonts w:hint="eastAsia" w:ascii="黑体" w:hAnsi="黑体" w:eastAsia="黑体" w:cs="黑体"/>
          <w:color w:val="auto"/>
          <w:sz w:val="36"/>
          <w:szCs w:val="36"/>
          <w:highlight w:val="none"/>
        </w:rPr>
        <w:t>一、投标函</w:t>
      </w:r>
      <w:bookmarkEnd w:id="101"/>
      <w:bookmarkEnd w:id="102"/>
      <w:bookmarkEnd w:id="103"/>
      <w:bookmarkEnd w:id="104"/>
      <w:bookmarkEnd w:id="105"/>
      <w:bookmarkEnd w:id="106"/>
      <w:bookmarkEnd w:id="107"/>
      <w:bookmarkEnd w:id="108"/>
      <w:bookmarkEnd w:id="109"/>
    </w:p>
    <w:p w14:paraId="0970D45D">
      <w:pPr>
        <w:spacing w:line="320" w:lineRule="exact"/>
        <w:jc w:val="center"/>
        <w:rPr>
          <w:rFonts w:ascii="宋体" w:hAnsi="宋体"/>
          <w:b/>
          <w:color w:val="auto"/>
          <w:sz w:val="32"/>
          <w:szCs w:val="32"/>
          <w:highlight w:val="none"/>
        </w:rPr>
      </w:pPr>
    </w:p>
    <w:p w14:paraId="43888852">
      <w:pPr>
        <w:jc w:val="center"/>
        <w:rPr>
          <w:rFonts w:ascii="宋体" w:hAnsi="宋体"/>
          <w:b/>
          <w:color w:val="auto"/>
          <w:sz w:val="32"/>
          <w:szCs w:val="32"/>
          <w:highlight w:val="none"/>
        </w:rPr>
      </w:pPr>
      <w:r>
        <w:rPr>
          <w:rFonts w:hint="eastAsia" w:ascii="宋体" w:hAnsi="宋体"/>
          <w:b/>
          <w:color w:val="auto"/>
          <w:sz w:val="32"/>
          <w:szCs w:val="32"/>
          <w:highlight w:val="none"/>
        </w:rPr>
        <w:t>投标函</w:t>
      </w:r>
    </w:p>
    <w:p w14:paraId="1F941CA9">
      <w:pPr>
        <w:spacing w:line="320" w:lineRule="exact"/>
        <w:jc w:val="center"/>
        <w:rPr>
          <w:rFonts w:ascii="宋体" w:hAnsi="宋体"/>
          <w:color w:val="auto"/>
          <w:sz w:val="24"/>
          <w:szCs w:val="20"/>
          <w:highlight w:val="none"/>
        </w:rPr>
      </w:pPr>
    </w:p>
    <w:p w14:paraId="2AF0C309">
      <w:pPr>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广西壮族自治区水运发展中心 </w:t>
      </w:r>
      <w:r>
        <w:rPr>
          <w:rFonts w:hint="eastAsia" w:ascii="宋体" w:hAnsi="宋体" w:cs="宋体"/>
          <w:color w:val="auto"/>
          <w:sz w:val="24"/>
          <w:highlight w:val="none"/>
        </w:rPr>
        <w:t>：</w:t>
      </w:r>
    </w:p>
    <w:p w14:paraId="131C744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北海港铁山港区1万至3万吨级锚地工程</w:t>
      </w:r>
      <w:r>
        <w:rPr>
          <w:rFonts w:hint="eastAsia" w:ascii="宋体" w:hAnsi="宋体" w:cs="宋体"/>
          <w:color w:val="auto"/>
          <w:sz w:val="24"/>
          <w:highlight w:val="none"/>
          <w:u w:val="single"/>
          <w:lang w:eastAsia="zh-CN"/>
        </w:rPr>
        <w:t>交工验收测量</w:t>
      </w:r>
      <w:r>
        <w:rPr>
          <w:rFonts w:hint="eastAsia" w:ascii="宋体" w:hAnsi="宋体" w:cs="宋体"/>
          <w:color w:val="auto"/>
          <w:sz w:val="24"/>
          <w:highlight w:val="none"/>
          <w:u w:val="single"/>
        </w:rPr>
        <w:t>服务</w:t>
      </w:r>
      <w:r>
        <w:rPr>
          <w:rFonts w:hint="eastAsia" w:ascii="宋体" w:hAnsi="宋体" w:cs="宋体"/>
          <w:color w:val="auto"/>
          <w:sz w:val="24"/>
          <w:highlight w:val="none"/>
        </w:rPr>
        <w:t>采购文件的全部内容，愿意以人民币（大写）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的投标总报价（其中，增值税税率为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日历天，按合同约定完成测量工作。</w:t>
      </w:r>
    </w:p>
    <w:p w14:paraId="46B981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2.我方的响应文件包括下列内容：：</w:t>
      </w:r>
    </w:p>
    <w:p w14:paraId="2D48AF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（1）投标函；</w:t>
      </w:r>
    </w:p>
    <w:p w14:paraId="7B4EA6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（2）法定代表人身份证明或授权委托书；</w:t>
      </w:r>
    </w:p>
    <w:p w14:paraId="5A5971B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（3）报价清单；</w:t>
      </w:r>
    </w:p>
    <w:p w14:paraId="391CD3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（4）资格审查资料；</w:t>
      </w:r>
    </w:p>
    <w:p w14:paraId="447422D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（5）服务方案。</w:t>
      </w:r>
    </w:p>
    <w:p w14:paraId="2248397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响应文件的上述组成部分如存在内容不一致的，以投标函为准。</w:t>
      </w:r>
    </w:p>
    <w:p w14:paraId="315E02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3.我方承诺在采购文件规定的投标有效期内不撤销响应文件。</w:t>
      </w:r>
    </w:p>
    <w:p w14:paraId="41E8348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4.如我方中标，我方承诺：</w:t>
      </w:r>
    </w:p>
    <w:p w14:paraId="689632E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（1）在收到中标通知书后，在中标通知书规定的期限内与你方签订合同；</w:t>
      </w:r>
    </w:p>
    <w:p w14:paraId="50DFF53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5CC8B49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（3）在合同约定的期限内完成合同规定的全部义务。</w:t>
      </w:r>
    </w:p>
    <w:p w14:paraId="5C9407A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5.我方在此声明，所递交的响应文件及有关资料内容完整、真实和准确。</w:t>
      </w:r>
    </w:p>
    <w:p w14:paraId="1843B3DB">
      <w:pPr>
        <w:pStyle w:val="13"/>
        <w:tabs>
          <w:tab w:val="left" w:pos="939"/>
        </w:tabs>
        <w:spacing w:line="360" w:lineRule="auto"/>
        <w:ind w:left="0" w:leftChars="0" w:firstLine="480" w:firstLineChars="200"/>
        <w:rPr>
          <w:rFonts w:ascii="宋体" w:hAnsi="宋体" w:cs="宋体"/>
          <w:color w:val="auto"/>
          <w:sz w:val="24"/>
          <w:highlight w:val="none"/>
        </w:rPr>
      </w:pPr>
    </w:p>
    <w:p w14:paraId="71E93CB1">
      <w:pPr>
        <w:pStyle w:val="7"/>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60337344">
      <w:pPr>
        <w:pStyle w:val="7"/>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12D5D8A7">
      <w:pPr>
        <w:pStyle w:val="7"/>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0D762D7F">
      <w:pPr>
        <w:rPr>
          <w:rFonts w:ascii="宋体" w:hAnsi="宋体" w:cs="仿宋_GB2312"/>
          <w:color w:val="auto"/>
          <w:sz w:val="24"/>
          <w:highlight w:val="none"/>
        </w:rPr>
      </w:pPr>
      <w:r>
        <w:rPr>
          <w:rFonts w:hint="eastAsia" w:ascii="宋体" w:hAnsi="宋体" w:cs="仿宋_GB2312"/>
          <w:color w:val="auto"/>
          <w:sz w:val="24"/>
          <w:highlight w:val="none"/>
        </w:rPr>
        <w:br w:type="page"/>
      </w:r>
    </w:p>
    <w:p w14:paraId="1B7CDC73">
      <w:pPr>
        <w:snapToGrid w:val="0"/>
        <w:spacing w:line="360" w:lineRule="auto"/>
        <w:jc w:val="center"/>
        <w:outlineLvl w:val="1"/>
        <w:rPr>
          <w:rFonts w:ascii="黑体" w:hAnsi="黑体" w:eastAsia="黑体" w:cs="黑体"/>
          <w:color w:val="auto"/>
          <w:sz w:val="36"/>
          <w:szCs w:val="36"/>
          <w:highlight w:val="none"/>
        </w:rPr>
      </w:pPr>
      <w:bookmarkStart w:id="110" w:name="_Toc11484"/>
      <w:bookmarkStart w:id="111" w:name="_Toc10185"/>
      <w:bookmarkStart w:id="112" w:name="_Toc9179"/>
      <w:bookmarkStart w:id="113" w:name="_Toc18766"/>
      <w:bookmarkStart w:id="114" w:name="_Toc12021"/>
      <w:bookmarkStart w:id="115" w:name="_Toc15603"/>
      <w:bookmarkStart w:id="116" w:name="_Toc10712"/>
      <w:bookmarkStart w:id="117" w:name="_Toc22245"/>
      <w:bookmarkStart w:id="118" w:name="_Toc27814"/>
      <w:r>
        <w:rPr>
          <w:rFonts w:hint="eastAsia" w:ascii="黑体" w:hAnsi="黑体" w:eastAsia="黑体" w:cs="黑体"/>
          <w:color w:val="auto"/>
          <w:sz w:val="36"/>
          <w:szCs w:val="36"/>
          <w:highlight w:val="none"/>
        </w:rPr>
        <w:t>二、法定代表人身份证明</w:t>
      </w:r>
      <w:bookmarkEnd w:id="110"/>
      <w:bookmarkEnd w:id="111"/>
      <w:bookmarkEnd w:id="112"/>
      <w:bookmarkEnd w:id="113"/>
      <w:bookmarkEnd w:id="114"/>
      <w:bookmarkEnd w:id="115"/>
      <w:bookmarkEnd w:id="116"/>
      <w:bookmarkEnd w:id="117"/>
      <w:bookmarkEnd w:id="118"/>
    </w:p>
    <w:p w14:paraId="13F47E46">
      <w:pPr>
        <w:snapToGrid w:val="0"/>
        <w:spacing w:line="360" w:lineRule="auto"/>
        <w:ind w:firstLine="480" w:firstLineChars="200"/>
        <w:rPr>
          <w:rFonts w:ascii="宋体" w:hAnsi="宋体" w:cs="仿宋_GB2312"/>
          <w:color w:val="auto"/>
          <w:sz w:val="24"/>
          <w:highlight w:val="none"/>
        </w:rPr>
      </w:pPr>
    </w:p>
    <w:p w14:paraId="4746CF1E">
      <w:pPr>
        <w:pStyle w:val="35"/>
        <w:jc w:val="center"/>
        <w:rPr>
          <w:color w:val="auto"/>
          <w:highlight w:val="none"/>
        </w:rPr>
      </w:pPr>
      <w:r>
        <w:rPr>
          <w:rFonts w:hint="eastAsia" w:ascii="宋体" w:hAnsi="宋体"/>
          <w:b/>
          <w:color w:val="auto"/>
          <w:sz w:val="28"/>
          <w:szCs w:val="28"/>
          <w:highlight w:val="none"/>
        </w:rPr>
        <w:t>法定代表人身份证明</w:t>
      </w:r>
    </w:p>
    <w:p w14:paraId="692F291A">
      <w:pPr>
        <w:pStyle w:val="35"/>
        <w:rPr>
          <w:rFonts w:ascii="宋体" w:hAnsi="宋体" w:cs="仿宋_GB2312"/>
          <w:color w:val="auto"/>
          <w:highlight w:val="none"/>
        </w:rPr>
      </w:pPr>
    </w:p>
    <w:p w14:paraId="4CC25E44">
      <w:pPr>
        <w:pStyle w:val="11"/>
        <w:rPr>
          <w:color w:val="auto"/>
          <w:highlight w:val="none"/>
        </w:rPr>
      </w:pPr>
    </w:p>
    <w:p w14:paraId="4018A008">
      <w:pPr>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64094E7">
      <w:pPr>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姓名：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性别：</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职务：</w:t>
      </w:r>
      <w:r>
        <w:rPr>
          <w:rFonts w:hint="eastAsia" w:ascii="宋体" w:hAnsi="宋体" w:cs="仿宋_GB2312"/>
          <w:color w:val="auto"/>
          <w:sz w:val="24"/>
          <w:highlight w:val="none"/>
          <w:u w:val="single"/>
        </w:rPr>
        <w:t xml:space="preserve">         </w:t>
      </w:r>
    </w:p>
    <w:p w14:paraId="47327D9C">
      <w:pPr>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（供应商名称）的法定代表人。</w:t>
      </w:r>
    </w:p>
    <w:p w14:paraId="649F329B">
      <w:pPr>
        <w:pStyle w:val="11"/>
        <w:ind w:firstLine="1200" w:firstLineChars="500"/>
        <w:rPr>
          <w:color w:val="auto"/>
          <w:highlight w:val="none"/>
        </w:rPr>
      </w:pPr>
      <w:r>
        <w:rPr>
          <w:rFonts w:hint="eastAsia" w:ascii="宋体" w:hAnsi="宋体" w:cs="仿宋_GB2312"/>
          <w:color w:val="auto"/>
          <w:sz w:val="24"/>
          <w:highlight w:val="none"/>
        </w:rPr>
        <w:t>特此证明。</w:t>
      </w:r>
    </w:p>
    <w:p w14:paraId="53FE9296">
      <w:pPr>
        <w:snapToGrid w:val="0"/>
        <w:spacing w:line="360" w:lineRule="auto"/>
        <w:ind w:firstLine="480" w:firstLineChars="200"/>
        <w:rPr>
          <w:rFonts w:ascii="宋体" w:hAnsi="宋体" w:cs="仿宋_GB2312"/>
          <w:color w:val="auto"/>
          <w:sz w:val="24"/>
          <w:highlight w:val="none"/>
        </w:rPr>
      </w:pPr>
    </w:p>
    <w:p w14:paraId="2C0C8D5E">
      <w:pPr>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附：法定代表人身份证复印件</w:t>
      </w:r>
    </w:p>
    <w:p w14:paraId="6D647844">
      <w:pPr>
        <w:pStyle w:val="11"/>
        <w:rPr>
          <w:color w:val="auto"/>
          <w:highlight w:val="none"/>
        </w:rPr>
      </w:pPr>
    </w:p>
    <w:p w14:paraId="25B3B855">
      <w:pPr>
        <w:pStyle w:val="11"/>
        <w:rPr>
          <w:color w:val="auto"/>
          <w:highlight w:val="none"/>
        </w:rPr>
      </w:pPr>
    </w:p>
    <w:p w14:paraId="5CF9EFE7">
      <w:pPr>
        <w:pStyle w:val="11"/>
        <w:rPr>
          <w:color w:val="auto"/>
          <w:highlight w:val="none"/>
        </w:rPr>
      </w:pPr>
    </w:p>
    <w:p w14:paraId="1A61DC82">
      <w:pPr>
        <w:pStyle w:val="7"/>
        <w:overflowPunct w:val="0"/>
        <w:spacing w:line="520" w:lineRule="exact"/>
        <w:ind w:firstLine="0"/>
        <w:jc w:val="center"/>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14:paraId="5822627A">
      <w:pPr>
        <w:pStyle w:val="7"/>
        <w:overflowPunct w:val="0"/>
        <w:spacing w:line="520" w:lineRule="exact"/>
        <w:ind w:firstLine="4800" w:firstLineChars="2000"/>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32BBA8F0">
      <w:pPr>
        <w:pStyle w:val="11"/>
        <w:rPr>
          <w:color w:val="auto"/>
          <w:highlight w:val="none"/>
        </w:rPr>
      </w:pPr>
    </w:p>
    <w:p w14:paraId="4FBFEE05">
      <w:pPr>
        <w:rPr>
          <w:color w:val="auto"/>
          <w:highlight w:val="none"/>
        </w:rPr>
      </w:pPr>
      <w:r>
        <w:rPr>
          <w:color w:val="auto"/>
          <w:highlight w:val="none"/>
        </w:rPr>
        <w:br w:type="page"/>
      </w:r>
    </w:p>
    <w:p w14:paraId="2A51F0B8">
      <w:pPr>
        <w:snapToGrid w:val="0"/>
        <w:spacing w:line="360" w:lineRule="auto"/>
        <w:jc w:val="center"/>
        <w:outlineLvl w:val="1"/>
        <w:rPr>
          <w:rFonts w:ascii="黑体" w:hAnsi="黑体" w:eastAsia="黑体" w:cs="黑体"/>
          <w:color w:val="auto"/>
          <w:sz w:val="36"/>
          <w:szCs w:val="36"/>
          <w:highlight w:val="none"/>
        </w:rPr>
      </w:pPr>
      <w:bookmarkStart w:id="119" w:name="_Toc20885"/>
      <w:bookmarkStart w:id="120" w:name="_Toc13398"/>
      <w:bookmarkStart w:id="121" w:name="_Toc12118"/>
      <w:bookmarkStart w:id="122" w:name="_Toc29113"/>
      <w:bookmarkStart w:id="123" w:name="_Toc19844"/>
      <w:bookmarkStart w:id="124" w:name="_Toc31450"/>
      <w:bookmarkStart w:id="125" w:name="_Toc14055"/>
      <w:bookmarkStart w:id="126" w:name="_Toc31451"/>
      <w:bookmarkStart w:id="127" w:name="_Toc21187"/>
      <w:r>
        <w:rPr>
          <w:rFonts w:hint="eastAsia" w:ascii="黑体" w:hAnsi="黑体" w:eastAsia="黑体" w:cs="黑体"/>
          <w:color w:val="auto"/>
          <w:sz w:val="36"/>
          <w:szCs w:val="36"/>
          <w:highlight w:val="none"/>
        </w:rPr>
        <w:t>二、授权委托书</w:t>
      </w:r>
      <w:bookmarkEnd w:id="119"/>
      <w:bookmarkEnd w:id="120"/>
      <w:bookmarkEnd w:id="121"/>
      <w:bookmarkEnd w:id="122"/>
      <w:bookmarkEnd w:id="123"/>
      <w:bookmarkEnd w:id="124"/>
      <w:bookmarkEnd w:id="125"/>
      <w:bookmarkEnd w:id="126"/>
      <w:bookmarkEnd w:id="127"/>
    </w:p>
    <w:p w14:paraId="40E3578A">
      <w:pPr>
        <w:snapToGrid w:val="0"/>
        <w:spacing w:line="360" w:lineRule="auto"/>
        <w:ind w:firstLine="480" w:firstLineChars="200"/>
        <w:rPr>
          <w:rFonts w:ascii="宋体" w:hAnsi="宋体" w:cs="仿宋_GB2312"/>
          <w:color w:val="auto"/>
          <w:sz w:val="24"/>
          <w:highlight w:val="none"/>
        </w:rPr>
      </w:pPr>
    </w:p>
    <w:p w14:paraId="04220A05">
      <w:pPr>
        <w:pStyle w:val="35"/>
        <w:jc w:val="center"/>
        <w:rPr>
          <w:rFonts w:ascii="宋体" w:hAnsi="宋体" w:cs="仿宋_GB2312"/>
          <w:color w:val="auto"/>
          <w:highlight w:val="none"/>
        </w:rPr>
      </w:pPr>
      <w:r>
        <w:rPr>
          <w:rFonts w:hint="eastAsia" w:ascii="宋体" w:hAnsi="宋体"/>
          <w:b/>
          <w:color w:val="auto"/>
          <w:sz w:val="28"/>
          <w:szCs w:val="28"/>
          <w:highlight w:val="none"/>
        </w:rPr>
        <w:t>授权委托书</w:t>
      </w:r>
    </w:p>
    <w:p w14:paraId="63579E6A">
      <w:pPr>
        <w:pStyle w:val="11"/>
        <w:rPr>
          <w:color w:val="auto"/>
          <w:highlight w:val="none"/>
        </w:rPr>
      </w:pPr>
    </w:p>
    <w:p w14:paraId="3F54677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ascii="宋体" w:hAnsi="宋体"/>
          <w:color w:val="auto"/>
          <w:sz w:val="24"/>
          <w:highlight w:val="none"/>
        </w:rPr>
        <w:t>(姓名)系</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w:t>
      </w:r>
      <w:r>
        <w:rPr>
          <w:rFonts w:hint="eastAsia" w:ascii="宋体" w:hAnsi="宋体"/>
          <w:color w:val="auto"/>
          <w:sz w:val="24"/>
          <w:highlight w:val="none"/>
        </w:rPr>
        <w:t>现委托</w:t>
      </w:r>
      <w:r>
        <w:rPr>
          <w:rFonts w:hint="eastAsia" w:ascii="宋体" w:hAnsi="宋体"/>
          <w:color w:val="auto"/>
          <w:sz w:val="24"/>
          <w:highlight w:val="none"/>
          <w:u w:val="single"/>
        </w:rPr>
        <w:t xml:space="preserve">             </w:t>
      </w:r>
      <w:r>
        <w:rPr>
          <w:rFonts w:ascii="宋体" w:hAnsi="宋体"/>
          <w:color w:val="auto"/>
          <w:sz w:val="24"/>
          <w:highlight w:val="none"/>
        </w:rPr>
        <w:t xml:space="preserve"> (姓名)</w:t>
      </w:r>
      <w:r>
        <w:rPr>
          <w:rFonts w:hint="eastAsia" w:ascii="宋体" w:hAnsi="宋体"/>
          <w:color w:val="auto"/>
          <w:sz w:val="24"/>
          <w:highlight w:val="none"/>
        </w:rPr>
        <w:t>为我方代理人。代理人根据授权，以我方名义签署、澄清确认、递交、撤回、修改</w:t>
      </w:r>
      <w:r>
        <w:rPr>
          <w:rFonts w:hint="eastAsia" w:ascii="宋体" w:hAnsi="宋体"/>
          <w:color w:val="auto"/>
          <w:sz w:val="24"/>
          <w:highlight w:val="none"/>
          <w:u w:val="single"/>
        </w:rPr>
        <w:t>北海港铁山港区1万至3万吨级锚地工程</w:t>
      </w:r>
      <w:r>
        <w:rPr>
          <w:rFonts w:hint="eastAsia" w:ascii="宋体" w:hAnsi="宋体"/>
          <w:color w:val="auto"/>
          <w:sz w:val="24"/>
          <w:highlight w:val="none"/>
          <w:u w:val="single"/>
          <w:lang w:eastAsia="zh-CN"/>
        </w:rPr>
        <w:t>交工验收测量</w:t>
      </w:r>
      <w:r>
        <w:rPr>
          <w:rFonts w:hint="eastAsia" w:ascii="宋体" w:hAnsi="宋体"/>
          <w:color w:val="auto"/>
          <w:sz w:val="24"/>
          <w:highlight w:val="none"/>
          <w:u w:val="single"/>
        </w:rPr>
        <w:t>服务采购项目（项目名称）</w:t>
      </w:r>
      <w:r>
        <w:rPr>
          <w:rFonts w:hint="eastAsia" w:ascii="宋体" w:hAnsi="宋体"/>
          <w:color w:val="auto"/>
          <w:sz w:val="24"/>
          <w:highlight w:val="none"/>
        </w:rPr>
        <w:t>响应文件和处理有关事宜，其法律后果由我方承担。</w:t>
      </w:r>
    </w:p>
    <w:p w14:paraId="537763DF">
      <w:pPr>
        <w:spacing w:line="400" w:lineRule="exact"/>
        <w:ind w:firstLine="480"/>
        <w:rPr>
          <w:rFonts w:ascii="宋体" w:hAnsi="宋体"/>
          <w:color w:val="auto"/>
          <w:sz w:val="24"/>
          <w:highlight w:val="none"/>
        </w:rPr>
      </w:pPr>
      <w:r>
        <w:rPr>
          <w:rFonts w:hint="eastAsia" w:ascii="宋体" w:hAnsi="宋体"/>
          <w:color w:val="auto"/>
          <w:sz w:val="24"/>
          <w:highlight w:val="none"/>
        </w:rPr>
        <w:t>委托</w:t>
      </w:r>
      <w:r>
        <w:rPr>
          <w:rFonts w:ascii="宋体" w:hAnsi="宋体"/>
          <w:color w:val="auto"/>
          <w:sz w:val="24"/>
          <w:highlight w:val="none"/>
        </w:rPr>
        <w:t>期限</w:t>
      </w:r>
      <w:r>
        <w:rPr>
          <w:rFonts w:hint="eastAsia" w:ascii="宋体" w:hAnsi="宋体"/>
          <w:color w:val="auto"/>
          <w:sz w:val="24"/>
          <w:highlight w:val="none"/>
        </w:rPr>
        <w:t>：</w:t>
      </w:r>
      <w:r>
        <w:rPr>
          <w:rFonts w:ascii="宋体" w:hAnsi="宋体"/>
          <w:color w:val="auto"/>
          <w:sz w:val="24"/>
          <w:highlight w:val="none"/>
        </w:rPr>
        <w:t>自</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日起至</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日止。</w:t>
      </w:r>
    </w:p>
    <w:p w14:paraId="0E91C76A">
      <w:pPr>
        <w:spacing w:line="400" w:lineRule="exact"/>
        <w:ind w:firstLine="480"/>
        <w:rPr>
          <w:rFonts w:ascii="宋体" w:hAnsi="宋体"/>
          <w:color w:val="auto"/>
          <w:sz w:val="24"/>
          <w:highlight w:val="none"/>
        </w:rPr>
      </w:pPr>
      <w:r>
        <w:rPr>
          <w:rFonts w:hint="eastAsia" w:ascii="宋体" w:hAnsi="宋体"/>
          <w:color w:val="auto"/>
          <w:sz w:val="24"/>
          <w:highlight w:val="none"/>
        </w:rPr>
        <w:t>代理人无转委托权。</w:t>
      </w:r>
    </w:p>
    <w:p w14:paraId="666EADBB">
      <w:pPr>
        <w:spacing w:line="400" w:lineRule="exact"/>
        <w:rPr>
          <w:rFonts w:ascii="宋体" w:hAnsi="宋体"/>
          <w:color w:val="auto"/>
          <w:sz w:val="24"/>
          <w:highlight w:val="none"/>
        </w:rPr>
      </w:pPr>
    </w:p>
    <w:p w14:paraId="6D0CCA5A">
      <w:pPr>
        <w:spacing w:line="400" w:lineRule="exact"/>
        <w:ind w:firstLine="600" w:firstLineChars="250"/>
        <w:rPr>
          <w:rFonts w:ascii="宋体" w:hAnsi="宋体"/>
          <w:color w:val="auto"/>
          <w:sz w:val="24"/>
          <w:highlight w:val="none"/>
        </w:rPr>
      </w:pPr>
      <w:r>
        <w:rPr>
          <w:rFonts w:hint="eastAsia" w:ascii="宋体" w:hAnsi="宋体"/>
          <w:color w:val="auto"/>
          <w:sz w:val="24"/>
          <w:highlight w:val="none"/>
        </w:rPr>
        <w:t>附：</w:t>
      </w:r>
      <w:r>
        <w:rPr>
          <w:rFonts w:hint="eastAsia" w:ascii="宋体" w:hAnsi="宋体" w:cs="仿宋_GB2312"/>
          <w:color w:val="auto"/>
          <w:sz w:val="24"/>
          <w:highlight w:val="none"/>
        </w:rPr>
        <w:t>法定代表人身份证复印件及</w:t>
      </w:r>
      <w:r>
        <w:rPr>
          <w:rFonts w:hint="eastAsia" w:ascii="宋体" w:hAnsi="宋体"/>
          <w:snapToGrid w:val="0"/>
          <w:color w:val="auto"/>
          <w:kern w:val="0"/>
          <w:sz w:val="24"/>
          <w:highlight w:val="none"/>
        </w:rPr>
        <w:t>委托代理人身份证复印件</w:t>
      </w:r>
    </w:p>
    <w:p w14:paraId="608FBA8D">
      <w:pPr>
        <w:spacing w:line="400" w:lineRule="exact"/>
        <w:ind w:firstLine="480"/>
        <w:rPr>
          <w:rFonts w:ascii="宋体" w:hAnsi="宋体"/>
          <w:color w:val="auto"/>
          <w:sz w:val="24"/>
          <w:highlight w:val="none"/>
        </w:rPr>
      </w:pPr>
    </w:p>
    <w:p w14:paraId="62ACD479">
      <w:pPr>
        <w:spacing w:line="400" w:lineRule="exact"/>
        <w:rPr>
          <w:rFonts w:ascii="宋体" w:hAnsi="宋体"/>
          <w:color w:val="auto"/>
          <w:sz w:val="24"/>
          <w:highlight w:val="none"/>
        </w:rPr>
      </w:pPr>
    </w:p>
    <w:p w14:paraId="580B6B3B">
      <w:pPr>
        <w:pStyle w:val="35"/>
        <w:rPr>
          <w:color w:val="auto"/>
          <w:highlight w:val="none"/>
        </w:rPr>
      </w:pPr>
    </w:p>
    <w:p w14:paraId="2F53C2CA">
      <w:pPr>
        <w:spacing w:line="400" w:lineRule="exact"/>
        <w:rPr>
          <w:rFonts w:ascii="宋体" w:hAnsi="宋体"/>
          <w:color w:val="auto"/>
          <w:sz w:val="24"/>
          <w:highlight w:val="none"/>
        </w:rPr>
      </w:pPr>
    </w:p>
    <w:p w14:paraId="450666E1">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color w:val="auto"/>
          <w:sz w:val="24"/>
          <w:highlight w:val="none"/>
        </w:rPr>
        <w:t>盖单位公章</w:t>
      </w:r>
      <w:r>
        <w:rPr>
          <w:rFonts w:hint="eastAsia" w:ascii="宋体" w:hAnsi="宋体"/>
          <w:color w:val="auto"/>
          <w:sz w:val="24"/>
          <w:highlight w:val="none"/>
        </w:rPr>
        <w:t>）</w:t>
      </w:r>
    </w:p>
    <w:p w14:paraId="1B2813CD">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77AD9096">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2AE3B2DB">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5242EDF7">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2C403AEE">
      <w:pPr>
        <w:spacing w:line="720" w:lineRule="auto"/>
        <w:ind w:firstLine="5040" w:firstLineChars="2100"/>
        <w:rPr>
          <w:rFonts w:ascii="宋体" w:hAnsi="宋体"/>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4D795511">
      <w:pPr>
        <w:pStyle w:val="11"/>
        <w:tabs>
          <w:tab w:val="left" w:leader="dot" w:pos="480"/>
        </w:tabs>
        <w:rPr>
          <w:bCs/>
          <w:color w:val="auto"/>
          <w:highlight w:val="none"/>
        </w:rPr>
      </w:pPr>
    </w:p>
    <w:p w14:paraId="301E720A">
      <w:pPr>
        <w:rPr>
          <w:bCs/>
          <w:color w:val="auto"/>
          <w:highlight w:val="none"/>
        </w:rPr>
      </w:pPr>
      <w:r>
        <w:rPr>
          <w:bCs/>
          <w:color w:val="auto"/>
          <w:highlight w:val="none"/>
        </w:rPr>
        <w:br w:type="page"/>
      </w:r>
    </w:p>
    <w:p w14:paraId="78690CC6">
      <w:pPr>
        <w:snapToGrid w:val="0"/>
        <w:spacing w:line="360" w:lineRule="auto"/>
        <w:jc w:val="center"/>
        <w:outlineLvl w:val="1"/>
        <w:rPr>
          <w:rFonts w:ascii="黑体" w:hAnsi="黑体" w:eastAsia="黑体" w:cs="黑体"/>
          <w:color w:val="auto"/>
          <w:sz w:val="36"/>
          <w:szCs w:val="36"/>
          <w:highlight w:val="none"/>
        </w:rPr>
      </w:pPr>
      <w:bookmarkStart w:id="128" w:name="_Toc19393"/>
      <w:bookmarkStart w:id="129" w:name="_Toc4993"/>
      <w:bookmarkStart w:id="130" w:name="_Toc30083"/>
      <w:bookmarkStart w:id="131" w:name="_Toc1684"/>
      <w:bookmarkStart w:id="132" w:name="_Toc8009"/>
      <w:bookmarkStart w:id="133" w:name="_Toc30368"/>
      <w:bookmarkStart w:id="134" w:name="_Toc2974"/>
      <w:bookmarkStart w:id="135" w:name="_Toc26928"/>
      <w:bookmarkStart w:id="136" w:name="_Toc20507"/>
      <w:r>
        <w:rPr>
          <w:rFonts w:hint="eastAsia" w:ascii="黑体" w:hAnsi="黑体" w:eastAsia="黑体" w:cs="黑体"/>
          <w:color w:val="auto"/>
          <w:sz w:val="36"/>
          <w:szCs w:val="36"/>
          <w:highlight w:val="none"/>
        </w:rPr>
        <w:t>三、报价清单</w:t>
      </w:r>
      <w:bookmarkEnd w:id="128"/>
      <w:bookmarkEnd w:id="129"/>
      <w:bookmarkEnd w:id="130"/>
      <w:bookmarkEnd w:id="131"/>
      <w:bookmarkEnd w:id="132"/>
      <w:bookmarkEnd w:id="133"/>
      <w:bookmarkEnd w:id="134"/>
      <w:bookmarkEnd w:id="135"/>
      <w:bookmarkEnd w:id="136"/>
    </w:p>
    <w:p w14:paraId="24FD2254">
      <w:pPr>
        <w:jc w:val="center"/>
        <w:outlineLvl w:val="2"/>
        <w:rPr>
          <w:rFonts w:ascii="黑体" w:hAnsi="宋体" w:eastAsia="方正小标宋简体"/>
          <w:color w:val="auto"/>
          <w:sz w:val="24"/>
          <w:highlight w:val="none"/>
        </w:rPr>
      </w:pPr>
      <w:bookmarkStart w:id="137" w:name="_Toc10738"/>
      <w:bookmarkStart w:id="138" w:name="_Toc32344"/>
      <w:r>
        <w:rPr>
          <w:rFonts w:hint="eastAsia" w:ascii="宋体" w:hAnsi="宋体" w:cs="宋体"/>
          <w:b/>
          <w:color w:val="auto"/>
          <w:sz w:val="32"/>
          <w:szCs w:val="32"/>
          <w:highlight w:val="none"/>
        </w:rPr>
        <w:t>（一）报价文件说明</w:t>
      </w:r>
      <w:bookmarkEnd w:id="137"/>
      <w:bookmarkEnd w:id="138"/>
    </w:p>
    <w:p w14:paraId="79857701">
      <w:pPr>
        <w:rPr>
          <w:rFonts w:ascii="黑体" w:hAnsi="宋体" w:eastAsia="黑体"/>
          <w:color w:val="auto"/>
          <w:sz w:val="24"/>
          <w:highlight w:val="none"/>
        </w:rPr>
      </w:pPr>
    </w:p>
    <w:p w14:paraId="60274B4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1.“报价清单”应与“供应商须知”“采购内容及要求”“合同条款”等一起使用。</w:t>
      </w:r>
    </w:p>
    <w:p w14:paraId="397BF20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2.本次采购采用总价包干，投标报价已包含从前期踏勘、资料收集到最后验收（含审查验收）等全过程的所有费用，包含为完成北海港铁山港区1万至3万吨级锚地工程</w:t>
      </w:r>
      <w:r>
        <w:rPr>
          <w:rFonts w:hint="eastAsia" w:ascii="宋体" w:hAnsi="宋体"/>
          <w:color w:val="auto"/>
          <w:sz w:val="24"/>
          <w:highlight w:val="none"/>
          <w:lang w:eastAsia="zh-CN"/>
        </w:rPr>
        <w:t>交工验收测量</w:t>
      </w:r>
      <w:r>
        <w:rPr>
          <w:rFonts w:hint="eastAsia" w:ascii="宋体" w:hAnsi="宋体"/>
          <w:color w:val="auto"/>
          <w:sz w:val="24"/>
          <w:highlight w:val="none"/>
        </w:rPr>
        <w:t>服务项目的全部工作以及可能发生的各种费用。本项目合同总价在合同执行过程中是固定的，不因情况变化而调整。</w:t>
      </w:r>
    </w:p>
    <w:p w14:paraId="5EFBBFB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3.投标报价为一次报价，此次报价即最终报价，不再就价格问题另行协商。</w:t>
      </w:r>
    </w:p>
    <w:p w14:paraId="109446C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4.“报价清单”中报价应以人民币为单位。</w:t>
      </w:r>
    </w:p>
    <w:p w14:paraId="055C51B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5.报价应为含税价格，并且能够提供增值税发票。</w:t>
      </w:r>
    </w:p>
    <w:p w14:paraId="0816E1B2">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6.供应商应在“报价清单”后附</w:t>
      </w:r>
      <w:bookmarkStart w:id="139" w:name="_Hlk203661040"/>
      <w:r>
        <w:rPr>
          <w:rFonts w:hint="eastAsia" w:ascii="宋体" w:hAnsi="宋体"/>
          <w:color w:val="auto"/>
          <w:sz w:val="24"/>
          <w:highlight w:val="none"/>
        </w:rPr>
        <w:t>计算说明</w:t>
      </w:r>
      <w:bookmarkEnd w:id="139"/>
      <w:r>
        <w:rPr>
          <w:rFonts w:hint="eastAsia" w:ascii="宋体" w:hAnsi="宋体"/>
          <w:color w:val="auto"/>
          <w:sz w:val="24"/>
          <w:highlight w:val="none"/>
        </w:rPr>
        <w:t>，包括计算方法、取费依据等，以便采购人对供应商报价的合理性作出判断。</w:t>
      </w:r>
    </w:p>
    <w:p w14:paraId="652EE08D">
      <w:pPr>
        <w:rPr>
          <w:b/>
          <w:bCs/>
          <w:color w:val="auto"/>
          <w:sz w:val="24"/>
          <w:highlight w:val="none"/>
        </w:rPr>
      </w:pPr>
      <w:r>
        <w:rPr>
          <w:rFonts w:hint="eastAsia"/>
          <w:b/>
          <w:bCs/>
          <w:color w:val="auto"/>
          <w:sz w:val="24"/>
          <w:highlight w:val="none"/>
        </w:rPr>
        <w:br w:type="page"/>
      </w:r>
    </w:p>
    <w:p w14:paraId="6BC8D6B4">
      <w:pPr>
        <w:pStyle w:val="11"/>
        <w:jc w:val="center"/>
        <w:outlineLvl w:val="2"/>
        <w:rPr>
          <w:b/>
          <w:bCs/>
          <w:color w:val="auto"/>
          <w:sz w:val="32"/>
          <w:szCs w:val="32"/>
          <w:highlight w:val="none"/>
        </w:rPr>
      </w:pPr>
      <w:bookmarkStart w:id="140" w:name="_Toc1367"/>
      <w:bookmarkStart w:id="141" w:name="_Toc2327"/>
      <w:bookmarkStart w:id="142" w:name="_Hlk203660973"/>
      <w:r>
        <w:rPr>
          <w:rFonts w:hint="eastAsia"/>
          <w:b/>
          <w:bCs/>
          <w:color w:val="auto"/>
          <w:sz w:val="32"/>
          <w:szCs w:val="32"/>
          <w:highlight w:val="none"/>
        </w:rPr>
        <w:t>（二）投标报价表</w:t>
      </w:r>
      <w:bookmarkEnd w:id="140"/>
      <w:bookmarkEnd w:id="141"/>
    </w:p>
    <w:p w14:paraId="680AAA74">
      <w:pPr>
        <w:pStyle w:val="11"/>
        <w:rPr>
          <w:color w:val="auto"/>
          <w:highlight w:val="none"/>
        </w:rPr>
      </w:pPr>
    </w:p>
    <w:p w14:paraId="71BB3428">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北海港铁山港区1万至3万吨级锚地工程</w:t>
      </w:r>
      <w:r>
        <w:rPr>
          <w:rFonts w:hint="eastAsia" w:ascii="宋体" w:hAnsi="宋体" w:cs="仿宋_GB2312"/>
          <w:color w:val="auto"/>
          <w:sz w:val="24"/>
          <w:highlight w:val="none"/>
          <w:u w:val="single"/>
          <w:lang w:eastAsia="zh-CN"/>
        </w:rPr>
        <w:t>交工验收测量</w:t>
      </w:r>
      <w:r>
        <w:rPr>
          <w:rFonts w:hint="eastAsia" w:ascii="宋体" w:hAnsi="宋体" w:cs="仿宋_GB2312"/>
          <w:color w:val="auto"/>
          <w:sz w:val="24"/>
          <w:highlight w:val="none"/>
          <w:u w:val="single"/>
        </w:rPr>
        <w:t>服务</w:t>
      </w:r>
      <w:r>
        <w:rPr>
          <w:rFonts w:hint="eastAsia" w:ascii="宋体" w:hAnsi="宋体" w:cs="仿宋_GB2312"/>
          <w:color w:val="auto"/>
          <w:sz w:val="24"/>
          <w:highlight w:val="none"/>
        </w:rPr>
        <w:t xml:space="preserve">                                                       单位：人民币元</w:t>
      </w:r>
    </w:p>
    <w:tbl>
      <w:tblPr>
        <w:tblStyle w:val="26"/>
        <w:tblW w:w="499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842"/>
        <w:gridCol w:w="1322"/>
        <w:gridCol w:w="776"/>
        <w:gridCol w:w="2017"/>
        <w:gridCol w:w="1478"/>
      </w:tblGrid>
      <w:tr w14:paraId="11B9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7FC81E79">
            <w:pPr>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1550" w:type="pct"/>
            <w:tcBorders>
              <w:top w:val="single" w:color="auto" w:sz="4" w:space="0"/>
              <w:left w:val="single" w:color="auto" w:sz="4" w:space="0"/>
              <w:bottom w:val="single" w:color="auto" w:sz="4" w:space="0"/>
              <w:right w:val="single" w:color="auto" w:sz="4" w:space="0"/>
            </w:tcBorders>
            <w:vAlign w:val="center"/>
          </w:tcPr>
          <w:p w14:paraId="46FD6A20">
            <w:pPr>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721" w:type="pct"/>
            <w:tcBorders>
              <w:top w:val="single" w:color="auto" w:sz="4" w:space="0"/>
              <w:left w:val="single" w:color="auto" w:sz="4" w:space="0"/>
              <w:bottom w:val="single" w:color="auto" w:sz="4" w:space="0"/>
              <w:right w:val="single" w:color="auto" w:sz="4" w:space="0"/>
            </w:tcBorders>
            <w:vAlign w:val="center"/>
          </w:tcPr>
          <w:p w14:paraId="6C8018D6">
            <w:pPr>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423" w:type="pct"/>
            <w:tcBorders>
              <w:top w:val="single" w:color="auto" w:sz="4" w:space="0"/>
              <w:left w:val="single" w:color="auto" w:sz="4" w:space="0"/>
              <w:bottom w:val="single" w:color="auto" w:sz="4" w:space="0"/>
              <w:right w:val="single" w:color="auto" w:sz="4" w:space="0"/>
            </w:tcBorders>
            <w:vAlign w:val="center"/>
          </w:tcPr>
          <w:p w14:paraId="388BE875">
            <w:pPr>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100" w:type="pct"/>
            <w:tcBorders>
              <w:top w:val="single" w:color="auto" w:sz="4" w:space="0"/>
              <w:left w:val="single" w:color="auto" w:sz="4" w:space="0"/>
              <w:bottom w:val="single" w:color="auto" w:sz="4" w:space="0"/>
              <w:right w:val="single" w:color="auto" w:sz="4" w:space="0"/>
            </w:tcBorders>
            <w:vAlign w:val="center"/>
          </w:tcPr>
          <w:p w14:paraId="59380914">
            <w:pPr>
              <w:contextualSpacing/>
              <w:jc w:val="center"/>
              <w:rPr>
                <w:rFonts w:ascii="宋体" w:hAnsi="宋体" w:cs="仿宋_GB2312"/>
                <w:color w:val="auto"/>
                <w:sz w:val="24"/>
                <w:highlight w:val="none"/>
              </w:rPr>
            </w:pPr>
            <w:r>
              <w:rPr>
                <w:rFonts w:hint="eastAsia" w:ascii="宋体" w:hAnsi="宋体" w:cs="仿宋_GB2312"/>
                <w:color w:val="auto"/>
                <w:sz w:val="24"/>
                <w:highlight w:val="none"/>
              </w:rPr>
              <w:t>金额</w:t>
            </w:r>
          </w:p>
        </w:tc>
        <w:tc>
          <w:tcPr>
            <w:tcW w:w="806" w:type="pct"/>
            <w:tcBorders>
              <w:top w:val="single" w:color="auto" w:sz="4" w:space="0"/>
              <w:left w:val="single" w:color="auto" w:sz="4" w:space="0"/>
              <w:bottom w:val="single" w:color="auto" w:sz="4" w:space="0"/>
              <w:right w:val="single" w:color="auto" w:sz="4" w:space="0"/>
            </w:tcBorders>
            <w:vAlign w:val="center"/>
          </w:tcPr>
          <w:p w14:paraId="2C3808EB">
            <w:pPr>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18A4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3C40990B">
            <w:pPr>
              <w:adjustRightInd w:val="0"/>
              <w:snapToGrid w:val="0"/>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550" w:type="pct"/>
            <w:tcBorders>
              <w:top w:val="single" w:color="auto" w:sz="4" w:space="0"/>
              <w:left w:val="single" w:color="auto" w:sz="4" w:space="0"/>
              <w:bottom w:val="single" w:color="auto" w:sz="4" w:space="0"/>
              <w:right w:val="single" w:color="auto" w:sz="4" w:space="0"/>
            </w:tcBorders>
            <w:vAlign w:val="center"/>
          </w:tcPr>
          <w:p w14:paraId="3B56163A">
            <w:pPr>
              <w:adjustRightInd w:val="0"/>
              <w:snapToGrid w:val="0"/>
              <w:jc w:val="left"/>
              <w:rPr>
                <w:rFonts w:ascii="宋体" w:hAnsi="宋体" w:cs="仿宋_GB2312"/>
                <w:color w:val="auto"/>
                <w:sz w:val="24"/>
                <w:highlight w:val="none"/>
              </w:rPr>
            </w:pPr>
            <w:r>
              <w:rPr>
                <w:rFonts w:hint="eastAsia" w:ascii="宋体" w:hAnsi="宋体" w:cs="仿宋_GB2312"/>
                <w:color w:val="auto"/>
                <w:sz w:val="24"/>
                <w:highlight w:val="none"/>
                <w:lang w:eastAsia="zh-CN"/>
              </w:rPr>
              <w:t>交工验收测量</w:t>
            </w:r>
            <w:r>
              <w:rPr>
                <w:rFonts w:hint="eastAsia" w:ascii="宋体" w:hAnsi="宋体" w:cs="仿宋_GB2312"/>
                <w:color w:val="auto"/>
                <w:sz w:val="24"/>
                <w:highlight w:val="none"/>
              </w:rPr>
              <w:t>服务</w:t>
            </w:r>
          </w:p>
        </w:tc>
        <w:tc>
          <w:tcPr>
            <w:tcW w:w="721" w:type="pct"/>
            <w:tcBorders>
              <w:top w:val="single" w:color="auto" w:sz="4" w:space="0"/>
              <w:left w:val="single" w:color="auto" w:sz="4" w:space="0"/>
              <w:bottom w:val="single" w:color="auto" w:sz="4" w:space="0"/>
              <w:right w:val="single" w:color="auto" w:sz="4" w:space="0"/>
            </w:tcBorders>
            <w:vAlign w:val="center"/>
          </w:tcPr>
          <w:p w14:paraId="7AE47160">
            <w:pPr>
              <w:adjustRightInd w:val="0"/>
              <w:snapToGrid w:val="0"/>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423" w:type="pct"/>
            <w:tcBorders>
              <w:top w:val="single" w:color="auto" w:sz="4" w:space="0"/>
              <w:left w:val="single" w:color="auto" w:sz="4" w:space="0"/>
              <w:bottom w:val="single" w:color="auto" w:sz="4" w:space="0"/>
              <w:right w:val="single" w:color="auto" w:sz="4" w:space="0"/>
            </w:tcBorders>
            <w:vAlign w:val="center"/>
          </w:tcPr>
          <w:p w14:paraId="42C50F90">
            <w:pPr>
              <w:adjustRightInd w:val="0"/>
              <w:snapToGrid w:val="0"/>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1100" w:type="pct"/>
            <w:tcBorders>
              <w:top w:val="single" w:color="auto" w:sz="4" w:space="0"/>
              <w:left w:val="single" w:color="auto" w:sz="4" w:space="0"/>
              <w:bottom w:val="single" w:color="auto" w:sz="4" w:space="0"/>
              <w:right w:val="single" w:color="auto" w:sz="4" w:space="0"/>
            </w:tcBorders>
            <w:vAlign w:val="center"/>
          </w:tcPr>
          <w:p w14:paraId="2ADB6FF5">
            <w:pPr>
              <w:adjustRightInd w:val="0"/>
              <w:snapToGrid w:val="0"/>
              <w:contextualSpacing/>
              <w:jc w:val="center"/>
              <w:rPr>
                <w:rFonts w:ascii="宋体" w:hAnsi="宋体" w:cs="仿宋_GB2312"/>
                <w:color w:val="auto"/>
                <w:sz w:val="24"/>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D016531">
            <w:pPr>
              <w:adjustRightInd w:val="0"/>
              <w:snapToGrid w:val="0"/>
              <w:contextualSpacing/>
              <w:jc w:val="center"/>
              <w:rPr>
                <w:rFonts w:ascii="宋体" w:hAnsi="宋体" w:cs="仿宋_GB2312"/>
                <w:color w:val="auto"/>
                <w:sz w:val="24"/>
                <w:highlight w:val="none"/>
              </w:rPr>
            </w:pPr>
          </w:p>
        </w:tc>
      </w:tr>
    </w:tbl>
    <w:p w14:paraId="77B20104">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2C6C083">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1.供应商的报价表必须加盖供应商公章并由法定代表人或者委托代理人签字，</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44EE1C99">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14:paraId="4EA4C597">
      <w:pPr>
        <w:spacing w:line="360" w:lineRule="auto"/>
        <w:ind w:firstLine="480" w:firstLineChars="200"/>
        <w:contextualSpacing/>
        <w:rPr>
          <w:rFonts w:ascii="宋体" w:hAnsi="宋体" w:cs="仿宋_GB2312"/>
          <w:color w:val="auto"/>
          <w:sz w:val="24"/>
          <w:highlight w:val="none"/>
        </w:rPr>
      </w:pPr>
    </w:p>
    <w:p w14:paraId="17814C6A">
      <w:pPr>
        <w:spacing w:line="360" w:lineRule="auto"/>
        <w:ind w:right="-817" w:rightChars="-389" w:firstLine="2640" w:firstLineChars="1100"/>
        <w:contextualSpacing/>
        <w:rPr>
          <w:rFonts w:ascii="宋体" w:hAnsi="宋体" w:cs="仿宋_GB2312"/>
          <w:color w:val="auto"/>
          <w:sz w:val="24"/>
          <w:highlight w:val="none"/>
        </w:rPr>
      </w:pPr>
    </w:p>
    <w:p w14:paraId="7000581B">
      <w:pPr>
        <w:pStyle w:val="7"/>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699FA779">
      <w:pPr>
        <w:pStyle w:val="7"/>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00FCB33E">
      <w:pPr>
        <w:pStyle w:val="7"/>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bookmarkEnd w:id="142"/>
    <w:p w14:paraId="59A70436">
      <w:pPr>
        <w:spacing w:line="360" w:lineRule="auto"/>
        <w:ind w:firstLine="643" w:firstLineChars="200"/>
        <w:rPr>
          <w:snapToGrid w:val="0"/>
          <w:color w:val="auto"/>
          <w:kern w:val="0"/>
          <w:szCs w:val="21"/>
          <w:highlight w:val="none"/>
        </w:rPr>
      </w:pPr>
      <w:r>
        <w:rPr>
          <w:rFonts w:hint="eastAsia" w:ascii="宋体" w:hAnsi="Courier New"/>
          <w:b/>
          <w:color w:val="auto"/>
          <w:sz w:val="32"/>
          <w:szCs w:val="32"/>
          <w:highlight w:val="none"/>
        </w:rPr>
        <w:br w:type="page"/>
      </w:r>
    </w:p>
    <w:p w14:paraId="13796BE4">
      <w:pPr>
        <w:snapToGrid w:val="0"/>
        <w:spacing w:line="360" w:lineRule="auto"/>
        <w:jc w:val="center"/>
        <w:outlineLvl w:val="1"/>
        <w:rPr>
          <w:rFonts w:ascii="黑体" w:hAnsi="黑体" w:eastAsia="黑体" w:cs="黑体"/>
          <w:color w:val="auto"/>
          <w:sz w:val="36"/>
          <w:szCs w:val="36"/>
          <w:highlight w:val="none"/>
        </w:rPr>
      </w:pPr>
      <w:bookmarkStart w:id="143" w:name="_Toc27313"/>
      <w:bookmarkStart w:id="144" w:name="_Toc23480"/>
      <w:bookmarkStart w:id="145" w:name="_Toc6133"/>
      <w:bookmarkStart w:id="146" w:name="_Toc16610"/>
      <w:bookmarkStart w:id="147" w:name="_Toc1118"/>
      <w:bookmarkStart w:id="148" w:name="_Toc17506"/>
      <w:bookmarkStart w:id="149" w:name="_Toc4639"/>
      <w:bookmarkStart w:id="150" w:name="_Toc29645"/>
      <w:bookmarkStart w:id="151" w:name="_Toc15587"/>
      <w:r>
        <w:rPr>
          <w:rFonts w:hint="eastAsia" w:ascii="黑体" w:hAnsi="黑体" w:eastAsia="黑体" w:cs="黑体"/>
          <w:color w:val="auto"/>
          <w:sz w:val="36"/>
          <w:szCs w:val="36"/>
          <w:highlight w:val="none"/>
        </w:rPr>
        <w:t>四、资格审查资料</w:t>
      </w:r>
      <w:bookmarkEnd w:id="143"/>
      <w:bookmarkEnd w:id="144"/>
      <w:bookmarkEnd w:id="145"/>
      <w:bookmarkEnd w:id="146"/>
      <w:bookmarkEnd w:id="147"/>
      <w:bookmarkEnd w:id="148"/>
      <w:bookmarkEnd w:id="149"/>
    </w:p>
    <w:p w14:paraId="0349E12C">
      <w:pPr>
        <w:snapToGrid w:val="0"/>
        <w:spacing w:before="120" w:beforeLines="50" w:after="50"/>
        <w:jc w:val="center"/>
        <w:outlineLvl w:val="2"/>
        <w:rPr>
          <w:rFonts w:ascii="宋体" w:hAnsi="宋体"/>
          <w:b/>
          <w:color w:val="auto"/>
          <w:sz w:val="24"/>
          <w:highlight w:val="none"/>
        </w:rPr>
      </w:pPr>
      <w:r>
        <w:rPr>
          <w:rFonts w:hint="eastAsia" w:ascii="宋体" w:hAnsi="宋体"/>
          <w:b/>
          <w:color w:val="auto"/>
          <w:sz w:val="24"/>
          <w:highlight w:val="none"/>
        </w:rPr>
        <w:t>（一）供应商</w:t>
      </w:r>
      <w:bookmarkEnd w:id="150"/>
      <w:bookmarkEnd w:id="151"/>
      <w:r>
        <w:rPr>
          <w:rFonts w:hint="eastAsia" w:ascii="宋体" w:hAnsi="宋体"/>
          <w:b/>
          <w:color w:val="auto"/>
          <w:sz w:val="24"/>
          <w:highlight w:val="none"/>
        </w:rPr>
        <w:t>基本情况表</w:t>
      </w:r>
    </w:p>
    <w:tbl>
      <w:tblPr>
        <w:tblStyle w:val="26"/>
        <w:tblW w:w="0" w:type="auto"/>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2079"/>
        <w:gridCol w:w="1058"/>
        <w:gridCol w:w="1199"/>
        <w:gridCol w:w="901"/>
        <w:gridCol w:w="334"/>
        <w:gridCol w:w="262"/>
        <w:gridCol w:w="75"/>
        <w:gridCol w:w="553"/>
        <w:gridCol w:w="695"/>
        <w:gridCol w:w="63"/>
        <w:gridCol w:w="329"/>
        <w:gridCol w:w="1292"/>
      </w:tblGrid>
      <w:tr w14:paraId="201E9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trPr>
        <w:tc>
          <w:tcPr>
            <w:tcW w:w="2079" w:type="dxa"/>
            <w:vAlign w:val="center"/>
          </w:tcPr>
          <w:p w14:paraId="3E3A815F">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供应商名称</w:t>
            </w:r>
          </w:p>
        </w:tc>
        <w:tc>
          <w:tcPr>
            <w:tcW w:w="6761" w:type="dxa"/>
            <w:gridSpan w:val="11"/>
            <w:vAlign w:val="center"/>
          </w:tcPr>
          <w:p w14:paraId="79E19338">
            <w:pPr>
              <w:autoSpaceDE w:val="0"/>
              <w:autoSpaceDN w:val="0"/>
              <w:jc w:val="center"/>
              <w:rPr>
                <w:color w:val="auto"/>
                <w:kern w:val="0"/>
                <w:sz w:val="24"/>
                <w:highlight w:val="none"/>
              </w:rPr>
            </w:pPr>
          </w:p>
        </w:tc>
      </w:tr>
      <w:tr w14:paraId="11DB6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7" w:hRule="atLeast"/>
        </w:trPr>
        <w:tc>
          <w:tcPr>
            <w:tcW w:w="2079" w:type="dxa"/>
            <w:vAlign w:val="center"/>
          </w:tcPr>
          <w:p w14:paraId="5B9CD081">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注册地址</w:t>
            </w:r>
          </w:p>
        </w:tc>
        <w:tc>
          <w:tcPr>
            <w:tcW w:w="3754" w:type="dxa"/>
            <w:gridSpan w:val="5"/>
            <w:vAlign w:val="center"/>
          </w:tcPr>
          <w:p w14:paraId="7B282FE7">
            <w:pPr>
              <w:autoSpaceDE w:val="0"/>
              <w:autoSpaceDN w:val="0"/>
              <w:jc w:val="center"/>
              <w:rPr>
                <w:color w:val="auto"/>
                <w:kern w:val="0"/>
                <w:sz w:val="24"/>
                <w:highlight w:val="none"/>
              </w:rPr>
            </w:pPr>
          </w:p>
        </w:tc>
        <w:tc>
          <w:tcPr>
            <w:tcW w:w="1386" w:type="dxa"/>
            <w:gridSpan w:val="4"/>
            <w:vAlign w:val="center"/>
          </w:tcPr>
          <w:p w14:paraId="7745E3AC">
            <w:pPr>
              <w:autoSpaceDE w:val="0"/>
              <w:autoSpaceDN w:val="0"/>
              <w:jc w:val="center"/>
              <w:rPr>
                <w:color w:val="auto"/>
                <w:kern w:val="0"/>
                <w:sz w:val="24"/>
                <w:highlight w:val="none"/>
              </w:rPr>
            </w:pPr>
            <w:r>
              <w:rPr>
                <w:rFonts w:hint="eastAsia" w:ascii="宋体" w:cs="宋体"/>
                <w:color w:val="auto"/>
                <w:kern w:val="0"/>
                <w:sz w:val="24"/>
                <w:highlight w:val="none"/>
              </w:rPr>
              <w:t>邮政编码</w:t>
            </w:r>
          </w:p>
        </w:tc>
        <w:tc>
          <w:tcPr>
            <w:tcW w:w="1621" w:type="dxa"/>
            <w:gridSpan w:val="2"/>
            <w:vAlign w:val="center"/>
          </w:tcPr>
          <w:p w14:paraId="4E62E360">
            <w:pPr>
              <w:autoSpaceDE w:val="0"/>
              <w:autoSpaceDN w:val="0"/>
              <w:jc w:val="center"/>
              <w:rPr>
                <w:color w:val="auto"/>
                <w:kern w:val="0"/>
                <w:sz w:val="24"/>
                <w:highlight w:val="none"/>
              </w:rPr>
            </w:pPr>
          </w:p>
        </w:tc>
      </w:tr>
      <w:tr w14:paraId="37403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3" w:hRule="atLeast"/>
        </w:trPr>
        <w:tc>
          <w:tcPr>
            <w:tcW w:w="2079" w:type="dxa"/>
            <w:vMerge w:val="restart"/>
            <w:vAlign w:val="center"/>
          </w:tcPr>
          <w:p w14:paraId="6BC1543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联系方式</w:t>
            </w:r>
          </w:p>
        </w:tc>
        <w:tc>
          <w:tcPr>
            <w:tcW w:w="1058" w:type="dxa"/>
            <w:vAlign w:val="center"/>
          </w:tcPr>
          <w:p w14:paraId="516176A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联系人</w:t>
            </w:r>
          </w:p>
        </w:tc>
        <w:tc>
          <w:tcPr>
            <w:tcW w:w="2100" w:type="dxa"/>
            <w:gridSpan w:val="2"/>
            <w:vAlign w:val="center"/>
          </w:tcPr>
          <w:p w14:paraId="658CE0F5">
            <w:pPr>
              <w:autoSpaceDE w:val="0"/>
              <w:autoSpaceDN w:val="0"/>
              <w:jc w:val="center"/>
              <w:rPr>
                <w:color w:val="auto"/>
                <w:kern w:val="0"/>
                <w:sz w:val="24"/>
                <w:highlight w:val="none"/>
              </w:rPr>
            </w:pPr>
          </w:p>
        </w:tc>
        <w:tc>
          <w:tcPr>
            <w:tcW w:w="1224" w:type="dxa"/>
            <w:gridSpan w:val="4"/>
            <w:vAlign w:val="center"/>
          </w:tcPr>
          <w:p w14:paraId="1D84F67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电话</w:t>
            </w:r>
          </w:p>
        </w:tc>
        <w:tc>
          <w:tcPr>
            <w:tcW w:w="2379" w:type="dxa"/>
            <w:gridSpan w:val="4"/>
            <w:vAlign w:val="center"/>
          </w:tcPr>
          <w:p w14:paraId="599C6831">
            <w:pPr>
              <w:autoSpaceDE w:val="0"/>
              <w:autoSpaceDN w:val="0"/>
              <w:jc w:val="center"/>
              <w:rPr>
                <w:color w:val="auto"/>
                <w:kern w:val="0"/>
                <w:sz w:val="24"/>
                <w:highlight w:val="none"/>
              </w:rPr>
            </w:pPr>
          </w:p>
        </w:tc>
      </w:tr>
      <w:tr w14:paraId="17147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0" w:hRule="atLeast"/>
        </w:trPr>
        <w:tc>
          <w:tcPr>
            <w:tcW w:w="2079" w:type="dxa"/>
            <w:vMerge w:val="continue"/>
            <w:vAlign w:val="center"/>
          </w:tcPr>
          <w:p w14:paraId="135943F8">
            <w:pPr>
              <w:autoSpaceDE w:val="0"/>
              <w:autoSpaceDN w:val="0"/>
              <w:jc w:val="center"/>
              <w:rPr>
                <w:rFonts w:ascii="宋体" w:cs="宋体"/>
                <w:color w:val="auto"/>
                <w:kern w:val="0"/>
                <w:sz w:val="24"/>
                <w:highlight w:val="none"/>
              </w:rPr>
            </w:pPr>
          </w:p>
        </w:tc>
        <w:tc>
          <w:tcPr>
            <w:tcW w:w="1058" w:type="dxa"/>
            <w:vAlign w:val="center"/>
          </w:tcPr>
          <w:p w14:paraId="3C8DCE2B">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传真</w:t>
            </w:r>
          </w:p>
        </w:tc>
        <w:tc>
          <w:tcPr>
            <w:tcW w:w="2100" w:type="dxa"/>
            <w:gridSpan w:val="2"/>
            <w:vAlign w:val="center"/>
          </w:tcPr>
          <w:p w14:paraId="6E2687AF">
            <w:pPr>
              <w:autoSpaceDE w:val="0"/>
              <w:autoSpaceDN w:val="0"/>
              <w:jc w:val="center"/>
              <w:rPr>
                <w:color w:val="auto"/>
                <w:kern w:val="0"/>
                <w:sz w:val="24"/>
                <w:highlight w:val="none"/>
              </w:rPr>
            </w:pPr>
          </w:p>
        </w:tc>
        <w:tc>
          <w:tcPr>
            <w:tcW w:w="1224" w:type="dxa"/>
            <w:gridSpan w:val="4"/>
            <w:vAlign w:val="center"/>
          </w:tcPr>
          <w:p w14:paraId="0386666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电子邮箱</w:t>
            </w:r>
          </w:p>
        </w:tc>
        <w:tc>
          <w:tcPr>
            <w:tcW w:w="2379" w:type="dxa"/>
            <w:gridSpan w:val="4"/>
            <w:vAlign w:val="center"/>
          </w:tcPr>
          <w:p w14:paraId="277AB8C9">
            <w:pPr>
              <w:autoSpaceDE w:val="0"/>
              <w:autoSpaceDN w:val="0"/>
              <w:jc w:val="center"/>
              <w:rPr>
                <w:color w:val="auto"/>
                <w:kern w:val="0"/>
                <w:sz w:val="24"/>
                <w:highlight w:val="none"/>
              </w:rPr>
            </w:pPr>
          </w:p>
        </w:tc>
      </w:tr>
      <w:tr w14:paraId="6DBB5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3059B438">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法定代表人</w:t>
            </w:r>
          </w:p>
        </w:tc>
        <w:tc>
          <w:tcPr>
            <w:tcW w:w="1058" w:type="dxa"/>
            <w:vAlign w:val="center"/>
          </w:tcPr>
          <w:p w14:paraId="01D5C82A">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姓名</w:t>
            </w:r>
          </w:p>
        </w:tc>
        <w:tc>
          <w:tcPr>
            <w:tcW w:w="1199" w:type="dxa"/>
            <w:vAlign w:val="center"/>
          </w:tcPr>
          <w:p w14:paraId="404D0066">
            <w:pPr>
              <w:autoSpaceDE w:val="0"/>
              <w:autoSpaceDN w:val="0"/>
              <w:jc w:val="center"/>
              <w:rPr>
                <w:rFonts w:ascii="宋体" w:cs="宋体"/>
                <w:color w:val="auto"/>
                <w:kern w:val="0"/>
                <w:sz w:val="24"/>
                <w:highlight w:val="none"/>
              </w:rPr>
            </w:pPr>
          </w:p>
        </w:tc>
        <w:tc>
          <w:tcPr>
            <w:tcW w:w="901" w:type="dxa"/>
            <w:vAlign w:val="center"/>
          </w:tcPr>
          <w:p w14:paraId="5749692A">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职务</w:t>
            </w:r>
          </w:p>
        </w:tc>
        <w:tc>
          <w:tcPr>
            <w:tcW w:w="1224" w:type="dxa"/>
            <w:gridSpan w:val="4"/>
            <w:vAlign w:val="center"/>
          </w:tcPr>
          <w:p w14:paraId="79A162B4">
            <w:pPr>
              <w:autoSpaceDE w:val="0"/>
              <w:autoSpaceDN w:val="0"/>
              <w:jc w:val="center"/>
              <w:rPr>
                <w:color w:val="auto"/>
                <w:kern w:val="0"/>
                <w:sz w:val="24"/>
                <w:highlight w:val="none"/>
              </w:rPr>
            </w:pPr>
          </w:p>
        </w:tc>
        <w:tc>
          <w:tcPr>
            <w:tcW w:w="695" w:type="dxa"/>
            <w:vAlign w:val="center"/>
          </w:tcPr>
          <w:p w14:paraId="0008093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电话</w:t>
            </w:r>
          </w:p>
        </w:tc>
        <w:tc>
          <w:tcPr>
            <w:tcW w:w="1684" w:type="dxa"/>
            <w:gridSpan w:val="3"/>
            <w:vAlign w:val="center"/>
          </w:tcPr>
          <w:p w14:paraId="78B18F2E">
            <w:pPr>
              <w:autoSpaceDE w:val="0"/>
              <w:autoSpaceDN w:val="0"/>
              <w:jc w:val="center"/>
              <w:rPr>
                <w:color w:val="auto"/>
                <w:kern w:val="0"/>
                <w:sz w:val="24"/>
                <w:highlight w:val="none"/>
              </w:rPr>
            </w:pPr>
          </w:p>
        </w:tc>
      </w:tr>
      <w:tr w14:paraId="28DFA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50" w:hRule="atLeast"/>
        </w:trPr>
        <w:tc>
          <w:tcPr>
            <w:tcW w:w="2079" w:type="dxa"/>
            <w:vAlign w:val="center"/>
          </w:tcPr>
          <w:p w14:paraId="4547DD60">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技术负责人</w:t>
            </w:r>
          </w:p>
        </w:tc>
        <w:tc>
          <w:tcPr>
            <w:tcW w:w="1058" w:type="dxa"/>
            <w:vAlign w:val="center"/>
          </w:tcPr>
          <w:p w14:paraId="735DB377">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姓名</w:t>
            </w:r>
          </w:p>
        </w:tc>
        <w:tc>
          <w:tcPr>
            <w:tcW w:w="1199" w:type="dxa"/>
            <w:vAlign w:val="center"/>
          </w:tcPr>
          <w:p w14:paraId="4D569613">
            <w:pPr>
              <w:autoSpaceDE w:val="0"/>
              <w:autoSpaceDN w:val="0"/>
              <w:jc w:val="center"/>
              <w:rPr>
                <w:rFonts w:ascii="宋体" w:cs="宋体"/>
                <w:color w:val="auto"/>
                <w:kern w:val="0"/>
                <w:sz w:val="24"/>
                <w:highlight w:val="none"/>
              </w:rPr>
            </w:pPr>
          </w:p>
        </w:tc>
        <w:tc>
          <w:tcPr>
            <w:tcW w:w="901" w:type="dxa"/>
            <w:vAlign w:val="center"/>
          </w:tcPr>
          <w:p w14:paraId="68ABB7E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职称</w:t>
            </w:r>
          </w:p>
        </w:tc>
        <w:tc>
          <w:tcPr>
            <w:tcW w:w="1224" w:type="dxa"/>
            <w:gridSpan w:val="4"/>
            <w:vAlign w:val="center"/>
          </w:tcPr>
          <w:p w14:paraId="7D649E9C">
            <w:pPr>
              <w:autoSpaceDE w:val="0"/>
              <w:autoSpaceDN w:val="0"/>
              <w:jc w:val="center"/>
              <w:rPr>
                <w:color w:val="auto"/>
                <w:kern w:val="0"/>
                <w:sz w:val="24"/>
                <w:highlight w:val="none"/>
              </w:rPr>
            </w:pPr>
          </w:p>
        </w:tc>
        <w:tc>
          <w:tcPr>
            <w:tcW w:w="695" w:type="dxa"/>
            <w:vAlign w:val="center"/>
          </w:tcPr>
          <w:p w14:paraId="4FE0C40C">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电话</w:t>
            </w:r>
          </w:p>
        </w:tc>
        <w:tc>
          <w:tcPr>
            <w:tcW w:w="1684" w:type="dxa"/>
            <w:gridSpan w:val="3"/>
            <w:vAlign w:val="center"/>
          </w:tcPr>
          <w:p w14:paraId="1E301A20">
            <w:pPr>
              <w:autoSpaceDE w:val="0"/>
              <w:autoSpaceDN w:val="0"/>
              <w:jc w:val="center"/>
              <w:rPr>
                <w:color w:val="auto"/>
                <w:kern w:val="0"/>
                <w:sz w:val="24"/>
                <w:highlight w:val="none"/>
              </w:rPr>
            </w:pPr>
          </w:p>
        </w:tc>
      </w:tr>
      <w:tr w14:paraId="56BA1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45E33B28">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资质证书</w:t>
            </w:r>
          </w:p>
        </w:tc>
        <w:tc>
          <w:tcPr>
            <w:tcW w:w="6761" w:type="dxa"/>
            <w:gridSpan w:val="11"/>
            <w:vAlign w:val="center"/>
          </w:tcPr>
          <w:p w14:paraId="3378F7AC">
            <w:pPr>
              <w:autoSpaceDE w:val="0"/>
              <w:autoSpaceDN w:val="0"/>
              <w:rPr>
                <w:color w:val="auto"/>
                <w:kern w:val="0"/>
                <w:sz w:val="24"/>
                <w:highlight w:val="none"/>
              </w:rPr>
            </w:pPr>
            <w:r>
              <w:rPr>
                <w:rFonts w:hint="eastAsia"/>
                <w:color w:val="auto"/>
                <w:kern w:val="0"/>
                <w:sz w:val="24"/>
                <w:highlight w:val="none"/>
              </w:rPr>
              <w:t>类型：           等级：           证书号：</w:t>
            </w:r>
          </w:p>
        </w:tc>
      </w:tr>
      <w:tr w14:paraId="48BEC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5123C4FC">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质量管理体系证书（如有）</w:t>
            </w:r>
          </w:p>
        </w:tc>
        <w:tc>
          <w:tcPr>
            <w:tcW w:w="6761" w:type="dxa"/>
            <w:gridSpan w:val="11"/>
            <w:vAlign w:val="center"/>
          </w:tcPr>
          <w:p w14:paraId="7AB149CA">
            <w:pPr>
              <w:autoSpaceDE w:val="0"/>
              <w:autoSpaceDN w:val="0"/>
              <w:rPr>
                <w:color w:val="auto"/>
                <w:kern w:val="0"/>
                <w:sz w:val="24"/>
                <w:highlight w:val="none"/>
              </w:rPr>
            </w:pPr>
            <w:r>
              <w:rPr>
                <w:rFonts w:hint="eastAsia"/>
                <w:color w:val="auto"/>
                <w:kern w:val="0"/>
                <w:sz w:val="24"/>
                <w:highlight w:val="none"/>
              </w:rPr>
              <w:t>类型：           等级：           证书号：</w:t>
            </w:r>
          </w:p>
        </w:tc>
      </w:tr>
      <w:tr w14:paraId="24BFA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18EBF652">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营业执照号</w:t>
            </w:r>
          </w:p>
        </w:tc>
        <w:tc>
          <w:tcPr>
            <w:tcW w:w="3492" w:type="dxa"/>
            <w:gridSpan w:val="4"/>
            <w:vAlign w:val="center"/>
          </w:tcPr>
          <w:p w14:paraId="65658B45">
            <w:pPr>
              <w:autoSpaceDE w:val="0"/>
              <w:autoSpaceDN w:val="0"/>
              <w:jc w:val="center"/>
              <w:rPr>
                <w:color w:val="auto"/>
                <w:kern w:val="0"/>
                <w:sz w:val="24"/>
                <w:highlight w:val="none"/>
              </w:rPr>
            </w:pPr>
          </w:p>
        </w:tc>
        <w:tc>
          <w:tcPr>
            <w:tcW w:w="1977" w:type="dxa"/>
            <w:gridSpan w:val="6"/>
            <w:vAlign w:val="center"/>
          </w:tcPr>
          <w:p w14:paraId="3FBA9D4E">
            <w:pPr>
              <w:autoSpaceDE w:val="0"/>
              <w:autoSpaceDN w:val="0"/>
              <w:jc w:val="center"/>
              <w:rPr>
                <w:color w:val="auto"/>
                <w:kern w:val="0"/>
                <w:sz w:val="24"/>
                <w:highlight w:val="none"/>
              </w:rPr>
            </w:pPr>
            <w:r>
              <w:rPr>
                <w:rFonts w:hint="eastAsia" w:ascii="宋体" w:cs="宋体"/>
                <w:color w:val="auto"/>
                <w:kern w:val="0"/>
                <w:sz w:val="24"/>
                <w:highlight w:val="none"/>
              </w:rPr>
              <w:t>员工总人数</w:t>
            </w:r>
          </w:p>
        </w:tc>
        <w:tc>
          <w:tcPr>
            <w:tcW w:w="1292" w:type="dxa"/>
            <w:vAlign w:val="center"/>
          </w:tcPr>
          <w:p w14:paraId="47252A97">
            <w:pPr>
              <w:autoSpaceDE w:val="0"/>
              <w:autoSpaceDN w:val="0"/>
              <w:jc w:val="center"/>
              <w:rPr>
                <w:color w:val="auto"/>
                <w:kern w:val="0"/>
                <w:sz w:val="24"/>
                <w:highlight w:val="none"/>
              </w:rPr>
            </w:pPr>
          </w:p>
        </w:tc>
      </w:tr>
      <w:tr w14:paraId="2DFED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2079" w:type="dxa"/>
            <w:vAlign w:val="center"/>
          </w:tcPr>
          <w:p w14:paraId="156FBA8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注册资本</w:t>
            </w:r>
          </w:p>
        </w:tc>
        <w:tc>
          <w:tcPr>
            <w:tcW w:w="3492" w:type="dxa"/>
            <w:gridSpan w:val="4"/>
            <w:vAlign w:val="center"/>
          </w:tcPr>
          <w:p w14:paraId="1EC81796">
            <w:pPr>
              <w:autoSpaceDE w:val="0"/>
              <w:autoSpaceDN w:val="0"/>
              <w:jc w:val="center"/>
              <w:rPr>
                <w:color w:val="auto"/>
                <w:kern w:val="0"/>
                <w:sz w:val="24"/>
                <w:highlight w:val="none"/>
              </w:rPr>
            </w:pPr>
          </w:p>
        </w:tc>
        <w:tc>
          <w:tcPr>
            <w:tcW w:w="337" w:type="dxa"/>
            <w:gridSpan w:val="2"/>
            <w:vMerge w:val="restart"/>
            <w:vAlign w:val="center"/>
          </w:tcPr>
          <w:p w14:paraId="574C543A">
            <w:pPr>
              <w:autoSpaceDE w:val="0"/>
              <w:autoSpaceDN w:val="0"/>
              <w:jc w:val="center"/>
              <w:rPr>
                <w:color w:val="auto"/>
                <w:kern w:val="0"/>
                <w:sz w:val="24"/>
                <w:highlight w:val="none"/>
              </w:rPr>
            </w:pPr>
            <w:r>
              <w:rPr>
                <w:rFonts w:hint="eastAsia" w:ascii="宋体" w:cs="宋体"/>
                <w:color w:val="auto"/>
                <w:kern w:val="0"/>
                <w:sz w:val="24"/>
                <w:highlight w:val="none"/>
              </w:rPr>
              <w:t>其中</w:t>
            </w:r>
          </w:p>
        </w:tc>
        <w:tc>
          <w:tcPr>
            <w:tcW w:w="1640" w:type="dxa"/>
            <w:gridSpan w:val="4"/>
            <w:vAlign w:val="center"/>
          </w:tcPr>
          <w:p w14:paraId="4B709D38">
            <w:pPr>
              <w:jc w:val="left"/>
              <w:rPr>
                <w:rFonts w:ascii="宋体" w:cs="宋体"/>
                <w:color w:val="auto"/>
                <w:kern w:val="0"/>
                <w:sz w:val="24"/>
                <w:highlight w:val="none"/>
              </w:rPr>
            </w:pPr>
            <w:r>
              <w:rPr>
                <w:rFonts w:hint="eastAsia" w:ascii="宋体" w:cs="宋体"/>
                <w:color w:val="auto"/>
                <w:kern w:val="0"/>
                <w:sz w:val="24"/>
                <w:highlight w:val="none"/>
              </w:rPr>
              <w:t>高级职称人员</w:t>
            </w:r>
          </w:p>
        </w:tc>
        <w:tc>
          <w:tcPr>
            <w:tcW w:w="1292" w:type="dxa"/>
            <w:vAlign w:val="center"/>
          </w:tcPr>
          <w:p w14:paraId="2205DEC3">
            <w:pPr>
              <w:autoSpaceDE w:val="0"/>
              <w:autoSpaceDN w:val="0"/>
              <w:jc w:val="center"/>
              <w:rPr>
                <w:color w:val="auto"/>
                <w:kern w:val="0"/>
                <w:sz w:val="24"/>
                <w:highlight w:val="none"/>
              </w:rPr>
            </w:pPr>
          </w:p>
        </w:tc>
      </w:tr>
      <w:tr w14:paraId="499BC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2ABAF37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成立日期</w:t>
            </w:r>
          </w:p>
        </w:tc>
        <w:tc>
          <w:tcPr>
            <w:tcW w:w="3492" w:type="dxa"/>
            <w:gridSpan w:val="4"/>
            <w:vAlign w:val="center"/>
          </w:tcPr>
          <w:p w14:paraId="7B631F01">
            <w:pPr>
              <w:autoSpaceDE w:val="0"/>
              <w:autoSpaceDN w:val="0"/>
              <w:jc w:val="center"/>
              <w:rPr>
                <w:rFonts w:ascii="宋体" w:cs="宋体"/>
                <w:color w:val="auto"/>
                <w:kern w:val="0"/>
                <w:sz w:val="24"/>
                <w:highlight w:val="none"/>
              </w:rPr>
            </w:pPr>
          </w:p>
        </w:tc>
        <w:tc>
          <w:tcPr>
            <w:tcW w:w="337" w:type="dxa"/>
            <w:gridSpan w:val="2"/>
            <w:vMerge w:val="continue"/>
            <w:vAlign w:val="center"/>
          </w:tcPr>
          <w:p w14:paraId="4C1AAF99">
            <w:pPr>
              <w:autoSpaceDE w:val="0"/>
              <w:autoSpaceDN w:val="0"/>
              <w:jc w:val="center"/>
              <w:rPr>
                <w:color w:val="auto"/>
                <w:kern w:val="0"/>
                <w:sz w:val="24"/>
                <w:highlight w:val="none"/>
              </w:rPr>
            </w:pPr>
          </w:p>
        </w:tc>
        <w:tc>
          <w:tcPr>
            <w:tcW w:w="1640" w:type="dxa"/>
            <w:gridSpan w:val="4"/>
            <w:vAlign w:val="center"/>
          </w:tcPr>
          <w:p w14:paraId="1EBC7F4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中级职称人员</w:t>
            </w:r>
          </w:p>
        </w:tc>
        <w:tc>
          <w:tcPr>
            <w:tcW w:w="1292" w:type="dxa"/>
            <w:vAlign w:val="center"/>
          </w:tcPr>
          <w:p w14:paraId="59AFFE3C">
            <w:pPr>
              <w:autoSpaceDE w:val="0"/>
              <w:autoSpaceDN w:val="0"/>
              <w:jc w:val="center"/>
              <w:rPr>
                <w:color w:val="auto"/>
                <w:kern w:val="0"/>
                <w:sz w:val="24"/>
                <w:highlight w:val="none"/>
              </w:rPr>
            </w:pPr>
          </w:p>
        </w:tc>
      </w:tr>
      <w:tr w14:paraId="68BE1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50" w:hRule="atLeast"/>
        </w:trPr>
        <w:tc>
          <w:tcPr>
            <w:tcW w:w="2079" w:type="dxa"/>
            <w:vAlign w:val="center"/>
          </w:tcPr>
          <w:p w14:paraId="1292D32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基本账户开户银行</w:t>
            </w:r>
          </w:p>
        </w:tc>
        <w:tc>
          <w:tcPr>
            <w:tcW w:w="3492" w:type="dxa"/>
            <w:gridSpan w:val="4"/>
            <w:vAlign w:val="center"/>
          </w:tcPr>
          <w:p w14:paraId="7680206D">
            <w:pPr>
              <w:autoSpaceDE w:val="0"/>
              <w:autoSpaceDN w:val="0"/>
              <w:jc w:val="center"/>
              <w:rPr>
                <w:color w:val="auto"/>
                <w:kern w:val="0"/>
                <w:sz w:val="24"/>
                <w:highlight w:val="none"/>
              </w:rPr>
            </w:pPr>
          </w:p>
        </w:tc>
        <w:tc>
          <w:tcPr>
            <w:tcW w:w="337" w:type="dxa"/>
            <w:gridSpan w:val="2"/>
            <w:vMerge w:val="continue"/>
            <w:vAlign w:val="center"/>
          </w:tcPr>
          <w:p w14:paraId="4764300E">
            <w:pPr>
              <w:autoSpaceDE w:val="0"/>
              <w:autoSpaceDN w:val="0"/>
              <w:jc w:val="center"/>
              <w:rPr>
                <w:color w:val="auto"/>
                <w:kern w:val="0"/>
                <w:sz w:val="24"/>
                <w:highlight w:val="none"/>
              </w:rPr>
            </w:pPr>
          </w:p>
        </w:tc>
        <w:tc>
          <w:tcPr>
            <w:tcW w:w="1640" w:type="dxa"/>
            <w:gridSpan w:val="4"/>
            <w:vAlign w:val="center"/>
          </w:tcPr>
          <w:p w14:paraId="17EE4C8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技术人员数量</w:t>
            </w:r>
          </w:p>
        </w:tc>
        <w:tc>
          <w:tcPr>
            <w:tcW w:w="1292" w:type="dxa"/>
            <w:vAlign w:val="center"/>
          </w:tcPr>
          <w:p w14:paraId="355E5B8B">
            <w:pPr>
              <w:autoSpaceDE w:val="0"/>
              <w:autoSpaceDN w:val="0"/>
              <w:jc w:val="center"/>
              <w:rPr>
                <w:color w:val="auto"/>
                <w:kern w:val="0"/>
                <w:sz w:val="24"/>
                <w:highlight w:val="none"/>
              </w:rPr>
            </w:pPr>
          </w:p>
        </w:tc>
      </w:tr>
      <w:tr w14:paraId="74CA5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7713F15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基本账户银行账号</w:t>
            </w:r>
          </w:p>
        </w:tc>
        <w:tc>
          <w:tcPr>
            <w:tcW w:w="3492" w:type="dxa"/>
            <w:gridSpan w:val="4"/>
            <w:vAlign w:val="center"/>
          </w:tcPr>
          <w:p w14:paraId="32FDF6AF">
            <w:pPr>
              <w:autoSpaceDE w:val="0"/>
              <w:autoSpaceDN w:val="0"/>
              <w:jc w:val="center"/>
              <w:rPr>
                <w:color w:val="auto"/>
                <w:kern w:val="0"/>
                <w:sz w:val="24"/>
                <w:highlight w:val="none"/>
              </w:rPr>
            </w:pPr>
          </w:p>
        </w:tc>
        <w:tc>
          <w:tcPr>
            <w:tcW w:w="337" w:type="dxa"/>
            <w:gridSpan w:val="2"/>
            <w:vMerge w:val="continue"/>
            <w:vAlign w:val="center"/>
          </w:tcPr>
          <w:p w14:paraId="50E376FD">
            <w:pPr>
              <w:autoSpaceDE w:val="0"/>
              <w:autoSpaceDN w:val="0"/>
              <w:jc w:val="center"/>
              <w:rPr>
                <w:color w:val="auto"/>
                <w:kern w:val="0"/>
                <w:sz w:val="24"/>
                <w:highlight w:val="none"/>
              </w:rPr>
            </w:pPr>
          </w:p>
        </w:tc>
        <w:tc>
          <w:tcPr>
            <w:tcW w:w="1640" w:type="dxa"/>
            <w:gridSpan w:val="4"/>
            <w:vAlign w:val="center"/>
          </w:tcPr>
          <w:p w14:paraId="1CFEEBCA">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各类注册人员</w:t>
            </w:r>
          </w:p>
        </w:tc>
        <w:tc>
          <w:tcPr>
            <w:tcW w:w="1292" w:type="dxa"/>
            <w:vAlign w:val="center"/>
          </w:tcPr>
          <w:p w14:paraId="127832FD">
            <w:pPr>
              <w:autoSpaceDE w:val="0"/>
              <w:autoSpaceDN w:val="0"/>
              <w:jc w:val="center"/>
              <w:rPr>
                <w:color w:val="auto"/>
                <w:kern w:val="0"/>
                <w:sz w:val="24"/>
                <w:highlight w:val="none"/>
              </w:rPr>
            </w:pPr>
          </w:p>
        </w:tc>
      </w:tr>
      <w:tr w14:paraId="1CE11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770" w:hRule="atLeast"/>
        </w:trPr>
        <w:tc>
          <w:tcPr>
            <w:tcW w:w="2079" w:type="dxa"/>
            <w:vAlign w:val="center"/>
          </w:tcPr>
          <w:p w14:paraId="43942AC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经营范围</w:t>
            </w:r>
          </w:p>
        </w:tc>
        <w:tc>
          <w:tcPr>
            <w:tcW w:w="6761" w:type="dxa"/>
            <w:gridSpan w:val="11"/>
            <w:vAlign w:val="center"/>
          </w:tcPr>
          <w:p w14:paraId="29C93272">
            <w:pPr>
              <w:autoSpaceDE w:val="0"/>
              <w:autoSpaceDN w:val="0"/>
              <w:jc w:val="center"/>
              <w:rPr>
                <w:color w:val="auto"/>
                <w:kern w:val="0"/>
                <w:sz w:val="24"/>
                <w:highlight w:val="none"/>
              </w:rPr>
            </w:pPr>
          </w:p>
        </w:tc>
      </w:tr>
      <w:tr w14:paraId="63B8C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045" w:hRule="atLeast"/>
        </w:trPr>
        <w:tc>
          <w:tcPr>
            <w:tcW w:w="2079" w:type="dxa"/>
            <w:vAlign w:val="center"/>
          </w:tcPr>
          <w:p w14:paraId="5CA60ECF">
            <w:pPr>
              <w:autoSpaceDE w:val="0"/>
              <w:autoSpaceDN w:val="0"/>
              <w:jc w:val="center"/>
              <w:rPr>
                <w:color w:val="auto"/>
                <w:highlight w:val="none"/>
              </w:rPr>
            </w:pPr>
            <w:r>
              <w:rPr>
                <w:rFonts w:hint="eastAsia" w:ascii="宋体" w:cs="宋体"/>
                <w:color w:val="auto"/>
                <w:kern w:val="0"/>
                <w:sz w:val="24"/>
                <w:highlight w:val="none"/>
              </w:rPr>
              <w:t>投标人关联企业情况（包括但不限于与投标人法定代表人为同一人或者存在控股、管理关系的不同单位）</w:t>
            </w:r>
          </w:p>
        </w:tc>
        <w:tc>
          <w:tcPr>
            <w:tcW w:w="6761" w:type="dxa"/>
            <w:gridSpan w:val="11"/>
            <w:vAlign w:val="center"/>
          </w:tcPr>
          <w:p w14:paraId="4DE33A33">
            <w:pPr>
              <w:autoSpaceDE w:val="0"/>
              <w:autoSpaceDN w:val="0"/>
              <w:jc w:val="center"/>
              <w:rPr>
                <w:color w:val="auto"/>
                <w:kern w:val="0"/>
                <w:sz w:val="24"/>
                <w:highlight w:val="none"/>
              </w:rPr>
            </w:pPr>
          </w:p>
        </w:tc>
      </w:tr>
      <w:tr w14:paraId="1B65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40" w:hRule="atLeast"/>
        </w:trPr>
        <w:tc>
          <w:tcPr>
            <w:tcW w:w="2079" w:type="dxa"/>
            <w:vAlign w:val="center"/>
          </w:tcPr>
          <w:p w14:paraId="60A9558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备注</w:t>
            </w:r>
          </w:p>
        </w:tc>
        <w:tc>
          <w:tcPr>
            <w:tcW w:w="6761" w:type="dxa"/>
            <w:gridSpan w:val="11"/>
            <w:vAlign w:val="center"/>
          </w:tcPr>
          <w:p w14:paraId="3008886C">
            <w:pPr>
              <w:autoSpaceDE w:val="0"/>
              <w:autoSpaceDN w:val="0"/>
              <w:jc w:val="center"/>
              <w:rPr>
                <w:color w:val="auto"/>
                <w:kern w:val="0"/>
                <w:sz w:val="24"/>
                <w:highlight w:val="none"/>
              </w:rPr>
            </w:pPr>
          </w:p>
        </w:tc>
      </w:tr>
    </w:tbl>
    <w:p w14:paraId="20D1F62A">
      <w:pPr>
        <w:autoSpaceDE w:val="0"/>
        <w:autoSpaceDN w:val="0"/>
        <w:adjustRightInd w:val="0"/>
        <w:spacing w:line="160" w:lineRule="exact"/>
        <w:jc w:val="left"/>
        <w:rPr>
          <w:color w:val="auto"/>
          <w:kern w:val="0"/>
          <w:sz w:val="24"/>
          <w:highlight w:val="none"/>
        </w:rPr>
      </w:pPr>
    </w:p>
    <w:p w14:paraId="6C9435E7">
      <w:pPr>
        <w:pStyle w:val="30"/>
        <w:snapToGrid w:val="0"/>
        <w:ind w:left="359" w:hanging="359" w:hangingChars="171"/>
        <w:rPr>
          <w:rFonts w:hint="default" w:hAnsi="宋体" w:cs="仿宋"/>
          <w:color w:val="auto"/>
          <w:sz w:val="21"/>
          <w:szCs w:val="21"/>
          <w:highlight w:val="none"/>
        </w:rPr>
      </w:pPr>
      <w:r>
        <w:rPr>
          <w:rFonts w:hAnsi="宋体" w:cs="仿宋"/>
          <w:color w:val="auto"/>
          <w:sz w:val="21"/>
          <w:szCs w:val="21"/>
          <w:highlight w:val="none"/>
        </w:rPr>
        <w:t>注:在本表后应附企业法人</w:t>
      </w:r>
      <w:r>
        <w:rPr>
          <w:rFonts w:hAnsi="宋体" w:cs="仿宋"/>
          <w:b/>
          <w:bCs/>
          <w:color w:val="auto"/>
          <w:sz w:val="21"/>
          <w:szCs w:val="21"/>
          <w:highlight w:val="none"/>
        </w:rPr>
        <w:t>营业执照</w:t>
      </w:r>
      <w:r>
        <w:rPr>
          <w:rFonts w:hAnsi="宋体" w:cs="仿宋"/>
          <w:color w:val="auto"/>
          <w:sz w:val="21"/>
          <w:szCs w:val="21"/>
          <w:highlight w:val="none"/>
        </w:rPr>
        <w:t>副本或事业单位法人证书、</w:t>
      </w:r>
      <w:r>
        <w:rPr>
          <w:rFonts w:hAnsi="宋体" w:cs="仿宋"/>
          <w:b/>
          <w:bCs/>
          <w:color w:val="auto"/>
          <w:sz w:val="21"/>
          <w:szCs w:val="21"/>
          <w:highlight w:val="none"/>
        </w:rPr>
        <w:t>资质证书</w:t>
      </w:r>
      <w:r>
        <w:rPr>
          <w:rFonts w:hAnsi="宋体" w:cs="仿宋"/>
          <w:color w:val="auto"/>
          <w:sz w:val="21"/>
          <w:szCs w:val="21"/>
          <w:highlight w:val="none"/>
        </w:rPr>
        <w:t>、质量保证体系认证证书等的原件扫描件及</w:t>
      </w:r>
      <w:r>
        <w:rPr>
          <w:rFonts w:hAnsi="宋体" w:cs="仿宋"/>
          <w:b/>
          <w:bCs/>
          <w:color w:val="auto"/>
          <w:sz w:val="21"/>
          <w:szCs w:val="21"/>
          <w:highlight w:val="none"/>
        </w:rPr>
        <w:t>基本账户开户许可证明</w:t>
      </w:r>
      <w:r>
        <w:rPr>
          <w:rFonts w:hAnsi="宋体" w:cs="仿宋"/>
          <w:color w:val="auto"/>
          <w:sz w:val="21"/>
          <w:szCs w:val="21"/>
          <w:highlight w:val="none"/>
        </w:rPr>
        <w:t>的清晰可辨的原件扫描件。上述所有执照、证书扫描件均应</w:t>
      </w:r>
      <w:r>
        <w:rPr>
          <w:rFonts w:hAnsi="宋体" w:cs="仿宋"/>
          <w:b/>
          <w:bCs/>
          <w:color w:val="auto"/>
          <w:sz w:val="21"/>
          <w:szCs w:val="21"/>
          <w:highlight w:val="none"/>
        </w:rPr>
        <w:t>加盖供应商单位公章</w:t>
      </w:r>
      <w:r>
        <w:rPr>
          <w:rFonts w:hAnsi="宋体" w:cs="仿宋"/>
          <w:color w:val="auto"/>
          <w:sz w:val="21"/>
          <w:szCs w:val="21"/>
          <w:highlight w:val="none"/>
        </w:rPr>
        <w:t>。</w:t>
      </w:r>
    </w:p>
    <w:p w14:paraId="3B842F6D">
      <w:pPr>
        <w:pStyle w:val="7"/>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3558CEEB">
      <w:pPr>
        <w:pStyle w:val="7"/>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5452C5E8">
      <w:pPr>
        <w:pStyle w:val="7"/>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30626CA1">
      <w:pPr>
        <w:snapToGrid w:val="0"/>
        <w:ind w:left="482"/>
        <w:rPr>
          <w:rFonts w:ascii="宋体" w:hAnsi="宋体"/>
          <w:b/>
          <w:bCs/>
          <w:color w:val="auto"/>
          <w:sz w:val="24"/>
          <w:highlight w:val="none"/>
        </w:rPr>
      </w:pPr>
      <w:r>
        <w:rPr>
          <w:rFonts w:hint="eastAsia" w:ascii="宋体" w:hAnsi="宋体"/>
          <w:b/>
          <w:bCs/>
          <w:color w:val="auto"/>
          <w:sz w:val="24"/>
          <w:highlight w:val="none"/>
        </w:rPr>
        <w:br w:type="page"/>
      </w:r>
    </w:p>
    <w:p w14:paraId="44A79951">
      <w:pPr>
        <w:pStyle w:val="20"/>
        <w:snapToGrid w:val="0"/>
        <w:ind w:left="482" w:hanging="482"/>
        <w:rPr>
          <w:rFonts w:ascii="宋体" w:hAnsi="宋体"/>
          <w:b/>
          <w:bCs/>
          <w:color w:val="auto"/>
          <w:sz w:val="24"/>
          <w:highlight w:val="none"/>
        </w:rPr>
      </w:pPr>
    </w:p>
    <w:p w14:paraId="0D9EEEF6">
      <w:pPr>
        <w:snapToGrid w:val="0"/>
        <w:spacing w:before="120" w:beforeLines="50" w:after="50"/>
        <w:jc w:val="center"/>
        <w:outlineLvl w:val="2"/>
        <w:rPr>
          <w:rFonts w:ascii="宋体" w:hAnsi="宋体"/>
          <w:b/>
          <w:color w:val="auto"/>
          <w:sz w:val="24"/>
          <w:highlight w:val="none"/>
        </w:rPr>
      </w:pPr>
      <w:r>
        <w:rPr>
          <w:rFonts w:hint="eastAsia" w:ascii="宋体" w:hAnsi="宋体"/>
          <w:b/>
          <w:color w:val="auto"/>
          <w:sz w:val="24"/>
          <w:highlight w:val="none"/>
        </w:rPr>
        <w:t>（二）近年的业绩证明文件</w:t>
      </w:r>
    </w:p>
    <w:p w14:paraId="15B7B1E1">
      <w:pPr>
        <w:jc w:val="center"/>
        <w:outlineLvl w:val="3"/>
        <w:rPr>
          <w:rFonts w:ascii="黑体" w:hAnsi="宋体" w:eastAsia="黑体"/>
          <w:b/>
          <w:bCs/>
          <w:color w:val="auto"/>
          <w:sz w:val="24"/>
          <w:highlight w:val="none"/>
        </w:rPr>
      </w:pPr>
      <w:r>
        <w:rPr>
          <w:rFonts w:hint="eastAsia" w:ascii="黑体" w:hAnsi="宋体" w:eastAsia="黑体"/>
          <w:b/>
          <w:bCs/>
          <w:color w:val="auto"/>
          <w:sz w:val="24"/>
          <w:highlight w:val="none"/>
        </w:rPr>
        <w:t xml:space="preserve">1.近 </w:t>
      </w:r>
      <w:r>
        <w:rPr>
          <w:rFonts w:hint="eastAsia" w:ascii="黑体" w:hAnsi="宋体" w:eastAsia="黑体"/>
          <w:b/>
          <w:bCs/>
          <w:color w:val="auto"/>
          <w:sz w:val="24"/>
          <w:highlight w:val="none"/>
          <w:lang w:val="en-US" w:eastAsia="zh-CN"/>
        </w:rPr>
        <w:t>5</w:t>
      </w:r>
      <w:r>
        <w:rPr>
          <w:rFonts w:hint="eastAsia" w:ascii="黑体" w:hAnsi="宋体" w:eastAsia="黑体"/>
          <w:b/>
          <w:bCs/>
          <w:color w:val="auto"/>
          <w:sz w:val="24"/>
          <w:highlight w:val="none"/>
        </w:rPr>
        <w:t>年</w:t>
      </w:r>
      <w:r>
        <w:rPr>
          <w:rFonts w:ascii="黑体" w:hAnsi="宋体" w:eastAsia="黑体"/>
          <w:b/>
          <w:bCs/>
          <w:color w:val="auto"/>
          <w:sz w:val="24"/>
          <w:highlight w:val="none"/>
        </w:rPr>
        <w:t>类似项目情况汇总表</w:t>
      </w:r>
    </w:p>
    <w:tbl>
      <w:tblPr>
        <w:tblStyle w:val="26"/>
        <w:tblW w:w="0" w:type="auto"/>
        <w:tblInd w:w="0" w:type="dxa"/>
        <w:tblLayout w:type="fixed"/>
        <w:tblCellMar>
          <w:top w:w="0" w:type="dxa"/>
          <w:left w:w="0" w:type="dxa"/>
          <w:bottom w:w="0" w:type="dxa"/>
          <w:right w:w="0" w:type="dxa"/>
        </w:tblCellMar>
      </w:tblPr>
      <w:tblGrid>
        <w:gridCol w:w="1437"/>
        <w:gridCol w:w="1430"/>
        <w:gridCol w:w="2516"/>
        <w:gridCol w:w="2330"/>
        <w:gridCol w:w="1387"/>
      </w:tblGrid>
      <w:tr w14:paraId="3F8512F7">
        <w:tblPrEx>
          <w:tblCellMar>
            <w:top w:w="0" w:type="dxa"/>
            <w:left w:w="0" w:type="dxa"/>
            <w:bottom w:w="0" w:type="dxa"/>
            <w:right w:w="0" w:type="dxa"/>
          </w:tblCellMar>
        </w:tblPrEx>
        <w:trPr>
          <w:trHeight w:val="561" w:hRule="atLeast"/>
        </w:trPr>
        <w:tc>
          <w:tcPr>
            <w:tcW w:w="1437" w:type="dxa"/>
            <w:tcBorders>
              <w:top w:val="single" w:color="auto" w:sz="12" w:space="0"/>
              <w:left w:val="single" w:color="auto" w:sz="12" w:space="0"/>
              <w:bottom w:val="single" w:color="auto" w:sz="8" w:space="0"/>
              <w:right w:val="single" w:color="auto" w:sz="8" w:space="0"/>
            </w:tcBorders>
            <w:vAlign w:val="center"/>
          </w:tcPr>
          <w:p w14:paraId="4023A500">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项目名称</w:t>
            </w:r>
          </w:p>
        </w:tc>
        <w:tc>
          <w:tcPr>
            <w:tcW w:w="1430" w:type="dxa"/>
            <w:tcBorders>
              <w:top w:val="single" w:color="auto" w:sz="12" w:space="0"/>
              <w:left w:val="single" w:color="auto" w:sz="8" w:space="0"/>
              <w:bottom w:val="single" w:color="auto" w:sz="8" w:space="0"/>
              <w:right w:val="single" w:color="auto" w:sz="8" w:space="0"/>
            </w:tcBorders>
            <w:vAlign w:val="center"/>
          </w:tcPr>
          <w:p w14:paraId="526BDF5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起讫时间</w:t>
            </w:r>
          </w:p>
        </w:tc>
        <w:tc>
          <w:tcPr>
            <w:tcW w:w="2516" w:type="dxa"/>
            <w:tcBorders>
              <w:top w:val="single" w:color="auto" w:sz="12" w:space="0"/>
              <w:left w:val="single" w:color="auto" w:sz="8" w:space="0"/>
              <w:bottom w:val="single" w:color="auto" w:sz="8" w:space="0"/>
              <w:right w:val="single" w:color="auto" w:sz="8" w:space="0"/>
            </w:tcBorders>
            <w:vAlign w:val="center"/>
          </w:tcPr>
          <w:p w14:paraId="6BE869F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w:t>
            </w:r>
          </w:p>
        </w:tc>
        <w:tc>
          <w:tcPr>
            <w:tcW w:w="2330" w:type="dxa"/>
            <w:tcBorders>
              <w:top w:val="single" w:color="auto" w:sz="12" w:space="0"/>
              <w:left w:val="single" w:color="auto" w:sz="8" w:space="0"/>
              <w:bottom w:val="single" w:color="auto" w:sz="8" w:space="0"/>
              <w:right w:val="single" w:color="auto" w:sz="8" w:space="0"/>
            </w:tcBorders>
            <w:vAlign w:val="center"/>
          </w:tcPr>
          <w:p w14:paraId="054A183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完成情况</w:t>
            </w:r>
          </w:p>
        </w:tc>
        <w:tc>
          <w:tcPr>
            <w:tcW w:w="1387" w:type="dxa"/>
            <w:tcBorders>
              <w:top w:val="single" w:color="auto" w:sz="12" w:space="0"/>
              <w:left w:val="single" w:color="auto" w:sz="8" w:space="0"/>
              <w:bottom w:val="single" w:color="auto" w:sz="8" w:space="0"/>
              <w:right w:val="single" w:color="auto" w:sz="12" w:space="0"/>
            </w:tcBorders>
            <w:vAlign w:val="center"/>
          </w:tcPr>
          <w:p w14:paraId="3CBE1B60">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备注</w:t>
            </w:r>
          </w:p>
        </w:tc>
      </w:tr>
      <w:tr w14:paraId="09C1160A">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5C2F296C">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46403574">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2D25A7A7">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4372E438">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32FD3D69">
            <w:pPr>
              <w:autoSpaceDE w:val="0"/>
              <w:autoSpaceDN w:val="0"/>
              <w:rPr>
                <w:color w:val="auto"/>
                <w:kern w:val="0"/>
                <w:sz w:val="24"/>
                <w:highlight w:val="none"/>
              </w:rPr>
            </w:pPr>
          </w:p>
        </w:tc>
      </w:tr>
      <w:tr w14:paraId="62231464">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54452D8A">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4082A125">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019469C5">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3CD76B34">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22DA0476">
            <w:pPr>
              <w:autoSpaceDE w:val="0"/>
              <w:autoSpaceDN w:val="0"/>
              <w:rPr>
                <w:color w:val="auto"/>
                <w:kern w:val="0"/>
                <w:sz w:val="24"/>
                <w:highlight w:val="none"/>
              </w:rPr>
            </w:pPr>
          </w:p>
        </w:tc>
      </w:tr>
      <w:tr w14:paraId="4C3BF410">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20FBCB80">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739802D9">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7B9EA83B">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6D8BACAF">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01288263">
            <w:pPr>
              <w:autoSpaceDE w:val="0"/>
              <w:autoSpaceDN w:val="0"/>
              <w:rPr>
                <w:color w:val="auto"/>
                <w:kern w:val="0"/>
                <w:sz w:val="24"/>
                <w:highlight w:val="none"/>
              </w:rPr>
            </w:pPr>
          </w:p>
        </w:tc>
      </w:tr>
      <w:tr w14:paraId="22ECBAD8">
        <w:tblPrEx>
          <w:tblCellMar>
            <w:top w:w="0" w:type="dxa"/>
            <w:left w:w="0" w:type="dxa"/>
            <w:bottom w:w="0" w:type="dxa"/>
            <w:right w:w="0" w:type="dxa"/>
          </w:tblCellMar>
        </w:tblPrEx>
        <w:trPr>
          <w:trHeight w:val="566" w:hRule="atLeast"/>
        </w:trPr>
        <w:tc>
          <w:tcPr>
            <w:tcW w:w="1437" w:type="dxa"/>
            <w:tcBorders>
              <w:top w:val="single" w:color="auto" w:sz="8" w:space="0"/>
              <w:left w:val="single" w:color="auto" w:sz="12" w:space="0"/>
              <w:bottom w:val="single" w:color="auto" w:sz="8" w:space="0"/>
              <w:right w:val="single" w:color="auto" w:sz="8" w:space="0"/>
            </w:tcBorders>
          </w:tcPr>
          <w:p w14:paraId="5B38BA69">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7AA91A14">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373AD791">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7CF90715">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79BECB0A">
            <w:pPr>
              <w:autoSpaceDE w:val="0"/>
              <w:autoSpaceDN w:val="0"/>
              <w:rPr>
                <w:color w:val="auto"/>
                <w:kern w:val="0"/>
                <w:sz w:val="24"/>
                <w:highlight w:val="none"/>
              </w:rPr>
            </w:pPr>
          </w:p>
        </w:tc>
      </w:tr>
      <w:tr w14:paraId="540A64F3">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36B5F161">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1EDDD834">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3C52E823">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6968EC38">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42E3E105">
            <w:pPr>
              <w:autoSpaceDE w:val="0"/>
              <w:autoSpaceDN w:val="0"/>
              <w:rPr>
                <w:color w:val="auto"/>
                <w:kern w:val="0"/>
                <w:sz w:val="24"/>
                <w:highlight w:val="none"/>
              </w:rPr>
            </w:pPr>
          </w:p>
        </w:tc>
      </w:tr>
      <w:tr w14:paraId="4E0373DE">
        <w:tblPrEx>
          <w:tblCellMar>
            <w:top w:w="0" w:type="dxa"/>
            <w:left w:w="0" w:type="dxa"/>
            <w:bottom w:w="0" w:type="dxa"/>
            <w:right w:w="0" w:type="dxa"/>
          </w:tblCellMar>
        </w:tblPrEx>
        <w:trPr>
          <w:trHeight w:val="780" w:hRule="atLeast"/>
        </w:trPr>
        <w:tc>
          <w:tcPr>
            <w:tcW w:w="1437" w:type="dxa"/>
            <w:tcBorders>
              <w:top w:val="single" w:color="auto" w:sz="8" w:space="0"/>
              <w:left w:val="single" w:color="auto" w:sz="12" w:space="0"/>
              <w:bottom w:val="single" w:color="auto" w:sz="8" w:space="0"/>
              <w:right w:val="single" w:color="auto" w:sz="8" w:space="0"/>
            </w:tcBorders>
          </w:tcPr>
          <w:p w14:paraId="0A0BE8C4">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67C01905">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720D7DE8">
            <w:pPr>
              <w:autoSpaceDE w:val="0"/>
              <w:autoSpaceDN w:val="0"/>
              <w:rPr>
                <w:rFonts w:ascii="宋体" w:cs="宋体"/>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2D2B9CD8">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064C5DAC">
            <w:pPr>
              <w:autoSpaceDE w:val="0"/>
              <w:autoSpaceDN w:val="0"/>
              <w:rPr>
                <w:color w:val="auto"/>
                <w:kern w:val="0"/>
                <w:sz w:val="24"/>
                <w:highlight w:val="none"/>
              </w:rPr>
            </w:pPr>
          </w:p>
        </w:tc>
      </w:tr>
      <w:tr w14:paraId="0BC7E4B8">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11459BEF">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27E7E4E3">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2419FA77">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52F34FFB">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0AE7EC0F">
            <w:pPr>
              <w:autoSpaceDE w:val="0"/>
              <w:autoSpaceDN w:val="0"/>
              <w:rPr>
                <w:color w:val="auto"/>
                <w:kern w:val="0"/>
                <w:sz w:val="24"/>
                <w:highlight w:val="none"/>
              </w:rPr>
            </w:pPr>
          </w:p>
        </w:tc>
      </w:tr>
      <w:tr w14:paraId="0787A291">
        <w:tblPrEx>
          <w:tblCellMar>
            <w:top w:w="0" w:type="dxa"/>
            <w:left w:w="0" w:type="dxa"/>
            <w:bottom w:w="0" w:type="dxa"/>
            <w:right w:w="0" w:type="dxa"/>
          </w:tblCellMar>
        </w:tblPrEx>
        <w:trPr>
          <w:trHeight w:val="566" w:hRule="atLeast"/>
        </w:trPr>
        <w:tc>
          <w:tcPr>
            <w:tcW w:w="1437" w:type="dxa"/>
            <w:tcBorders>
              <w:top w:val="single" w:color="auto" w:sz="8" w:space="0"/>
              <w:left w:val="single" w:color="auto" w:sz="12" w:space="0"/>
              <w:bottom w:val="single" w:color="auto" w:sz="8" w:space="0"/>
              <w:right w:val="single" w:color="auto" w:sz="8" w:space="0"/>
            </w:tcBorders>
          </w:tcPr>
          <w:p w14:paraId="51E16D73">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18851CEB">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4EA889B1">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32AF0128">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2AC11008">
            <w:pPr>
              <w:autoSpaceDE w:val="0"/>
              <w:autoSpaceDN w:val="0"/>
              <w:rPr>
                <w:color w:val="auto"/>
                <w:kern w:val="0"/>
                <w:sz w:val="24"/>
                <w:highlight w:val="none"/>
              </w:rPr>
            </w:pPr>
          </w:p>
        </w:tc>
      </w:tr>
      <w:tr w14:paraId="1CF14400">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62FE1D32">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00C47D98">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60C57C2E">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2E4FEC18">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0C265602">
            <w:pPr>
              <w:autoSpaceDE w:val="0"/>
              <w:autoSpaceDN w:val="0"/>
              <w:rPr>
                <w:color w:val="auto"/>
                <w:kern w:val="0"/>
                <w:sz w:val="24"/>
                <w:highlight w:val="none"/>
              </w:rPr>
            </w:pPr>
          </w:p>
        </w:tc>
      </w:tr>
      <w:tr w14:paraId="2A48F322">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6276011D">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2D23DE0E">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24C1F18F">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3C619DCE">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2EB56DF7">
            <w:pPr>
              <w:autoSpaceDE w:val="0"/>
              <w:autoSpaceDN w:val="0"/>
              <w:rPr>
                <w:color w:val="auto"/>
                <w:kern w:val="0"/>
                <w:sz w:val="24"/>
                <w:highlight w:val="none"/>
              </w:rPr>
            </w:pPr>
          </w:p>
        </w:tc>
      </w:tr>
      <w:tr w14:paraId="24F43565">
        <w:tblPrEx>
          <w:tblCellMar>
            <w:top w:w="0" w:type="dxa"/>
            <w:left w:w="0" w:type="dxa"/>
            <w:bottom w:w="0" w:type="dxa"/>
            <w:right w:w="0" w:type="dxa"/>
          </w:tblCellMar>
        </w:tblPrEx>
        <w:trPr>
          <w:trHeight w:val="602" w:hRule="atLeast"/>
        </w:trPr>
        <w:tc>
          <w:tcPr>
            <w:tcW w:w="1437" w:type="dxa"/>
            <w:tcBorders>
              <w:top w:val="single" w:color="auto" w:sz="8" w:space="0"/>
              <w:left w:val="single" w:color="auto" w:sz="12" w:space="0"/>
              <w:bottom w:val="single" w:color="auto" w:sz="12" w:space="0"/>
              <w:right w:val="single" w:color="auto" w:sz="8" w:space="0"/>
            </w:tcBorders>
          </w:tcPr>
          <w:p w14:paraId="39198423">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12" w:space="0"/>
              <w:right w:val="single" w:color="auto" w:sz="8" w:space="0"/>
            </w:tcBorders>
          </w:tcPr>
          <w:p w14:paraId="43A53EE0">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12" w:space="0"/>
              <w:right w:val="single" w:color="auto" w:sz="8" w:space="0"/>
            </w:tcBorders>
          </w:tcPr>
          <w:p w14:paraId="0E2D67D6">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12" w:space="0"/>
              <w:right w:val="single" w:color="auto" w:sz="8" w:space="0"/>
            </w:tcBorders>
          </w:tcPr>
          <w:p w14:paraId="513C4212">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12" w:space="0"/>
              <w:right w:val="single" w:color="auto" w:sz="12" w:space="0"/>
            </w:tcBorders>
          </w:tcPr>
          <w:p w14:paraId="79B1F5E2">
            <w:pPr>
              <w:autoSpaceDE w:val="0"/>
              <w:autoSpaceDN w:val="0"/>
              <w:rPr>
                <w:color w:val="auto"/>
                <w:kern w:val="0"/>
                <w:sz w:val="24"/>
                <w:highlight w:val="none"/>
              </w:rPr>
            </w:pPr>
          </w:p>
        </w:tc>
      </w:tr>
    </w:tbl>
    <w:p w14:paraId="266A0E4F">
      <w:pPr>
        <w:autoSpaceDE w:val="0"/>
        <w:autoSpaceDN w:val="0"/>
        <w:adjustRightInd w:val="0"/>
        <w:jc w:val="left"/>
        <w:rPr>
          <w:color w:val="auto"/>
          <w:kern w:val="0"/>
          <w:sz w:val="24"/>
          <w:highlight w:val="none"/>
        </w:rPr>
      </w:pPr>
    </w:p>
    <w:p w14:paraId="2B077FBF">
      <w:pPr>
        <w:snapToGrid w:val="0"/>
        <w:spacing w:before="50" w:after="50"/>
        <w:rPr>
          <w:rFonts w:ascii="宋体" w:hAnsi="宋体"/>
          <w:color w:val="auto"/>
          <w:szCs w:val="21"/>
          <w:highlight w:val="none"/>
        </w:rPr>
      </w:pPr>
    </w:p>
    <w:p w14:paraId="68042E55">
      <w:pPr>
        <w:pStyle w:val="7"/>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2E28AC1F">
      <w:pPr>
        <w:pStyle w:val="7"/>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311D8E70">
      <w:pPr>
        <w:pStyle w:val="7"/>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49CDFC87">
      <w:pPr>
        <w:snapToGrid w:val="0"/>
        <w:spacing w:before="120" w:beforeLines="50" w:after="50"/>
        <w:jc w:val="left"/>
        <w:rPr>
          <w:rFonts w:ascii="宋体" w:hAnsi="宋体"/>
          <w:color w:val="auto"/>
          <w:szCs w:val="21"/>
          <w:highlight w:val="none"/>
        </w:rPr>
      </w:pPr>
    </w:p>
    <w:p w14:paraId="56E81866">
      <w:pPr>
        <w:snapToGrid w:val="0"/>
        <w:spacing w:before="120" w:beforeLines="50" w:after="50"/>
        <w:jc w:val="left"/>
        <w:rPr>
          <w:rFonts w:ascii="宋体" w:hAnsi="宋体"/>
          <w:color w:val="auto"/>
          <w:szCs w:val="21"/>
          <w:highlight w:val="none"/>
        </w:rPr>
      </w:pPr>
    </w:p>
    <w:p w14:paraId="6031B24F">
      <w:pPr>
        <w:jc w:val="center"/>
        <w:outlineLvl w:val="3"/>
        <w:rPr>
          <w:rFonts w:ascii="黑体" w:hAnsi="宋体" w:eastAsia="黑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2.</w:t>
      </w:r>
      <w:r>
        <w:rPr>
          <w:rFonts w:ascii="黑体" w:hAnsi="宋体" w:eastAsia="黑体"/>
          <w:b/>
          <w:bCs/>
          <w:color w:val="auto"/>
          <w:sz w:val="24"/>
          <w:highlight w:val="none"/>
        </w:rPr>
        <w:t>近</w:t>
      </w:r>
      <w:r>
        <w:rPr>
          <w:rFonts w:hint="eastAsia" w:ascii="黑体" w:hAnsi="宋体" w:eastAsia="黑体"/>
          <w:b/>
          <w:bCs/>
          <w:color w:val="auto"/>
          <w:sz w:val="24"/>
          <w:highlight w:val="none"/>
          <w:lang w:eastAsia="zh-CN"/>
        </w:rPr>
        <w:t>5</w:t>
      </w:r>
      <w:r>
        <w:rPr>
          <w:rFonts w:ascii="黑体" w:hAnsi="宋体" w:eastAsia="黑体"/>
          <w:b/>
          <w:bCs/>
          <w:color w:val="auto"/>
          <w:sz w:val="24"/>
          <w:highlight w:val="none"/>
        </w:rPr>
        <w:t xml:space="preserve"> 年类似项目情况详表</w:t>
      </w:r>
    </w:p>
    <w:p w14:paraId="25265CF0">
      <w:pPr>
        <w:rPr>
          <w:rFonts w:ascii="黑体" w:hAnsi="宋体" w:eastAsia="黑体"/>
          <w:color w:val="auto"/>
          <w:sz w:val="24"/>
          <w:highlight w:val="none"/>
        </w:rPr>
      </w:pPr>
    </w:p>
    <w:tbl>
      <w:tblPr>
        <w:tblStyle w:val="26"/>
        <w:tblW w:w="0" w:type="auto"/>
        <w:tblInd w:w="0" w:type="dxa"/>
        <w:tblLayout w:type="fixed"/>
        <w:tblCellMar>
          <w:top w:w="0" w:type="dxa"/>
          <w:left w:w="0" w:type="dxa"/>
          <w:bottom w:w="0" w:type="dxa"/>
          <w:right w:w="0" w:type="dxa"/>
        </w:tblCellMar>
      </w:tblPr>
      <w:tblGrid>
        <w:gridCol w:w="2700"/>
        <w:gridCol w:w="6465"/>
      </w:tblGrid>
      <w:tr w14:paraId="1D247226">
        <w:tblPrEx>
          <w:tblCellMar>
            <w:top w:w="0" w:type="dxa"/>
            <w:left w:w="0" w:type="dxa"/>
            <w:bottom w:w="0" w:type="dxa"/>
            <w:right w:w="0" w:type="dxa"/>
          </w:tblCellMar>
        </w:tblPrEx>
        <w:trPr>
          <w:trHeight w:val="432" w:hRule="atLeast"/>
        </w:trPr>
        <w:tc>
          <w:tcPr>
            <w:tcW w:w="2700" w:type="dxa"/>
            <w:tcBorders>
              <w:top w:val="single" w:color="auto" w:sz="12" w:space="0"/>
              <w:left w:val="single" w:color="auto" w:sz="12" w:space="0"/>
              <w:bottom w:val="single" w:color="auto" w:sz="8" w:space="0"/>
              <w:right w:val="single" w:color="auto" w:sz="8" w:space="0"/>
            </w:tcBorders>
            <w:vAlign w:val="center"/>
          </w:tcPr>
          <w:p w14:paraId="18728DD7">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项目名称</w:t>
            </w:r>
          </w:p>
        </w:tc>
        <w:tc>
          <w:tcPr>
            <w:tcW w:w="6465" w:type="dxa"/>
            <w:tcBorders>
              <w:top w:val="single" w:color="auto" w:sz="12" w:space="0"/>
              <w:left w:val="single" w:color="auto" w:sz="8" w:space="0"/>
              <w:bottom w:val="single" w:color="auto" w:sz="8" w:space="0"/>
              <w:right w:val="single" w:color="auto" w:sz="12" w:space="0"/>
            </w:tcBorders>
          </w:tcPr>
          <w:p w14:paraId="44FD6399">
            <w:pPr>
              <w:autoSpaceDE w:val="0"/>
              <w:autoSpaceDN w:val="0"/>
              <w:rPr>
                <w:color w:val="auto"/>
                <w:kern w:val="0"/>
                <w:sz w:val="24"/>
                <w:highlight w:val="none"/>
              </w:rPr>
            </w:pPr>
          </w:p>
        </w:tc>
      </w:tr>
      <w:tr w14:paraId="7B934E5A">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5BD3ABA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项目所在地</w:t>
            </w:r>
          </w:p>
        </w:tc>
        <w:tc>
          <w:tcPr>
            <w:tcW w:w="6465" w:type="dxa"/>
            <w:tcBorders>
              <w:top w:val="single" w:color="auto" w:sz="8" w:space="0"/>
              <w:left w:val="single" w:color="auto" w:sz="8" w:space="0"/>
              <w:bottom w:val="single" w:color="auto" w:sz="8" w:space="0"/>
              <w:right w:val="single" w:color="auto" w:sz="12" w:space="0"/>
            </w:tcBorders>
          </w:tcPr>
          <w:p w14:paraId="68FACD08">
            <w:pPr>
              <w:autoSpaceDE w:val="0"/>
              <w:autoSpaceDN w:val="0"/>
              <w:rPr>
                <w:color w:val="auto"/>
                <w:kern w:val="0"/>
                <w:sz w:val="24"/>
                <w:highlight w:val="none"/>
              </w:rPr>
            </w:pPr>
          </w:p>
        </w:tc>
      </w:tr>
      <w:tr w14:paraId="45965846">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8" w:space="0"/>
              <w:right w:val="single" w:color="auto" w:sz="8" w:space="0"/>
            </w:tcBorders>
            <w:vAlign w:val="center"/>
          </w:tcPr>
          <w:p w14:paraId="15F1C93C">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发包人名称</w:t>
            </w:r>
          </w:p>
        </w:tc>
        <w:tc>
          <w:tcPr>
            <w:tcW w:w="6465" w:type="dxa"/>
            <w:tcBorders>
              <w:top w:val="single" w:color="auto" w:sz="8" w:space="0"/>
              <w:left w:val="single" w:color="auto" w:sz="8" w:space="0"/>
              <w:bottom w:val="single" w:color="auto" w:sz="8" w:space="0"/>
              <w:right w:val="single" w:color="auto" w:sz="12" w:space="0"/>
            </w:tcBorders>
          </w:tcPr>
          <w:p w14:paraId="14379C0E">
            <w:pPr>
              <w:autoSpaceDE w:val="0"/>
              <w:autoSpaceDN w:val="0"/>
              <w:rPr>
                <w:color w:val="auto"/>
                <w:kern w:val="0"/>
                <w:sz w:val="24"/>
                <w:highlight w:val="none"/>
              </w:rPr>
            </w:pPr>
          </w:p>
        </w:tc>
      </w:tr>
      <w:tr w14:paraId="0752B3DD">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53F23E7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发包人地址</w:t>
            </w:r>
          </w:p>
        </w:tc>
        <w:tc>
          <w:tcPr>
            <w:tcW w:w="6465" w:type="dxa"/>
            <w:tcBorders>
              <w:top w:val="single" w:color="auto" w:sz="8" w:space="0"/>
              <w:left w:val="single" w:color="auto" w:sz="8" w:space="0"/>
              <w:bottom w:val="single" w:color="auto" w:sz="8" w:space="0"/>
              <w:right w:val="single" w:color="auto" w:sz="12" w:space="0"/>
            </w:tcBorders>
          </w:tcPr>
          <w:p w14:paraId="24B9D075">
            <w:pPr>
              <w:autoSpaceDE w:val="0"/>
              <w:autoSpaceDN w:val="0"/>
              <w:rPr>
                <w:color w:val="auto"/>
                <w:kern w:val="0"/>
                <w:sz w:val="24"/>
                <w:highlight w:val="none"/>
              </w:rPr>
            </w:pPr>
          </w:p>
        </w:tc>
      </w:tr>
      <w:tr w14:paraId="47C46A8F">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1456DD8F">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发包人电话</w:t>
            </w:r>
          </w:p>
        </w:tc>
        <w:tc>
          <w:tcPr>
            <w:tcW w:w="6465" w:type="dxa"/>
            <w:tcBorders>
              <w:top w:val="single" w:color="auto" w:sz="8" w:space="0"/>
              <w:left w:val="single" w:color="auto" w:sz="8" w:space="0"/>
              <w:bottom w:val="single" w:color="auto" w:sz="8" w:space="0"/>
              <w:right w:val="single" w:color="auto" w:sz="12" w:space="0"/>
            </w:tcBorders>
          </w:tcPr>
          <w:p w14:paraId="68BAAED9">
            <w:pPr>
              <w:autoSpaceDE w:val="0"/>
              <w:autoSpaceDN w:val="0"/>
              <w:rPr>
                <w:color w:val="auto"/>
                <w:kern w:val="0"/>
                <w:sz w:val="24"/>
                <w:highlight w:val="none"/>
              </w:rPr>
            </w:pPr>
          </w:p>
        </w:tc>
      </w:tr>
      <w:tr w14:paraId="275C85C7">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5B528F3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项目规模</w:t>
            </w:r>
          </w:p>
        </w:tc>
        <w:tc>
          <w:tcPr>
            <w:tcW w:w="6465" w:type="dxa"/>
            <w:tcBorders>
              <w:top w:val="single" w:color="auto" w:sz="8" w:space="0"/>
              <w:left w:val="single" w:color="auto" w:sz="8" w:space="0"/>
              <w:bottom w:val="single" w:color="auto" w:sz="8" w:space="0"/>
              <w:right w:val="single" w:color="auto" w:sz="12" w:space="0"/>
            </w:tcBorders>
          </w:tcPr>
          <w:p w14:paraId="75D67D6A">
            <w:pPr>
              <w:autoSpaceDE w:val="0"/>
              <w:autoSpaceDN w:val="0"/>
              <w:rPr>
                <w:color w:val="auto"/>
                <w:kern w:val="0"/>
                <w:sz w:val="24"/>
                <w:highlight w:val="none"/>
              </w:rPr>
            </w:pPr>
          </w:p>
        </w:tc>
      </w:tr>
      <w:tr w14:paraId="001C8558">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8" w:space="0"/>
              <w:right w:val="single" w:color="auto" w:sz="8" w:space="0"/>
            </w:tcBorders>
            <w:vAlign w:val="center"/>
          </w:tcPr>
          <w:p w14:paraId="7134066A">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项目总投资</w:t>
            </w:r>
          </w:p>
        </w:tc>
        <w:tc>
          <w:tcPr>
            <w:tcW w:w="6465" w:type="dxa"/>
            <w:tcBorders>
              <w:top w:val="single" w:color="auto" w:sz="8" w:space="0"/>
              <w:left w:val="single" w:color="auto" w:sz="8" w:space="0"/>
              <w:bottom w:val="single" w:color="auto" w:sz="8" w:space="0"/>
              <w:right w:val="single" w:color="auto" w:sz="12" w:space="0"/>
            </w:tcBorders>
          </w:tcPr>
          <w:p w14:paraId="12A31EB9">
            <w:pPr>
              <w:autoSpaceDE w:val="0"/>
              <w:autoSpaceDN w:val="0"/>
              <w:rPr>
                <w:rFonts w:ascii="宋体" w:cs="宋体"/>
                <w:color w:val="auto"/>
                <w:kern w:val="0"/>
                <w:sz w:val="24"/>
                <w:highlight w:val="none"/>
              </w:rPr>
            </w:pPr>
          </w:p>
        </w:tc>
      </w:tr>
      <w:tr w14:paraId="15120609">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7A7C168A">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承担的工作</w:t>
            </w:r>
          </w:p>
        </w:tc>
        <w:tc>
          <w:tcPr>
            <w:tcW w:w="6465" w:type="dxa"/>
            <w:tcBorders>
              <w:top w:val="single" w:color="auto" w:sz="8" w:space="0"/>
              <w:left w:val="single" w:color="auto" w:sz="8" w:space="0"/>
              <w:bottom w:val="single" w:color="auto" w:sz="8" w:space="0"/>
              <w:right w:val="single" w:color="auto" w:sz="12" w:space="0"/>
            </w:tcBorders>
          </w:tcPr>
          <w:p w14:paraId="28974E71">
            <w:pPr>
              <w:autoSpaceDE w:val="0"/>
              <w:autoSpaceDN w:val="0"/>
              <w:rPr>
                <w:color w:val="auto"/>
                <w:kern w:val="0"/>
                <w:sz w:val="24"/>
                <w:highlight w:val="none"/>
              </w:rPr>
            </w:pPr>
          </w:p>
        </w:tc>
      </w:tr>
      <w:tr w14:paraId="20520718">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33983720">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工期</w:t>
            </w:r>
          </w:p>
        </w:tc>
        <w:tc>
          <w:tcPr>
            <w:tcW w:w="6465" w:type="dxa"/>
            <w:tcBorders>
              <w:top w:val="single" w:color="auto" w:sz="8" w:space="0"/>
              <w:left w:val="single" w:color="auto" w:sz="8" w:space="0"/>
              <w:bottom w:val="single" w:color="auto" w:sz="8" w:space="0"/>
              <w:right w:val="single" w:color="auto" w:sz="12" w:space="0"/>
            </w:tcBorders>
          </w:tcPr>
          <w:p w14:paraId="23081FFF">
            <w:pPr>
              <w:autoSpaceDE w:val="0"/>
              <w:autoSpaceDN w:val="0"/>
              <w:rPr>
                <w:color w:val="auto"/>
                <w:kern w:val="0"/>
                <w:sz w:val="24"/>
                <w:highlight w:val="none"/>
              </w:rPr>
            </w:pPr>
          </w:p>
        </w:tc>
      </w:tr>
      <w:tr w14:paraId="6AF7FABD">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0D518980">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项目负责人</w:t>
            </w:r>
          </w:p>
        </w:tc>
        <w:tc>
          <w:tcPr>
            <w:tcW w:w="6465" w:type="dxa"/>
            <w:tcBorders>
              <w:top w:val="single" w:color="auto" w:sz="8" w:space="0"/>
              <w:left w:val="single" w:color="auto" w:sz="8" w:space="0"/>
              <w:bottom w:val="single" w:color="auto" w:sz="8" w:space="0"/>
              <w:right w:val="single" w:color="auto" w:sz="12" w:space="0"/>
            </w:tcBorders>
          </w:tcPr>
          <w:p w14:paraId="090DD3BD">
            <w:pPr>
              <w:autoSpaceDE w:val="0"/>
              <w:autoSpaceDN w:val="0"/>
              <w:rPr>
                <w:color w:val="auto"/>
                <w:kern w:val="0"/>
                <w:sz w:val="24"/>
                <w:highlight w:val="none"/>
              </w:rPr>
            </w:pPr>
          </w:p>
        </w:tc>
      </w:tr>
      <w:tr w14:paraId="3D056363">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0886610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项目完成情况</w:t>
            </w:r>
          </w:p>
        </w:tc>
        <w:tc>
          <w:tcPr>
            <w:tcW w:w="6465" w:type="dxa"/>
            <w:tcBorders>
              <w:top w:val="single" w:color="auto" w:sz="8" w:space="0"/>
              <w:left w:val="single" w:color="auto" w:sz="8" w:space="0"/>
              <w:bottom w:val="single" w:color="auto" w:sz="8" w:space="0"/>
              <w:right w:val="single" w:color="auto" w:sz="12" w:space="0"/>
            </w:tcBorders>
          </w:tcPr>
          <w:p w14:paraId="4CCCF256">
            <w:pPr>
              <w:autoSpaceDE w:val="0"/>
              <w:autoSpaceDN w:val="0"/>
              <w:rPr>
                <w:color w:val="auto"/>
                <w:kern w:val="0"/>
                <w:sz w:val="24"/>
                <w:highlight w:val="none"/>
              </w:rPr>
            </w:pPr>
          </w:p>
        </w:tc>
      </w:tr>
      <w:tr w14:paraId="339AC62D">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226961FC">
            <w:pPr>
              <w:autoSpaceDE w:val="0"/>
              <w:autoSpaceDN w:val="0"/>
              <w:jc w:val="center"/>
              <w:rPr>
                <w:rFonts w:ascii="宋体" w:cs="宋体"/>
                <w:color w:val="auto"/>
                <w:kern w:val="0"/>
                <w:sz w:val="24"/>
                <w:highlight w:val="none"/>
              </w:rPr>
            </w:pPr>
            <w:r>
              <w:rPr>
                <w:rFonts w:hint="eastAsia" w:ascii="宋体" w:hAnsi="宋体" w:cs="宋体"/>
                <w:color w:val="auto"/>
                <w:kern w:val="0"/>
                <w:sz w:val="24"/>
                <w:highlight w:val="none"/>
              </w:rPr>
              <w:t>成果文件完成时间</w:t>
            </w:r>
          </w:p>
        </w:tc>
        <w:tc>
          <w:tcPr>
            <w:tcW w:w="6465" w:type="dxa"/>
            <w:tcBorders>
              <w:top w:val="single" w:color="auto" w:sz="8" w:space="0"/>
              <w:left w:val="single" w:color="auto" w:sz="8" w:space="0"/>
              <w:bottom w:val="single" w:color="auto" w:sz="8" w:space="0"/>
              <w:right w:val="single" w:color="auto" w:sz="12" w:space="0"/>
            </w:tcBorders>
          </w:tcPr>
          <w:p w14:paraId="1299B73C">
            <w:pPr>
              <w:autoSpaceDE w:val="0"/>
              <w:autoSpaceDN w:val="0"/>
              <w:rPr>
                <w:color w:val="auto"/>
                <w:kern w:val="0"/>
                <w:sz w:val="24"/>
                <w:highlight w:val="none"/>
              </w:rPr>
            </w:pPr>
          </w:p>
        </w:tc>
      </w:tr>
      <w:tr w14:paraId="79D80DE3">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12" w:space="0"/>
              <w:right w:val="single" w:color="auto" w:sz="8" w:space="0"/>
            </w:tcBorders>
            <w:vAlign w:val="center"/>
          </w:tcPr>
          <w:p w14:paraId="7712948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备注</w:t>
            </w:r>
          </w:p>
        </w:tc>
        <w:tc>
          <w:tcPr>
            <w:tcW w:w="6465" w:type="dxa"/>
            <w:tcBorders>
              <w:top w:val="single" w:color="auto" w:sz="8" w:space="0"/>
              <w:left w:val="single" w:color="auto" w:sz="8" w:space="0"/>
              <w:bottom w:val="single" w:color="auto" w:sz="12" w:space="0"/>
              <w:right w:val="single" w:color="auto" w:sz="12" w:space="0"/>
            </w:tcBorders>
          </w:tcPr>
          <w:p w14:paraId="706CFE21">
            <w:pPr>
              <w:autoSpaceDE w:val="0"/>
              <w:autoSpaceDN w:val="0"/>
              <w:rPr>
                <w:color w:val="auto"/>
                <w:kern w:val="0"/>
                <w:sz w:val="24"/>
                <w:highlight w:val="none"/>
              </w:rPr>
            </w:pPr>
          </w:p>
        </w:tc>
      </w:tr>
    </w:tbl>
    <w:p w14:paraId="79BB1D0D">
      <w:pPr>
        <w:autoSpaceDE w:val="0"/>
        <w:autoSpaceDN w:val="0"/>
        <w:adjustRightInd w:val="0"/>
        <w:spacing w:line="160" w:lineRule="exact"/>
        <w:jc w:val="left"/>
        <w:rPr>
          <w:color w:val="auto"/>
          <w:kern w:val="0"/>
          <w:sz w:val="24"/>
          <w:highlight w:val="none"/>
        </w:rPr>
      </w:pPr>
    </w:p>
    <w:p w14:paraId="14E77F40">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注：每个项目填写一张表</w:t>
      </w:r>
    </w:p>
    <w:p w14:paraId="690CED30">
      <w:pPr>
        <w:spacing w:line="360" w:lineRule="auto"/>
        <w:ind w:left="420"/>
        <w:rPr>
          <w:rFonts w:hAnsi="宋体" w:cs="仿宋"/>
          <w:color w:val="auto"/>
          <w:szCs w:val="21"/>
          <w:highlight w:val="none"/>
        </w:rPr>
      </w:pPr>
      <w:r>
        <w:rPr>
          <w:rFonts w:hint="eastAsia" w:hAnsi="宋体" w:cs="仿宋"/>
          <w:color w:val="auto"/>
          <w:szCs w:val="21"/>
          <w:highlight w:val="none"/>
        </w:rPr>
        <w:t>①投标人应将</w:t>
      </w:r>
      <w:r>
        <w:rPr>
          <w:rFonts w:hint="eastAsia" w:hAnsi="宋体" w:cs="仿宋"/>
          <w:b/>
          <w:color w:val="auto"/>
          <w:szCs w:val="21"/>
          <w:highlight w:val="none"/>
          <w:u w:val="single"/>
        </w:rPr>
        <w:t xml:space="preserve"> 202</w:t>
      </w:r>
      <w:r>
        <w:rPr>
          <w:rFonts w:hint="eastAsia" w:hAnsi="宋体" w:cs="仿宋"/>
          <w:b/>
          <w:color w:val="auto"/>
          <w:szCs w:val="21"/>
          <w:highlight w:val="none"/>
          <w:u w:val="single"/>
          <w:lang w:val="en-US" w:eastAsia="zh-CN"/>
        </w:rPr>
        <w:t>1</w:t>
      </w:r>
      <w:r>
        <w:rPr>
          <w:rFonts w:hint="eastAsia" w:hAnsi="宋体" w:cs="仿宋"/>
          <w:b/>
          <w:color w:val="auto"/>
          <w:szCs w:val="21"/>
          <w:highlight w:val="none"/>
          <w:u w:val="single"/>
        </w:rPr>
        <w:t xml:space="preserve">年1月 </w:t>
      </w:r>
      <w:r>
        <w:rPr>
          <w:rFonts w:hint="eastAsia" w:hAnsi="宋体" w:cs="仿宋"/>
          <w:color w:val="auto"/>
          <w:szCs w:val="21"/>
          <w:highlight w:val="none"/>
        </w:rPr>
        <w:t>以来已完成的类似项目情况填入本表中，</w:t>
      </w:r>
    </w:p>
    <w:p w14:paraId="728509B3">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②</w:t>
      </w:r>
      <w:r>
        <w:rPr>
          <w:rFonts w:hAnsi="宋体" w:cs="仿宋"/>
          <w:color w:val="auto"/>
          <w:szCs w:val="21"/>
          <w:highlight w:val="none"/>
        </w:rPr>
        <w:t>本表后须</w:t>
      </w:r>
      <w:r>
        <w:rPr>
          <w:rFonts w:hAnsi="宋体" w:cs="仿宋"/>
          <w:b/>
          <w:color w:val="auto"/>
          <w:szCs w:val="21"/>
          <w:highlight w:val="none"/>
        </w:rPr>
        <w:t>应附合同协议书或委托书</w:t>
      </w:r>
      <w:r>
        <w:rPr>
          <w:rFonts w:hAnsi="宋体" w:cs="仿宋"/>
          <w:color w:val="auto"/>
          <w:szCs w:val="21"/>
          <w:highlight w:val="none"/>
        </w:rPr>
        <w:t>等的</w:t>
      </w:r>
      <w:r>
        <w:rPr>
          <w:rFonts w:hint="eastAsia" w:hAnsi="宋体" w:cs="仿宋"/>
          <w:color w:val="auto"/>
          <w:szCs w:val="21"/>
          <w:highlight w:val="none"/>
        </w:rPr>
        <w:t>扫描件</w:t>
      </w:r>
      <w:r>
        <w:rPr>
          <w:rFonts w:hAnsi="宋体" w:cs="仿宋"/>
          <w:color w:val="auto"/>
          <w:szCs w:val="21"/>
          <w:highlight w:val="none"/>
        </w:rPr>
        <w:t>；</w:t>
      </w:r>
    </w:p>
    <w:p w14:paraId="1A234A66">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③</w:t>
      </w:r>
      <w:r>
        <w:rPr>
          <w:rFonts w:hAnsi="宋体" w:cs="仿宋"/>
          <w:color w:val="auto"/>
          <w:szCs w:val="21"/>
          <w:highlight w:val="none"/>
        </w:rPr>
        <w:t>近年来，</w:t>
      </w:r>
      <w:r>
        <w:rPr>
          <w:rFonts w:hint="eastAsia" w:hAnsi="宋体" w:cs="仿宋"/>
          <w:color w:val="auto"/>
          <w:szCs w:val="21"/>
          <w:highlight w:val="none"/>
        </w:rPr>
        <w:t>供应商</w:t>
      </w:r>
      <w:r>
        <w:rPr>
          <w:rFonts w:hAnsi="宋体" w:cs="仿宋"/>
          <w:color w:val="auto"/>
          <w:szCs w:val="21"/>
          <w:highlight w:val="none"/>
        </w:rPr>
        <w:t>法人机构发生合法变更或重组或法人名称变更时，应提供相关部门的合法批件及其他相关证明材料来证明其所附业绩的继承性；</w:t>
      </w:r>
    </w:p>
    <w:p w14:paraId="6DAA616A">
      <w:pPr>
        <w:spacing w:line="360" w:lineRule="auto"/>
        <w:ind w:firstLine="420" w:firstLineChars="200"/>
        <w:rPr>
          <w:rFonts w:ascii="宋体" w:hAnsi="宋体"/>
          <w:color w:val="auto"/>
          <w:sz w:val="24"/>
          <w:highlight w:val="none"/>
        </w:rPr>
      </w:pPr>
      <w:r>
        <w:rPr>
          <w:rFonts w:hint="eastAsia" w:hAnsi="宋体" w:cs="仿宋"/>
          <w:color w:val="auto"/>
          <w:szCs w:val="21"/>
          <w:highlight w:val="none"/>
        </w:rPr>
        <w:t>④</w:t>
      </w:r>
      <w:r>
        <w:rPr>
          <w:rFonts w:hint="eastAsia" w:hAnsi="宋体" w:cs="仿宋"/>
          <w:color w:val="auto"/>
          <w:highlight w:val="none"/>
        </w:rPr>
        <w:t>须附有效证明材料，有效证明材料具体要求见第四章评审办法。</w:t>
      </w:r>
    </w:p>
    <w:p w14:paraId="482D5FA4">
      <w:pPr>
        <w:rPr>
          <w:rFonts w:ascii="黑体" w:hAnsi="宋体" w:eastAsia="黑体"/>
          <w:color w:val="auto"/>
          <w:sz w:val="24"/>
          <w:highlight w:val="none"/>
        </w:rPr>
      </w:pPr>
    </w:p>
    <w:p w14:paraId="128003AD">
      <w:pPr>
        <w:snapToGrid w:val="0"/>
        <w:spacing w:before="120" w:beforeLines="50" w:after="50"/>
        <w:jc w:val="center"/>
        <w:outlineLvl w:val="2"/>
        <w:rPr>
          <w:rFonts w:ascii="宋体" w:hAnsi="宋体"/>
          <w:b/>
          <w:bCs/>
          <w:color w:val="auto"/>
          <w:sz w:val="24"/>
          <w:highlight w:val="none"/>
        </w:rPr>
      </w:pPr>
      <w:r>
        <w:rPr>
          <w:rFonts w:hint="eastAsia" w:ascii="宋体" w:hAnsi="宋体"/>
          <w:b/>
          <w:color w:val="auto"/>
          <w:sz w:val="24"/>
          <w:highlight w:val="none"/>
        </w:rPr>
        <w:br w:type="page"/>
      </w:r>
      <w:bookmarkStart w:id="152" w:name="_Toc212"/>
      <w:bookmarkStart w:id="153" w:name="_Toc12138"/>
      <w:bookmarkStart w:id="154" w:name="_Toc11569"/>
      <w:bookmarkStart w:id="155" w:name="_Toc5907"/>
      <w:r>
        <w:rPr>
          <w:rFonts w:hint="eastAsia" w:ascii="宋体" w:hAnsi="宋体"/>
          <w:b/>
          <w:bCs/>
          <w:color w:val="auto"/>
          <w:sz w:val="24"/>
          <w:highlight w:val="none"/>
        </w:rPr>
        <w:t>（三）供应商信用及守法证明材料</w:t>
      </w:r>
      <w:bookmarkEnd w:id="152"/>
      <w:bookmarkEnd w:id="153"/>
      <w:bookmarkEnd w:id="154"/>
      <w:bookmarkEnd w:id="155"/>
    </w:p>
    <w:p w14:paraId="392D7059">
      <w:pPr>
        <w:snapToGrid w:val="0"/>
        <w:spacing w:before="120" w:beforeLines="50" w:after="50"/>
        <w:ind w:left="142"/>
        <w:jc w:val="left"/>
        <w:rPr>
          <w:rFonts w:ascii="宋体" w:hAnsi="宋体"/>
          <w:b/>
          <w:color w:val="auto"/>
          <w:sz w:val="24"/>
          <w:highlight w:val="none"/>
        </w:rPr>
      </w:pPr>
    </w:p>
    <w:p w14:paraId="06294693">
      <w:pPr>
        <w:jc w:val="center"/>
        <w:outlineLvl w:val="3"/>
        <w:rPr>
          <w:rFonts w:ascii="黑体" w:hAnsi="宋体" w:eastAsia="黑体"/>
          <w:color w:val="auto"/>
          <w:sz w:val="24"/>
          <w:highlight w:val="none"/>
        </w:rPr>
      </w:pPr>
      <w:r>
        <w:rPr>
          <w:rFonts w:hint="eastAsia" w:ascii="黑体" w:hAnsi="宋体" w:eastAsia="黑体"/>
          <w:color w:val="auto"/>
          <w:sz w:val="24"/>
          <w:highlight w:val="none"/>
        </w:rPr>
        <w:t>根据采购文件规定提供。</w:t>
      </w:r>
    </w:p>
    <w:p w14:paraId="5B2E1AEE">
      <w:pPr>
        <w:rPr>
          <w:rFonts w:ascii="宋体" w:hAnsi="宋体"/>
          <w:color w:val="auto"/>
          <w:sz w:val="24"/>
          <w:highlight w:val="none"/>
        </w:rPr>
      </w:pPr>
    </w:p>
    <w:p w14:paraId="2E7D3D0A">
      <w:pPr>
        <w:rPr>
          <w:rFonts w:ascii="宋体" w:hAnsi="宋体"/>
          <w:color w:val="auto"/>
          <w:sz w:val="24"/>
          <w:highlight w:val="none"/>
        </w:rPr>
      </w:pPr>
    </w:p>
    <w:p w14:paraId="1473AC4A">
      <w:pPr>
        <w:snapToGrid w:val="0"/>
        <w:spacing w:before="120" w:beforeLines="50" w:after="50"/>
        <w:jc w:val="left"/>
        <w:rPr>
          <w:rFonts w:ascii="宋体" w:hAnsi="宋体"/>
          <w:color w:val="auto"/>
          <w:szCs w:val="21"/>
          <w:highlight w:val="none"/>
        </w:rPr>
      </w:pPr>
    </w:p>
    <w:p w14:paraId="7D1B7F71">
      <w:pPr>
        <w:snapToGrid w:val="0"/>
        <w:spacing w:before="120" w:beforeLines="50" w:after="50"/>
        <w:jc w:val="center"/>
        <w:outlineLvl w:val="2"/>
        <w:rPr>
          <w:rFonts w:ascii="宋体" w:hAnsi="宋体"/>
          <w:b/>
          <w:bCs/>
          <w:color w:val="auto"/>
          <w:sz w:val="24"/>
          <w:highlight w:val="none"/>
        </w:rPr>
      </w:pPr>
      <w:r>
        <w:rPr>
          <w:rFonts w:hint="eastAsia" w:ascii="宋体" w:hAnsi="宋体"/>
          <w:b/>
          <w:color w:val="auto"/>
          <w:sz w:val="24"/>
          <w:highlight w:val="none"/>
        </w:rPr>
        <w:br w:type="page"/>
      </w:r>
      <w:bookmarkStart w:id="156" w:name="_Toc5115"/>
      <w:bookmarkStart w:id="157" w:name="_Toc27275"/>
      <w:r>
        <w:rPr>
          <w:rFonts w:hint="eastAsia" w:ascii="宋体" w:hAnsi="宋体"/>
          <w:b/>
          <w:bCs/>
          <w:color w:val="auto"/>
          <w:sz w:val="24"/>
          <w:highlight w:val="none"/>
        </w:rPr>
        <w:t>（四）拟投入的主要人员设备表</w:t>
      </w:r>
      <w:bookmarkEnd w:id="156"/>
      <w:bookmarkEnd w:id="157"/>
    </w:p>
    <w:p w14:paraId="3093A7E2">
      <w:pPr>
        <w:snapToGrid w:val="0"/>
        <w:spacing w:before="120" w:beforeLines="50" w:after="50"/>
        <w:ind w:left="142"/>
        <w:jc w:val="left"/>
        <w:rPr>
          <w:rFonts w:ascii="宋体" w:hAnsi="宋体"/>
          <w:b/>
          <w:color w:val="auto"/>
          <w:sz w:val="24"/>
          <w:highlight w:val="none"/>
        </w:rPr>
      </w:pPr>
    </w:p>
    <w:p w14:paraId="3BC740B6">
      <w:pPr>
        <w:jc w:val="center"/>
        <w:outlineLvl w:val="3"/>
        <w:rPr>
          <w:rFonts w:ascii="黑体" w:hAnsi="宋体" w:eastAsia="黑体"/>
          <w:color w:val="auto"/>
          <w:sz w:val="24"/>
          <w:highlight w:val="none"/>
        </w:rPr>
      </w:pPr>
      <w:r>
        <w:rPr>
          <w:rFonts w:hint="eastAsia" w:ascii="黑体" w:hAnsi="宋体" w:eastAsia="黑体"/>
          <w:color w:val="auto"/>
          <w:sz w:val="24"/>
          <w:highlight w:val="none"/>
        </w:rPr>
        <w:t>1.</w:t>
      </w:r>
      <w:r>
        <w:rPr>
          <w:rFonts w:ascii="黑体" w:hAnsi="宋体" w:eastAsia="黑体"/>
          <w:color w:val="auto"/>
          <w:sz w:val="24"/>
          <w:highlight w:val="none"/>
        </w:rPr>
        <w:t>主要人员汇总表</w:t>
      </w:r>
    </w:p>
    <w:p w14:paraId="13D0BC60">
      <w:pPr>
        <w:jc w:val="center"/>
        <w:rPr>
          <w:rFonts w:ascii="黑体" w:hAnsi="宋体" w:eastAsia="黑体"/>
          <w:color w:val="auto"/>
          <w:sz w:val="24"/>
          <w:highlight w:val="none"/>
        </w:rPr>
      </w:pPr>
    </w:p>
    <w:tbl>
      <w:tblPr>
        <w:tblStyle w:val="26"/>
        <w:tblW w:w="9165" w:type="dxa"/>
        <w:tblInd w:w="15" w:type="dxa"/>
        <w:tblLayout w:type="fixed"/>
        <w:tblCellMar>
          <w:top w:w="0" w:type="dxa"/>
          <w:left w:w="0" w:type="dxa"/>
          <w:bottom w:w="0" w:type="dxa"/>
          <w:right w:w="0" w:type="dxa"/>
        </w:tblCellMar>
      </w:tblPr>
      <w:tblGrid>
        <w:gridCol w:w="712"/>
        <w:gridCol w:w="720"/>
        <w:gridCol w:w="1815"/>
        <w:gridCol w:w="1267"/>
        <w:gridCol w:w="1267"/>
        <w:gridCol w:w="1267"/>
        <w:gridCol w:w="2117"/>
      </w:tblGrid>
      <w:tr w14:paraId="6B50D3FA">
        <w:tblPrEx>
          <w:tblCellMar>
            <w:top w:w="0" w:type="dxa"/>
            <w:left w:w="0" w:type="dxa"/>
            <w:bottom w:w="0" w:type="dxa"/>
            <w:right w:w="0" w:type="dxa"/>
          </w:tblCellMar>
        </w:tblPrEx>
        <w:trPr>
          <w:trHeight w:val="900" w:hRule="atLeast"/>
        </w:trPr>
        <w:tc>
          <w:tcPr>
            <w:tcW w:w="712" w:type="dxa"/>
            <w:tcBorders>
              <w:top w:val="single" w:color="auto" w:sz="12" w:space="0"/>
              <w:left w:val="single" w:color="auto" w:sz="12" w:space="0"/>
              <w:bottom w:val="single" w:color="auto" w:sz="8" w:space="0"/>
              <w:right w:val="single" w:color="auto" w:sz="8" w:space="0"/>
            </w:tcBorders>
            <w:vAlign w:val="center"/>
          </w:tcPr>
          <w:p w14:paraId="3DA89EF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姓名</w:t>
            </w:r>
          </w:p>
        </w:tc>
        <w:tc>
          <w:tcPr>
            <w:tcW w:w="720" w:type="dxa"/>
            <w:tcBorders>
              <w:top w:val="single" w:color="auto" w:sz="12" w:space="0"/>
              <w:left w:val="single" w:color="auto" w:sz="8" w:space="0"/>
              <w:bottom w:val="single" w:color="auto" w:sz="8" w:space="0"/>
              <w:right w:val="single" w:color="auto" w:sz="8" w:space="0"/>
            </w:tcBorders>
            <w:vAlign w:val="center"/>
          </w:tcPr>
          <w:p w14:paraId="7363DF5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年龄</w:t>
            </w:r>
          </w:p>
        </w:tc>
        <w:tc>
          <w:tcPr>
            <w:tcW w:w="1815" w:type="dxa"/>
            <w:tcBorders>
              <w:top w:val="single" w:color="auto" w:sz="12" w:space="0"/>
              <w:left w:val="single" w:color="auto" w:sz="8" w:space="0"/>
              <w:bottom w:val="single" w:color="auto" w:sz="8" w:space="0"/>
              <w:right w:val="single" w:color="auto" w:sz="8" w:space="0"/>
            </w:tcBorders>
            <w:vAlign w:val="center"/>
          </w:tcPr>
          <w:p w14:paraId="4B394671">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拟在本项目中</w:t>
            </w:r>
          </w:p>
          <w:p w14:paraId="171BEA12">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担任的职务</w:t>
            </w:r>
          </w:p>
        </w:tc>
        <w:tc>
          <w:tcPr>
            <w:tcW w:w="1267" w:type="dxa"/>
            <w:tcBorders>
              <w:top w:val="single" w:color="auto" w:sz="12" w:space="0"/>
              <w:left w:val="single" w:color="auto" w:sz="8" w:space="0"/>
              <w:bottom w:val="single" w:color="auto" w:sz="8" w:space="0"/>
              <w:right w:val="single" w:color="auto" w:sz="8" w:space="0"/>
            </w:tcBorders>
            <w:vAlign w:val="center"/>
          </w:tcPr>
          <w:p w14:paraId="76CDB6C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技术职称</w:t>
            </w:r>
          </w:p>
        </w:tc>
        <w:tc>
          <w:tcPr>
            <w:tcW w:w="1267" w:type="dxa"/>
            <w:tcBorders>
              <w:top w:val="single" w:color="auto" w:sz="12" w:space="0"/>
              <w:left w:val="single" w:color="auto" w:sz="8" w:space="0"/>
              <w:bottom w:val="single" w:color="auto" w:sz="8" w:space="0"/>
              <w:right w:val="single" w:color="auto" w:sz="8" w:space="0"/>
            </w:tcBorders>
            <w:vAlign w:val="center"/>
          </w:tcPr>
          <w:p w14:paraId="7E86855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从事专业</w:t>
            </w:r>
          </w:p>
        </w:tc>
        <w:tc>
          <w:tcPr>
            <w:tcW w:w="1267" w:type="dxa"/>
            <w:tcBorders>
              <w:top w:val="single" w:color="auto" w:sz="12" w:space="0"/>
              <w:left w:val="single" w:color="auto" w:sz="8" w:space="0"/>
              <w:bottom w:val="single" w:color="auto" w:sz="8" w:space="0"/>
              <w:right w:val="single" w:color="auto" w:sz="8" w:space="0"/>
            </w:tcBorders>
            <w:vAlign w:val="center"/>
          </w:tcPr>
          <w:p w14:paraId="11ABC551">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工作年限</w:t>
            </w:r>
          </w:p>
        </w:tc>
        <w:tc>
          <w:tcPr>
            <w:tcW w:w="2117" w:type="dxa"/>
            <w:tcBorders>
              <w:top w:val="single" w:color="auto" w:sz="12" w:space="0"/>
              <w:left w:val="single" w:color="auto" w:sz="8" w:space="0"/>
              <w:bottom w:val="single" w:color="auto" w:sz="8" w:space="0"/>
              <w:right w:val="single" w:color="auto" w:sz="12" w:space="0"/>
            </w:tcBorders>
            <w:vAlign w:val="center"/>
          </w:tcPr>
          <w:p w14:paraId="7F0F280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类似项目</w:t>
            </w:r>
          </w:p>
          <w:p w14:paraId="6A5454E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经验年限</w:t>
            </w:r>
          </w:p>
        </w:tc>
      </w:tr>
      <w:tr w14:paraId="20A8EECB">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8" w:space="0"/>
              <w:right w:val="single" w:color="auto" w:sz="8" w:space="0"/>
            </w:tcBorders>
            <w:vAlign w:val="center"/>
          </w:tcPr>
          <w:p w14:paraId="167993E4">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0B55C01D">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2B348171">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0A3C2C7D">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1FF97EBA">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25F9AF6E">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24E81C0F">
            <w:pPr>
              <w:autoSpaceDE w:val="0"/>
              <w:autoSpaceDN w:val="0"/>
              <w:jc w:val="center"/>
              <w:rPr>
                <w:color w:val="auto"/>
                <w:kern w:val="0"/>
                <w:sz w:val="24"/>
                <w:highlight w:val="none"/>
              </w:rPr>
            </w:pPr>
          </w:p>
        </w:tc>
      </w:tr>
      <w:tr w14:paraId="0DDA990E">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7267FF8C">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383A9C7E">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465FF056">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1AAC24B8">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7A0A285B">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DEC99AC">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01F00F64">
            <w:pPr>
              <w:autoSpaceDE w:val="0"/>
              <w:autoSpaceDN w:val="0"/>
              <w:jc w:val="center"/>
              <w:rPr>
                <w:color w:val="auto"/>
                <w:kern w:val="0"/>
                <w:sz w:val="24"/>
                <w:highlight w:val="none"/>
              </w:rPr>
            </w:pPr>
          </w:p>
        </w:tc>
      </w:tr>
      <w:tr w14:paraId="4983B9AF">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38EFB1D0">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61EA12E9">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69C938D4">
            <w:pPr>
              <w:autoSpaceDE w:val="0"/>
              <w:autoSpaceDN w:val="0"/>
              <w:jc w:val="center"/>
              <w:rPr>
                <w:rFonts w:ascii="宋体" w:cs="宋体"/>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79FD970A">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E10728D">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5720525">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5B962EC7">
            <w:pPr>
              <w:autoSpaceDE w:val="0"/>
              <w:autoSpaceDN w:val="0"/>
              <w:jc w:val="center"/>
              <w:rPr>
                <w:color w:val="auto"/>
                <w:kern w:val="0"/>
                <w:sz w:val="24"/>
                <w:highlight w:val="none"/>
              </w:rPr>
            </w:pPr>
          </w:p>
        </w:tc>
      </w:tr>
      <w:tr w14:paraId="602EA614">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8" w:space="0"/>
              <w:right w:val="single" w:color="auto" w:sz="8" w:space="0"/>
            </w:tcBorders>
            <w:vAlign w:val="center"/>
          </w:tcPr>
          <w:p w14:paraId="5897664E">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66320534">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4A93CA47">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6B1308C2">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59AC597">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7BF4E6B8">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16990BC0">
            <w:pPr>
              <w:autoSpaceDE w:val="0"/>
              <w:autoSpaceDN w:val="0"/>
              <w:jc w:val="center"/>
              <w:rPr>
                <w:color w:val="auto"/>
                <w:kern w:val="0"/>
                <w:sz w:val="24"/>
                <w:highlight w:val="none"/>
              </w:rPr>
            </w:pPr>
          </w:p>
        </w:tc>
      </w:tr>
      <w:tr w14:paraId="49037624">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0647C8CB">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24DDF9C0">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2EE12ED6">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0450B91">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ABC7514">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D615CAE">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6AB7C084">
            <w:pPr>
              <w:autoSpaceDE w:val="0"/>
              <w:autoSpaceDN w:val="0"/>
              <w:jc w:val="center"/>
              <w:rPr>
                <w:color w:val="auto"/>
                <w:kern w:val="0"/>
                <w:sz w:val="24"/>
                <w:highlight w:val="none"/>
              </w:rPr>
            </w:pPr>
          </w:p>
        </w:tc>
      </w:tr>
      <w:tr w14:paraId="65DDE2F1">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12" w:space="0"/>
              <w:right w:val="single" w:color="auto" w:sz="8" w:space="0"/>
            </w:tcBorders>
            <w:vAlign w:val="center"/>
          </w:tcPr>
          <w:p w14:paraId="2470361B">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12" w:space="0"/>
              <w:right w:val="single" w:color="auto" w:sz="8" w:space="0"/>
            </w:tcBorders>
            <w:vAlign w:val="center"/>
          </w:tcPr>
          <w:p w14:paraId="64883810">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12" w:space="0"/>
              <w:right w:val="single" w:color="auto" w:sz="8" w:space="0"/>
            </w:tcBorders>
            <w:vAlign w:val="center"/>
          </w:tcPr>
          <w:p w14:paraId="675ACD6A">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6E224A23">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377A4760">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6802533B">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12" w:space="0"/>
              <w:right w:val="single" w:color="auto" w:sz="12" w:space="0"/>
            </w:tcBorders>
            <w:vAlign w:val="center"/>
          </w:tcPr>
          <w:p w14:paraId="5152BA68">
            <w:pPr>
              <w:autoSpaceDE w:val="0"/>
              <w:autoSpaceDN w:val="0"/>
              <w:jc w:val="center"/>
              <w:rPr>
                <w:color w:val="auto"/>
                <w:kern w:val="0"/>
                <w:sz w:val="24"/>
                <w:highlight w:val="none"/>
              </w:rPr>
            </w:pPr>
          </w:p>
        </w:tc>
      </w:tr>
    </w:tbl>
    <w:p w14:paraId="04093E60">
      <w:pPr>
        <w:spacing w:line="360" w:lineRule="auto"/>
        <w:rPr>
          <w:rFonts w:hAnsi="宋体" w:cs="仿宋"/>
          <w:color w:val="auto"/>
          <w:szCs w:val="21"/>
          <w:highlight w:val="none"/>
        </w:rPr>
      </w:pPr>
      <w:r>
        <w:rPr>
          <w:rFonts w:hint="eastAsia" w:hAnsi="宋体" w:cs="仿宋"/>
          <w:color w:val="auto"/>
          <w:szCs w:val="21"/>
          <w:highlight w:val="none"/>
        </w:rPr>
        <w:t>注：①项目负责人及各专业负责人均应填写；</w:t>
      </w:r>
    </w:p>
    <w:p w14:paraId="0BABECBA">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①</w:t>
      </w:r>
      <w:r>
        <w:rPr>
          <w:rFonts w:hAnsi="宋体" w:cs="仿宋"/>
          <w:color w:val="auto"/>
          <w:szCs w:val="21"/>
          <w:highlight w:val="none"/>
        </w:rPr>
        <w:t>本表人员应附</w:t>
      </w:r>
      <w:r>
        <w:rPr>
          <w:rFonts w:hAnsi="宋体" w:cs="仿宋"/>
          <w:b/>
          <w:color w:val="auto"/>
          <w:szCs w:val="21"/>
          <w:highlight w:val="none"/>
        </w:rPr>
        <w:t>身份证、毕业证、职称证、执业资格证书</w:t>
      </w:r>
      <w:r>
        <w:rPr>
          <w:rFonts w:hint="eastAsia" w:hAnsi="宋体" w:cs="仿宋"/>
          <w:b/>
          <w:color w:val="auto"/>
          <w:szCs w:val="21"/>
          <w:highlight w:val="none"/>
        </w:rPr>
        <w:t>（如有）</w:t>
      </w:r>
      <w:r>
        <w:rPr>
          <w:rFonts w:hAnsi="宋体" w:cs="仿宋"/>
          <w:color w:val="auto"/>
          <w:szCs w:val="21"/>
          <w:highlight w:val="none"/>
        </w:rPr>
        <w:t>以及资格审查条件所要求的其他相关证书的</w:t>
      </w:r>
      <w:r>
        <w:rPr>
          <w:rFonts w:hint="eastAsia" w:hAnsi="宋体" w:cs="仿宋"/>
          <w:color w:val="auto"/>
          <w:szCs w:val="21"/>
          <w:highlight w:val="none"/>
        </w:rPr>
        <w:t>原件扫描</w:t>
      </w:r>
      <w:r>
        <w:rPr>
          <w:rFonts w:hAnsi="宋体" w:cs="仿宋"/>
          <w:color w:val="auto"/>
          <w:szCs w:val="21"/>
          <w:highlight w:val="none"/>
        </w:rPr>
        <w:t>件。</w:t>
      </w:r>
    </w:p>
    <w:p w14:paraId="377E9DA8">
      <w:pPr>
        <w:spacing w:line="360" w:lineRule="auto"/>
        <w:ind w:firstLine="420" w:firstLineChars="200"/>
        <w:rPr>
          <w:rFonts w:hAnsi="宋体" w:cs="仿宋"/>
          <w:color w:val="auto"/>
          <w:szCs w:val="21"/>
          <w:highlight w:val="none"/>
        </w:rPr>
      </w:pPr>
      <w:r>
        <w:rPr>
          <w:rFonts w:hAnsi="宋体" w:cs="仿宋"/>
          <w:color w:val="auto"/>
          <w:szCs w:val="21"/>
          <w:highlight w:val="none"/>
        </w:rPr>
        <w:t>②</w:t>
      </w:r>
      <w:r>
        <w:rPr>
          <w:rFonts w:hint="eastAsia" w:hAnsi="宋体" w:cs="仿宋"/>
          <w:color w:val="auto"/>
          <w:szCs w:val="21"/>
          <w:highlight w:val="none"/>
        </w:rPr>
        <w:t>供应商拟安排参与本工程的人员必须是在供应商处进行岗位登记[要求出具202</w:t>
      </w:r>
      <w:r>
        <w:rPr>
          <w:rFonts w:hint="eastAsia" w:hAnsi="宋体" w:cs="仿宋"/>
          <w:color w:val="auto"/>
          <w:szCs w:val="21"/>
          <w:highlight w:val="none"/>
          <w:lang w:val="en-US" w:eastAsia="zh-CN"/>
        </w:rPr>
        <w:t>5</w:t>
      </w:r>
      <w:r>
        <w:rPr>
          <w:rFonts w:hint="eastAsia" w:hAnsi="宋体" w:cs="仿宋"/>
          <w:color w:val="auto"/>
          <w:szCs w:val="21"/>
          <w:highlight w:val="none"/>
        </w:rPr>
        <w:t>年</w:t>
      </w:r>
      <w:r>
        <w:rPr>
          <w:rFonts w:hint="eastAsia" w:hAnsi="宋体" w:cs="仿宋"/>
          <w:color w:val="auto"/>
          <w:szCs w:val="21"/>
          <w:highlight w:val="none"/>
          <w:lang w:val="en-US" w:eastAsia="zh-CN"/>
        </w:rPr>
        <w:t>10</w:t>
      </w:r>
      <w:r>
        <w:rPr>
          <w:rFonts w:hint="eastAsia" w:hAnsi="宋体" w:cs="仿宋"/>
          <w:color w:val="auto"/>
          <w:szCs w:val="21"/>
          <w:highlight w:val="none"/>
        </w:rPr>
        <w:t>月至202</w:t>
      </w:r>
      <w:r>
        <w:rPr>
          <w:rFonts w:hint="eastAsia" w:hAnsi="宋体" w:cs="仿宋"/>
          <w:color w:val="auto"/>
          <w:szCs w:val="21"/>
          <w:highlight w:val="none"/>
          <w:lang w:val="en-US" w:eastAsia="zh-CN"/>
        </w:rPr>
        <w:t>6</w:t>
      </w:r>
      <w:r>
        <w:rPr>
          <w:rFonts w:hint="eastAsia" w:hAnsi="宋体" w:cs="仿宋"/>
          <w:color w:val="auto"/>
          <w:szCs w:val="21"/>
          <w:highlight w:val="none"/>
        </w:rPr>
        <w:t>年</w:t>
      </w:r>
      <w:r>
        <w:rPr>
          <w:rFonts w:hint="eastAsia" w:hAnsi="宋体" w:cs="仿宋"/>
          <w:color w:val="auto"/>
          <w:szCs w:val="21"/>
          <w:highlight w:val="none"/>
          <w:lang w:val="en-US" w:eastAsia="zh-CN"/>
        </w:rPr>
        <w:t>4</w:t>
      </w:r>
      <w:r>
        <w:rPr>
          <w:rFonts w:hint="eastAsia" w:hAnsi="宋体" w:cs="仿宋"/>
          <w:color w:val="auto"/>
          <w:szCs w:val="21"/>
          <w:highlight w:val="none"/>
        </w:rPr>
        <w:t>月期间</w:t>
      </w:r>
      <w:r>
        <w:rPr>
          <w:rFonts w:hint="eastAsia" w:hAnsi="宋体" w:cs="仿宋"/>
          <w:color w:val="auto"/>
          <w:szCs w:val="21"/>
          <w:highlight w:val="none"/>
          <w:lang w:eastAsia="zh-CN"/>
        </w:rPr>
        <w:t>任意</w:t>
      </w:r>
      <w:r>
        <w:rPr>
          <w:rFonts w:hint="eastAsia" w:hAnsi="宋体" w:cs="仿宋"/>
          <w:color w:val="auto"/>
          <w:szCs w:val="21"/>
          <w:highlight w:val="none"/>
        </w:rPr>
        <w:t>连续3个月的社保缴费证明或参加社保的有效证明材料]。</w:t>
      </w:r>
    </w:p>
    <w:p w14:paraId="1D1EB93D">
      <w:pPr>
        <w:spacing w:line="360" w:lineRule="auto"/>
        <w:ind w:firstLine="420" w:firstLineChars="200"/>
        <w:rPr>
          <w:rFonts w:hAnsi="宋体" w:cs="仿宋"/>
          <w:color w:val="auto"/>
          <w:szCs w:val="21"/>
          <w:highlight w:val="none"/>
        </w:rPr>
      </w:pPr>
      <w:r>
        <w:rPr>
          <w:rFonts w:hint="eastAsia" w:ascii="微软雅黑" w:hAnsi="微软雅黑" w:eastAsia="微软雅黑" w:cs="微软雅黑"/>
          <w:color w:val="auto"/>
          <w:szCs w:val="21"/>
          <w:highlight w:val="none"/>
        </w:rPr>
        <w:t>③</w:t>
      </w:r>
      <w:r>
        <w:rPr>
          <w:rFonts w:hint="eastAsia" w:hAnsi="宋体" w:cs="仿宋"/>
          <w:color w:val="auto"/>
          <w:szCs w:val="21"/>
          <w:highlight w:val="none"/>
        </w:rPr>
        <w:t>须附有效证明材料，如成果文件签名页面等，有效证明材料具体要求见</w:t>
      </w:r>
      <w:r>
        <w:rPr>
          <w:rFonts w:hint="eastAsia" w:hAnsi="宋体" w:cs="仿宋"/>
          <w:color w:val="auto"/>
          <w:highlight w:val="none"/>
        </w:rPr>
        <w:t>第四章评审办法</w:t>
      </w:r>
      <w:r>
        <w:rPr>
          <w:rFonts w:hint="eastAsia" w:hAnsi="宋体" w:cs="仿宋"/>
          <w:color w:val="auto"/>
          <w:szCs w:val="21"/>
          <w:highlight w:val="none"/>
        </w:rPr>
        <w:t>。</w:t>
      </w:r>
    </w:p>
    <w:p w14:paraId="00D6D54B">
      <w:pPr>
        <w:snapToGrid w:val="0"/>
        <w:spacing w:before="50" w:after="50"/>
        <w:rPr>
          <w:rFonts w:ascii="宋体" w:hAnsi="宋体"/>
          <w:color w:val="auto"/>
          <w:szCs w:val="21"/>
          <w:highlight w:val="none"/>
        </w:rPr>
      </w:pPr>
    </w:p>
    <w:p w14:paraId="081D9961">
      <w:pPr>
        <w:pStyle w:val="7"/>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1084F9A8">
      <w:pPr>
        <w:pStyle w:val="7"/>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052B5511">
      <w:pPr>
        <w:pStyle w:val="7"/>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42AE7EB3">
      <w:pPr>
        <w:snapToGrid w:val="0"/>
        <w:spacing w:before="50" w:after="120" w:afterLines="50"/>
        <w:jc w:val="left"/>
        <w:rPr>
          <w:rFonts w:ascii="宋体" w:hAnsi="宋体"/>
          <w:color w:val="auto"/>
          <w:sz w:val="24"/>
          <w:szCs w:val="20"/>
          <w:highlight w:val="none"/>
        </w:rPr>
      </w:pPr>
    </w:p>
    <w:p w14:paraId="2358F18F">
      <w:pPr>
        <w:rPr>
          <w:rFonts w:ascii="黑体" w:hAnsi="宋体" w:eastAsia="黑体"/>
          <w:b/>
          <w:color w:val="auto"/>
          <w:sz w:val="24"/>
          <w:highlight w:val="none"/>
        </w:rPr>
      </w:pPr>
      <w:r>
        <w:rPr>
          <w:rFonts w:ascii="黑体" w:hAnsi="宋体" w:eastAsia="黑体"/>
          <w:b/>
          <w:color w:val="auto"/>
          <w:sz w:val="24"/>
          <w:highlight w:val="none"/>
        </w:rPr>
        <w:br w:type="page"/>
      </w:r>
    </w:p>
    <w:p w14:paraId="5B720C84">
      <w:pPr>
        <w:jc w:val="center"/>
        <w:outlineLvl w:val="3"/>
        <w:rPr>
          <w:rFonts w:ascii="黑体" w:hAnsi="宋体" w:eastAsia="黑体"/>
          <w:color w:val="auto"/>
          <w:sz w:val="24"/>
          <w:highlight w:val="none"/>
        </w:rPr>
      </w:pPr>
      <w:r>
        <w:rPr>
          <w:rFonts w:hint="eastAsia" w:ascii="黑体" w:hAnsi="宋体" w:eastAsia="黑体"/>
          <w:color w:val="auto"/>
          <w:sz w:val="24"/>
          <w:highlight w:val="none"/>
        </w:rPr>
        <w:t>2.</w:t>
      </w:r>
      <w:r>
        <w:rPr>
          <w:rFonts w:ascii="黑体" w:hAnsi="宋体" w:eastAsia="黑体"/>
          <w:color w:val="auto"/>
          <w:sz w:val="24"/>
          <w:highlight w:val="none"/>
        </w:rPr>
        <w:t>主要</w:t>
      </w:r>
      <w:r>
        <w:rPr>
          <w:rFonts w:hint="eastAsia" w:ascii="黑体" w:hAnsi="宋体" w:eastAsia="黑体"/>
          <w:color w:val="auto"/>
          <w:sz w:val="24"/>
          <w:highlight w:val="none"/>
        </w:rPr>
        <w:t>设备</w:t>
      </w:r>
      <w:r>
        <w:rPr>
          <w:rFonts w:ascii="黑体" w:hAnsi="宋体" w:eastAsia="黑体"/>
          <w:color w:val="auto"/>
          <w:sz w:val="24"/>
          <w:highlight w:val="none"/>
        </w:rPr>
        <w:t>汇总表</w:t>
      </w:r>
    </w:p>
    <w:p w14:paraId="41903DEF">
      <w:pPr>
        <w:jc w:val="center"/>
        <w:rPr>
          <w:rFonts w:ascii="黑体" w:hAnsi="宋体" w:eastAsia="黑体"/>
          <w:color w:val="auto"/>
          <w:sz w:val="24"/>
          <w:highlight w:val="none"/>
        </w:rPr>
      </w:pPr>
    </w:p>
    <w:tbl>
      <w:tblPr>
        <w:tblStyle w:val="26"/>
        <w:tblW w:w="9165" w:type="dxa"/>
        <w:tblInd w:w="15" w:type="dxa"/>
        <w:tblLayout w:type="fixed"/>
        <w:tblCellMar>
          <w:top w:w="0" w:type="dxa"/>
          <w:left w:w="0" w:type="dxa"/>
          <w:bottom w:w="0" w:type="dxa"/>
          <w:right w:w="0" w:type="dxa"/>
        </w:tblCellMar>
      </w:tblPr>
      <w:tblGrid>
        <w:gridCol w:w="675"/>
        <w:gridCol w:w="1710"/>
        <w:gridCol w:w="1542"/>
        <w:gridCol w:w="1309"/>
        <w:gridCol w:w="1309"/>
        <w:gridCol w:w="1309"/>
        <w:gridCol w:w="1311"/>
      </w:tblGrid>
      <w:tr w14:paraId="7086DB1D">
        <w:tblPrEx>
          <w:tblCellMar>
            <w:top w:w="0" w:type="dxa"/>
            <w:left w:w="0" w:type="dxa"/>
            <w:bottom w:w="0" w:type="dxa"/>
            <w:right w:w="0" w:type="dxa"/>
          </w:tblCellMar>
        </w:tblPrEx>
        <w:trPr>
          <w:trHeight w:val="900" w:hRule="atLeast"/>
        </w:trPr>
        <w:tc>
          <w:tcPr>
            <w:tcW w:w="675" w:type="dxa"/>
            <w:tcBorders>
              <w:top w:val="single" w:color="auto" w:sz="12" w:space="0"/>
              <w:left w:val="single" w:color="auto" w:sz="12" w:space="0"/>
              <w:bottom w:val="single" w:color="auto" w:sz="8" w:space="0"/>
              <w:right w:val="single" w:color="auto" w:sz="8" w:space="0"/>
            </w:tcBorders>
            <w:vAlign w:val="center"/>
          </w:tcPr>
          <w:p w14:paraId="3A56DACA">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序号</w:t>
            </w:r>
          </w:p>
        </w:tc>
        <w:tc>
          <w:tcPr>
            <w:tcW w:w="1710" w:type="dxa"/>
            <w:tcBorders>
              <w:top w:val="single" w:color="auto" w:sz="12" w:space="0"/>
              <w:left w:val="single" w:color="auto" w:sz="8" w:space="0"/>
              <w:bottom w:val="single" w:color="auto" w:sz="8" w:space="0"/>
              <w:right w:val="single" w:color="auto" w:sz="8" w:space="0"/>
            </w:tcBorders>
            <w:vAlign w:val="center"/>
          </w:tcPr>
          <w:p w14:paraId="78B1A2C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设备名称</w:t>
            </w:r>
          </w:p>
        </w:tc>
        <w:tc>
          <w:tcPr>
            <w:tcW w:w="1542" w:type="dxa"/>
            <w:tcBorders>
              <w:top w:val="single" w:color="auto" w:sz="12" w:space="0"/>
              <w:left w:val="single" w:color="auto" w:sz="8" w:space="0"/>
              <w:bottom w:val="single" w:color="auto" w:sz="8" w:space="0"/>
              <w:right w:val="single" w:color="auto" w:sz="8" w:space="0"/>
            </w:tcBorders>
            <w:vAlign w:val="center"/>
          </w:tcPr>
          <w:p w14:paraId="3B1C1B6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型号规格</w:t>
            </w:r>
          </w:p>
        </w:tc>
        <w:tc>
          <w:tcPr>
            <w:tcW w:w="1309" w:type="dxa"/>
            <w:tcBorders>
              <w:top w:val="single" w:color="auto" w:sz="12" w:space="0"/>
              <w:left w:val="single" w:color="auto" w:sz="8" w:space="0"/>
              <w:bottom w:val="single" w:color="auto" w:sz="8" w:space="0"/>
              <w:right w:val="single" w:color="auto" w:sz="8" w:space="0"/>
            </w:tcBorders>
            <w:vAlign w:val="center"/>
          </w:tcPr>
          <w:p w14:paraId="2BA3FDF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单位</w:t>
            </w:r>
          </w:p>
        </w:tc>
        <w:tc>
          <w:tcPr>
            <w:tcW w:w="1309" w:type="dxa"/>
            <w:tcBorders>
              <w:top w:val="single" w:color="auto" w:sz="12" w:space="0"/>
              <w:left w:val="single" w:color="auto" w:sz="8" w:space="0"/>
              <w:bottom w:val="single" w:color="auto" w:sz="8" w:space="0"/>
              <w:right w:val="single" w:color="auto" w:sz="8" w:space="0"/>
            </w:tcBorders>
            <w:vAlign w:val="center"/>
          </w:tcPr>
          <w:p w14:paraId="7DC99C6C">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数量</w:t>
            </w:r>
          </w:p>
        </w:tc>
        <w:tc>
          <w:tcPr>
            <w:tcW w:w="1309" w:type="dxa"/>
            <w:tcBorders>
              <w:top w:val="single" w:color="auto" w:sz="12" w:space="0"/>
              <w:left w:val="single" w:color="auto" w:sz="8" w:space="0"/>
              <w:bottom w:val="single" w:color="auto" w:sz="8" w:space="0"/>
              <w:right w:val="single" w:color="auto" w:sz="8" w:space="0"/>
            </w:tcBorders>
            <w:vAlign w:val="center"/>
          </w:tcPr>
          <w:p w14:paraId="0EFAA61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制造年份</w:t>
            </w:r>
          </w:p>
        </w:tc>
        <w:tc>
          <w:tcPr>
            <w:tcW w:w="1311" w:type="dxa"/>
            <w:tcBorders>
              <w:top w:val="single" w:color="auto" w:sz="12" w:space="0"/>
              <w:left w:val="single" w:color="auto" w:sz="8" w:space="0"/>
              <w:bottom w:val="single" w:color="auto" w:sz="8" w:space="0"/>
              <w:right w:val="single" w:color="auto" w:sz="12" w:space="0"/>
            </w:tcBorders>
            <w:vAlign w:val="center"/>
          </w:tcPr>
          <w:p w14:paraId="5538618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备注</w:t>
            </w:r>
          </w:p>
        </w:tc>
      </w:tr>
      <w:tr w14:paraId="4AF79772">
        <w:tblPrEx>
          <w:tblCellMar>
            <w:top w:w="0" w:type="dxa"/>
            <w:left w:w="0" w:type="dxa"/>
            <w:bottom w:w="0" w:type="dxa"/>
            <w:right w:w="0" w:type="dxa"/>
          </w:tblCellMar>
        </w:tblPrEx>
        <w:trPr>
          <w:trHeight w:val="900" w:hRule="atLeast"/>
        </w:trPr>
        <w:tc>
          <w:tcPr>
            <w:tcW w:w="675" w:type="dxa"/>
            <w:tcBorders>
              <w:top w:val="single" w:color="auto" w:sz="8" w:space="0"/>
              <w:left w:val="single" w:color="auto" w:sz="12" w:space="0"/>
              <w:bottom w:val="single" w:color="auto" w:sz="8" w:space="0"/>
              <w:right w:val="single" w:color="auto" w:sz="8" w:space="0"/>
            </w:tcBorders>
            <w:vAlign w:val="center"/>
          </w:tcPr>
          <w:p w14:paraId="7B988DEF">
            <w:pPr>
              <w:autoSpaceDE w:val="0"/>
              <w:autoSpaceDN w:val="0"/>
              <w:jc w:val="center"/>
              <w:rPr>
                <w:color w:val="auto"/>
                <w:kern w:val="0"/>
                <w:sz w:val="24"/>
                <w:highlight w:val="none"/>
              </w:rPr>
            </w:pPr>
          </w:p>
        </w:tc>
        <w:tc>
          <w:tcPr>
            <w:tcW w:w="1710" w:type="dxa"/>
            <w:tcBorders>
              <w:top w:val="single" w:color="auto" w:sz="8" w:space="0"/>
              <w:left w:val="single" w:color="auto" w:sz="8" w:space="0"/>
              <w:bottom w:val="single" w:color="auto" w:sz="8" w:space="0"/>
              <w:right w:val="single" w:color="auto" w:sz="8" w:space="0"/>
            </w:tcBorders>
            <w:vAlign w:val="center"/>
          </w:tcPr>
          <w:p w14:paraId="20D0A4AB">
            <w:pPr>
              <w:autoSpaceDE w:val="0"/>
              <w:autoSpaceDN w:val="0"/>
              <w:jc w:val="center"/>
              <w:rPr>
                <w:color w:val="auto"/>
                <w:kern w:val="0"/>
                <w:sz w:val="24"/>
                <w:highlight w:val="none"/>
              </w:rPr>
            </w:pPr>
          </w:p>
        </w:tc>
        <w:tc>
          <w:tcPr>
            <w:tcW w:w="1542" w:type="dxa"/>
            <w:tcBorders>
              <w:top w:val="single" w:color="auto" w:sz="8" w:space="0"/>
              <w:left w:val="single" w:color="auto" w:sz="8" w:space="0"/>
              <w:bottom w:val="single" w:color="auto" w:sz="8" w:space="0"/>
              <w:right w:val="single" w:color="auto" w:sz="8" w:space="0"/>
            </w:tcBorders>
            <w:vAlign w:val="center"/>
          </w:tcPr>
          <w:p w14:paraId="4251F281">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62E3C5A7">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75A44248">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3300FB68">
            <w:pPr>
              <w:autoSpaceDE w:val="0"/>
              <w:autoSpaceDN w:val="0"/>
              <w:jc w:val="center"/>
              <w:rPr>
                <w:color w:val="auto"/>
                <w:kern w:val="0"/>
                <w:sz w:val="24"/>
                <w:highlight w:val="none"/>
              </w:rPr>
            </w:pPr>
          </w:p>
        </w:tc>
        <w:tc>
          <w:tcPr>
            <w:tcW w:w="1311" w:type="dxa"/>
            <w:tcBorders>
              <w:top w:val="single" w:color="auto" w:sz="8" w:space="0"/>
              <w:left w:val="single" w:color="auto" w:sz="8" w:space="0"/>
              <w:bottom w:val="single" w:color="auto" w:sz="8" w:space="0"/>
              <w:right w:val="single" w:color="auto" w:sz="12" w:space="0"/>
            </w:tcBorders>
            <w:vAlign w:val="center"/>
          </w:tcPr>
          <w:p w14:paraId="61E8CCBA">
            <w:pPr>
              <w:autoSpaceDE w:val="0"/>
              <w:autoSpaceDN w:val="0"/>
              <w:jc w:val="center"/>
              <w:rPr>
                <w:color w:val="auto"/>
                <w:kern w:val="0"/>
                <w:sz w:val="24"/>
                <w:highlight w:val="none"/>
              </w:rPr>
            </w:pPr>
          </w:p>
        </w:tc>
      </w:tr>
      <w:tr w14:paraId="263415F7">
        <w:tblPrEx>
          <w:tblCellMar>
            <w:top w:w="0" w:type="dxa"/>
            <w:left w:w="0" w:type="dxa"/>
            <w:bottom w:w="0" w:type="dxa"/>
            <w:right w:w="0" w:type="dxa"/>
          </w:tblCellMar>
        </w:tblPrEx>
        <w:trPr>
          <w:trHeight w:val="907" w:hRule="atLeast"/>
        </w:trPr>
        <w:tc>
          <w:tcPr>
            <w:tcW w:w="675" w:type="dxa"/>
            <w:tcBorders>
              <w:top w:val="single" w:color="auto" w:sz="8" w:space="0"/>
              <w:left w:val="single" w:color="auto" w:sz="12" w:space="0"/>
              <w:bottom w:val="single" w:color="auto" w:sz="8" w:space="0"/>
              <w:right w:val="single" w:color="auto" w:sz="8" w:space="0"/>
            </w:tcBorders>
            <w:vAlign w:val="center"/>
          </w:tcPr>
          <w:p w14:paraId="62781B53">
            <w:pPr>
              <w:autoSpaceDE w:val="0"/>
              <w:autoSpaceDN w:val="0"/>
              <w:jc w:val="center"/>
              <w:rPr>
                <w:color w:val="auto"/>
                <w:kern w:val="0"/>
                <w:sz w:val="24"/>
                <w:highlight w:val="none"/>
              </w:rPr>
            </w:pPr>
          </w:p>
        </w:tc>
        <w:tc>
          <w:tcPr>
            <w:tcW w:w="1710" w:type="dxa"/>
            <w:tcBorders>
              <w:top w:val="single" w:color="auto" w:sz="8" w:space="0"/>
              <w:left w:val="single" w:color="auto" w:sz="8" w:space="0"/>
              <w:bottom w:val="single" w:color="auto" w:sz="8" w:space="0"/>
              <w:right w:val="single" w:color="auto" w:sz="8" w:space="0"/>
            </w:tcBorders>
            <w:vAlign w:val="center"/>
          </w:tcPr>
          <w:p w14:paraId="68E0E7F5">
            <w:pPr>
              <w:autoSpaceDE w:val="0"/>
              <w:autoSpaceDN w:val="0"/>
              <w:jc w:val="center"/>
              <w:rPr>
                <w:color w:val="auto"/>
                <w:kern w:val="0"/>
                <w:sz w:val="24"/>
                <w:highlight w:val="none"/>
              </w:rPr>
            </w:pPr>
          </w:p>
        </w:tc>
        <w:tc>
          <w:tcPr>
            <w:tcW w:w="1542" w:type="dxa"/>
            <w:tcBorders>
              <w:top w:val="single" w:color="auto" w:sz="8" w:space="0"/>
              <w:left w:val="single" w:color="auto" w:sz="8" w:space="0"/>
              <w:bottom w:val="single" w:color="auto" w:sz="8" w:space="0"/>
              <w:right w:val="single" w:color="auto" w:sz="8" w:space="0"/>
            </w:tcBorders>
            <w:vAlign w:val="center"/>
          </w:tcPr>
          <w:p w14:paraId="47FEE3C4">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45A0098F">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5D3081DC">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684FF349">
            <w:pPr>
              <w:autoSpaceDE w:val="0"/>
              <w:autoSpaceDN w:val="0"/>
              <w:jc w:val="center"/>
              <w:rPr>
                <w:color w:val="auto"/>
                <w:kern w:val="0"/>
                <w:sz w:val="24"/>
                <w:highlight w:val="none"/>
              </w:rPr>
            </w:pPr>
          </w:p>
        </w:tc>
        <w:tc>
          <w:tcPr>
            <w:tcW w:w="1311" w:type="dxa"/>
            <w:tcBorders>
              <w:top w:val="single" w:color="auto" w:sz="8" w:space="0"/>
              <w:left w:val="single" w:color="auto" w:sz="8" w:space="0"/>
              <w:bottom w:val="single" w:color="auto" w:sz="8" w:space="0"/>
              <w:right w:val="single" w:color="auto" w:sz="12" w:space="0"/>
            </w:tcBorders>
            <w:vAlign w:val="center"/>
          </w:tcPr>
          <w:p w14:paraId="54A0D029">
            <w:pPr>
              <w:autoSpaceDE w:val="0"/>
              <w:autoSpaceDN w:val="0"/>
              <w:jc w:val="center"/>
              <w:rPr>
                <w:color w:val="auto"/>
                <w:kern w:val="0"/>
                <w:sz w:val="24"/>
                <w:highlight w:val="none"/>
              </w:rPr>
            </w:pPr>
          </w:p>
        </w:tc>
      </w:tr>
      <w:tr w14:paraId="40AFB60D">
        <w:tblPrEx>
          <w:tblCellMar>
            <w:top w:w="0" w:type="dxa"/>
            <w:left w:w="0" w:type="dxa"/>
            <w:bottom w:w="0" w:type="dxa"/>
            <w:right w:w="0" w:type="dxa"/>
          </w:tblCellMar>
        </w:tblPrEx>
        <w:trPr>
          <w:trHeight w:val="907" w:hRule="atLeast"/>
        </w:trPr>
        <w:tc>
          <w:tcPr>
            <w:tcW w:w="675" w:type="dxa"/>
            <w:tcBorders>
              <w:top w:val="single" w:color="auto" w:sz="8" w:space="0"/>
              <w:left w:val="single" w:color="auto" w:sz="12" w:space="0"/>
              <w:bottom w:val="single" w:color="auto" w:sz="8" w:space="0"/>
              <w:right w:val="single" w:color="auto" w:sz="8" w:space="0"/>
            </w:tcBorders>
            <w:vAlign w:val="center"/>
          </w:tcPr>
          <w:p w14:paraId="2C26A549">
            <w:pPr>
              <w:autoSpaceDE w:val="0"/>
              <w:autoSpaceDN w:val="0"/>
              <w:jc w:val="center"/>
              <w:rPr>
                <w:color w:val="auto"/>
                <w:kern w:val="0"/>
                <w:sz w:val="24"/>
                <w:highlight w:val="none"/>
              </w:rPr>
            </w:pPr>
          </w:p>
        </w:tc>
        <w:tc>
          <w:tcPr>
            <w:tcW w:w="1710" w:type="dxa"/>
            <w:tcBorders>
              <w:top w:val="single" w:color="auto" w:sz="8" w:space="0"/>
              <w:left w:val="single" w:color="auto" w:sz="8" w:space="0"/>
              <w:bottom w:val="single" w:color="auto" w:sz="8" w:space="0"/>
              <w:right w:val="single" w:color="auto" w:sz="8" w:space="0"/>
            </w:tcBorders>
            <w:vAlign w:val="center"/>
          </w:tcPr>
          <w:p w14:paraId="01AF729D">
            <w:pPr>
              <w:autoSpaceDE w:val="0"/>
              <w:autoSpaceDN w:val="0"/>
              <w:jc w:val="center"/>
              <w:rPr>
                <w:color w:val="auto"/>
                <w:kern w:val="0"/>
                <w:sz w:val="24"/>
                <w:highlight w:val="none"/>
              </w:rPr>
            </w:pPr>
          </w:p>
        </w:tc>
        <w:tc>
          <w:tcPr>
            <w:tcW w:w="1542" w:type="dxa"/>
            <w:tcBorders>
              <w:top w:val="single" w:color="auto" w:sz="8" w:space="0"/>
              <w:left w:val="single" w:color="auto" w:sz="8" w:space="0"/>
              <w:bottom w:val="single" w:color="auto" w:sz="8" w:space="0"/>
              <w:right w:val="single" w:color="auto" w:sz="8" w:space="0"/>
            </w:tcBorders>
            <w:vAlign w:val="center"/>
          </w:tcPr>
          <w:p w14:paraId="20F33CCB">
            <w:pPr>
              <w:autoSpaceDE w:val="0"/>
              <w:autoSpaceDN w:val="0"/>
              <w:jc w:val="center"/>
              <w:rPr>
                <w:rFonts w:ascii="宋体" w:cs="宋体"/>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67AAF3AB">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3A5A5FEA">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524E8996">
            <w:pPr>
              <w:autoSpaceDE w:val="0"/>
              <w:autoSpaceDN w:val="0"/>
              <w:jc w:val="center"/>
              <w:rPr>
                <w:color w:val="auto"/>
                <w:kern w:val="0"/>
                <w:sz w:val="24"/>
                <w:highlight w:val="none"/>
              </w:rPr>
            </w:pPr>
          </w:p>
        </w:tc>
        <w:tc>
          <w:tcPr>
            <w:tcW w:w="1311" w:type="dxa"/>
            <w:tcBorders>
              <w:top w:val="single" w:color="auto" w:sz="8" w:space="0"/>
              <w:left w:val="single" w:color="auto" w:sz="8" w:space="0"/>
              <w:bottom w:val="single" w:color="auto" w:sz="8" w:space="0"/>
              <w:right w:val="single" w:color="auto" w:sz="12" w:space="0"/>
            </w:tcBorders>
            <w:vAlign w:val="center"/>
          </w:tcPr>
          <w:p w14:paraId="24D7CCCB">
            <w:pPr>
              <w:autoSpaceDE w:val="0"/>
              <w:autoSpaceDN w:val="0"/>
              <w:jc w:val="center"/>
              <w:rPr>
                <w:color w:val="auto"/>
                <w:kern w:val="0"/>
                <w:sz w:val="24"/>
                <w:highlight w:val="none"/>
              </w:rPr>
            </w:pPr>
          </w:p>
        </w:tc>
      </w:tr>
      <w:tr w14:paraId="30BA39D0">
        <w:trPr>
          <w:trHeight w:val="900" w:hRule="atLeast"/>
        </w:trPr>
        <w:tc>
          <w:tcPr>
            <w:tcW w:w="675" w:type="dxa"/>
            <w:tcBorders>
              <w:top w:val="single" w:color="auto" w:sz="8" w:space="0"/>
              <w:left w:val="single" w:color="auto" w:sz="12" w:space="0"/>
              <w:bottom w:val="single" w:color="auto" w:sz="8" w:space="0"/>
              <w:right w:val="single" w:color="auto" w:sz="8" w:space="0"/>
            </w:tcBorders>
            <w:vAlign w:val="center"/>
          </w:tcPr>
          <w:p w14:paraId="6DBA4447">
            <w:pPr>
              <w:autoSpaceDE w:val="0"/>
              <w:autoSpaceDN w:val="0"/>
              <w:jc w:val="center"/>
              <w:rPr>
                <w:color w:val="auto"/>
                <w:kern w:val="0"/>
                <w:sz w:val="24"/>
                <w:highlight w:val="none"/>
              </w:rPr>
            </w:pPr>
          </w:p>
        </w:tc>
        <w:tc>
          <w:tcPr>
            <w:tcW w:w="1710" w:type="dxa"/>
            <w:tcBorders>
              <w:top w:val="single" w:color="auto" w:sz="8" w:space="0"/>
              <w:left w:val="single" w:color="auto" w:sz="8" w:space="0"/>
              <w:bottom w:val="single" w:color="auto" w:sz="8" w:space="0"/>
              <w:right w:val="single" w:color="auto" w:sz="8" w:space="0"/>
            </w:tcBorders>
            <w:vAlign w:val="center"/>
          </w:tcPr>
          <w:p w14:paraId="5312E7E7">
            <w:pPr>
              <w:autoSpaceDE w:val="0"/>
              <w:autoSpaceDN w:val="0"/>
              <w:jc w:val="center"/>
              <w:rPr>
                <w:color w:val="auto"/>
                <w:kern w:val="0"/>
                <w:sz w:val="24"/>
                <w:highlight w:val="none"/>
              </w:rPr>
            </w:pPr>
          </w:p>
        </w:tc>
        <w:tc>
          <w:tcPr>
            <w:tcW w:w="1542" w:type="dxa"/>
            <w:tcBorders>
              <w:top w:val="single" w:color="auto" w:sz="8" w:space="0"/>
              <w:left w:val="single" w:color="auto" w:sz="8" w:space="0"/>
              <w:bottom w:val="single" w:color="auto" w:sz="8" w:space="0"/>
              <w:right w:val="single" w:color="auto" w:sz="8" w:space="0"/>
            </w:tcBorders>
            <w:vAlign w:val="center"/>
          </w:tcPr>
          <w:p w14:paraId="33B6D32F">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60B80663">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48A4B473">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70D56771">
            <w:pPr>
              <w:autoSpaceDE w:val="0"/>
              <w:autoSpaceDN w:val="0"/>
              <w:jc w:val="center"/>
              <w:rPr>
                <w:color w:val="auto"/>
                <w:kern w:val="0"/>
                <w:sz w:val="24"/>
                <w:highlight w:val="none"/>
              </w:rPr>
            </w:pPr>
          </w:p>
        </w:tc>
        <w:tc>
          <w:tcPr>
            <w:tcW w:w="1311" w:type="dxa"/>
            <w:tcBorders>
              <w:top w:val="single" w:color="auto" w:sz="8" w:space="0"/>
              <w:left w:val="single" w:color="auto" w:sz="8" w:space="0"/>
              <w:bottom w:val="single" w:color="auto" w:sz="8" w:space="0"/>
              <w:right w:val="single" w:color="auto" w:sz="12" w:space="0"/>
            </w:tcBorders>
            <w:vAlign w:val="center"/>
          </w:tcPr>
          <w:p w14:paraId="27C1FC8A">
            <w:pPr>
              <w:autoSpaceDE w:val="0"/>
              <w:autoSpaceDN w:val="0"/>
              <w:jc w:val="center"/>
              <w:rPr>
                <w:color w:val="auto"/>
                <w:kern w:val="0"/>
                <w:sz w:val="24"/>
                <w:highlight w:val="none"/>
              </w:rPr>
            </w:pPr>
          </w:p>
        </w:tc>
      </w:tr>
      <w:tr w14:paraId="2D7CC35F">
        <w:tblPrEx>
          <w:tblCellMar>
            <w:top w:w="0" w:type="dxa"/>
            <w:left w:w="0" w:type="dxa"/>
            <w:bottom w:w="0" w:type="dxa"/>
            <w:right w:w="0" w:type="dxa"/>
          </w:tblCellMar>
        </w:tblPrEx>
        <w:trPr>
          <w:trHeight w:val="907" w:hRule="atLeast"/>
        </w:trPr>
        <w:tc>
          <w:tcPr>
            <w:tcW w:w="675" w:type="dxa"/>
            <w:tcBorders>
              <w:top w:val="single" w:color="auto" w:sz="8" w:space="0"/>
              <w:left w:val="single" w:color="auto" w:sz="12" w:space="0"/>
              <w:bottom w:val="single" w:color="auto" w:sz="8" w:space="0"/>
              <w:right w:val="single" w:color="auto" w:sz="8" w:space="0"/>
            </w:tcBorders>
            <w:vAlign w:val="center"/>
          </w:tcPr>
          <w:p w14:paraId="783A9D39">
            <w:pPr>
              <w:autoSpaceDE w:val="0"/>
              <w:autoSpaceDN w:val="0"/>
              <w:jc w:val="center"/>
              <w:rPr>
                <w:color w:val="auto"/>
                <w:kern w:val="0"/>
                <w:sz w:val="24"/>
                <w:highlight w:val="none"/>
              </w:rPr>
            </w:pPr>
          </w:p>
        </w:tc>
        <w:tc>
          <w:tcPr>
            <w:tcW w:w="1710" w:type="dxa"/>
            <w:tcBorders>
              <w:top w:val="single" w:color="auto" w:sz="8" w:space="0"/>
              <w:left w:val="single" w:color="auto" w:sz="8" w:space="0"/>
              <w:bottom w:val="single" w:color="auto" w:sz="8" w:space="0"/>
              <w:right w:val="single" w:color="auto" w:sz="8" w:space="0"/>
            </w:tcBorders>
            <w:vAlign w:val="center"/>
          </w:tcPr>
          <w:p w14:paraId="7AD0462D">
            <w:pPr>
              <w:autoSpaceDE w:val="0"/>
              <w:autoSpaceDN w:val="0"/>
              <w:jc w:val="center"/>
              <w:rPr>
                <w:color w:val="auto"/>
                <w:kern w:val="0"/>
                <w:sz w:val="24"/>
                <w:highlight w:val="none"/>
              </w:rPr>
            </w:pPr>
          </w:p>
        </w:tc>
        <w:tc>
          <w:tcPr>
            <w:tcW w:w="1542" w:type="dxa"/>
            <w:tcBorders>
              <w:top w:val="single" w:color="auto" w:sz="8" w:space="0"/>
              <w:left w:val="single" w:color="auto" w:sz="8" w:space="0"/>
              <w:bottom w:val="single" w:color="auto" w:sz="8" w:space="0"/>
              <w:right w:val="single" w:color="auto" w:sz="8" w:space="0"/>
            </w:tcBorders>
            <w:vAlign w:val="center"/>
          </w:tcPr>
          <w:p w14:paraId="017B151F">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256B5833">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31E9228E">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8" w:space="0"/>
              <w:right w:val="single" w:color="auto" w:sz="8" w:space="0"/>
            </w:tcBorders>
            <w:vAlign w:val="center"/>
          </w:tcPr>
          <w:p w14:paraId="0F19322E">
            <w:pPr>
              <w:autoSpaceDE w:val="0"/>
              <w:autoSpaceDN w:val="0"/>
              <w:jc w:val="center"/>
              <w:rPr>
                <w:color w:val="auto"/>
                <w:kern w:val="0"/>
                <w:sz w:val="24"/>
                <w:highlight w:val="none"/>
              </w:rPr>
            </w:pPr>
          </w:p>
        </w:tc>
        <w:tc>
          <w:tcPr>
            <w:tcW w:w="1311" w:type="dxa"/>
            <w:tcBorders>
              <w:top w:val="single" w:color="auto" w:sz="8" w:space="0"/>
              <w:left w:val="single" w:color="auto" w:sz="8" w:space="0"/>
              <w:bottom w:val="single" w:color="auto" w:sz="8" w:space="0"/>
              <w:right w:val="single" w:color="auto" w:sz="12" w:space="0"/>
            </w:tcBorders>
            <w:vAlign w:val="center"/>
          </w:tcPr>
          <w:p w14:paraId="2940C814">
            <w:pPr>
              <w:autoSpaceDE w:val="0"/>
              <w:autoSpaceDN w:val="0"/>
              <w:jc w:val="center"/>
              <w:rPr>
                <w:color w:val="auto"/>
                <w:kern w:val="0"/>
                <w:sz w:val="24"/>
                <w:highlight w:val="none"/>
              </w:rPr>
            </w:pPr>
          </w:p>
        </w:tc>
      </w:tr>
      <w:tr w14:paraId="74F0634F">
        <w:tblPrEx>
          <w:tblCellMar>
            <w:top w:w="0" w:type="dxa"/>
            <w:left w:w="0" w:type="dxa"/>
            <w:bottom w:w="0" w:type="dxa"/>
            <w:right w:w="0" w:type="dxa"/>
          </w:tblCellMar>
        </w:tblPrEx>
        <w:trPr>
          <w:trHeight w:val="900" w:hRule="atLeast"/>
        </w:trPr>
        <w:tc>
          <w:tcPr>
            <w:tcW w:w="675" w:type="dxa"/>
            <w:tcBorders>
              <w:top w:val="single" w:color="auto" w:sz="8" w:space="0"/>
              <w:left w:val="single" w:color="auto" w:sz="12" w:space="0"/>
              <w:bottom w:val="single" w:color="auto" w:sz="12" w:space="0"/>
              <w:right w:val="single" w:color="auto" w:sz="8" w:space="0"/>
            </w:tcBorders>
            <w:vAlign w:val="center"/>
          </w:tcPr>
          <w:p w14:paraId="583BEDBF">
            <w:pPr>
              <w:autoSpaceDE w:val="0"/>
              <w:autoSpaceDN w:val="0"/>
              <w:jc w:val="center"/>
              <w:rPr>
                <w:color w:val="auto"/>
                <w:kern w:val="0"/>
                <w:sz w:val="24"/>
                <w:highlight w:val="none"/>
              </w:rPr>
            </w:pPr>
          </w:p>
        </w:tc>
        <w:tc>
          <w:tcPr>
            <w:tcW w:w="1710" w:type="dxa"/>
            <w:tcBorders>
              <w:top w:val="single" w:color="auto" w:sz="8" w:space="0"/>
              <w:left w:val="single" w:color="auto" w:sz="8" w:space="0"/>
              <w:bottom w:val="single" w:color="auto" w:sz="12" w:space="0"/>
              <w:right w:val="single" w:color="auto" w:sz="8" w:space="0"/>
            </w:tcBorders>
            <w:vAlign w:val="center"/>
          </w:tcPr>
          <w:p w14:paraId="34D7B1EC">
            <w:pPr>
              <w:autoSpaceDE w:val="0"/>
              <w:autoSpaceDN w:val="0"/>
              <w:jc w:val="center"/>
              <w:rPr>
                <w:color w:val="auto"/>
                <w:kern w:val="0"/>
                <w:sz w:val="24"/>
                <w:highlight w:val="none"/>
              </w:rPr>
            </w:pPr>
          </w:p>
        </w:tc>
        <w:tc>
          <w:tcPr>
            <w:tcW w:w="1542" w:type="dxa"/>
            <w:tcBorders>
              <w:top w:val="single" w:color="auto" w:sz="8" w:space="0"/>
              <w:left w:val="single" w:color="auto" w:sz="8" w:space="0"/>
              <w:bottom w:val="single" w:color="auto" w:sz="12" w:space="0"/>
              <w:right w:val="single" w:color="auto" w:sz="8" w:space="0"/>
            </w:tcBorders>
            <w:vAlign w:val="center"/>
          </w:tcPr>
          <w:p w14:paraId="249AFE8E">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12" w:space="0"/>
              <w:right w:val="single" w:color="auto" w:sz="8" w:space="0"/>
            </w:tcBorders>
            <w:vAlign w:val="center"/>
          </w:tcPr>
          <w:p w14:paraId="00A38CD5">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12" w:space="0"/>
              <w:right w:val="single" w:color="auto" w:sz="8" w:space="0"/>
            </w:tcBorders>
            <w:vAlign w:val="center"/>
          </w:tcPr>
          <w:p w14:paraId="33004AE2">
            <w:pPr>
              <w:autoSpaceDE w:val="0"/>
              <w:autoSpaceDN w:val="0"/>
              <w:jc w:val="center"/>
              <w:rPr>
                <w:color w:val="auto"/>
                <w:kern w:val="0"/>
                <w:sz w:val="24"/>
                <w:highlight w:val="none"/>
              </w:rPr>
            </w:pPr>
          </w:p>
        </w:tc>
        <w:tc>
          <w:tcPr>
            <w:tcW w:w="1309" w:type="dxa"/>
            <w:tcBorders>
              <w:top w:val="single" w:color="auto" w:sz="8" w:space="0"/>
              <w:left w:val="single" w:color="auto" w:sz="8" w:space="0"/>
              <w:bottom w:val="single" w:color="auto" w:sz="12" w:space="0"/>
              <w:right w:val="single" w:color="auto" w:sz="8" w:space="0"/>
            </w:tcBorders>
            <w:vAlign w:val="center"/>
          </w:tcPr>
          <w:p w14:paraId="6C8F3596">
            <w:pPr>
              <w:autoSpaceDE w:val="0"/>
              <w:autoSpaceDN w:val="0"/>
              <w:jc w:val="center"/>
              <w:rPr>
                <w:color w:val="auto"/>
                <w:kern w:val="0"/>
                <w:sz w:val="24"/>
                <w:highlight w:val="none"/>
              </w:rPr>
            </w:pPr>
          </w:p>
        </w:tc>
        <w:tc>
          <w:tcPr>
            <w:tcW w:w="1311" w:type="dxa"/>
            <w:tcBorders>
              <w:top w:val="single" w:color="auto" w:sz="8" w:space="0"/>
              <w:left w:val="single" w:color="auto" w:sz="8" w:space="0"/>
              <w:bottom w:val="single" w:color="auto" w:sz="12" w:space="0"/>
              <w:right w:val="single" w:color="auto" w:sz="12" w:space="0"/>
            </w:tcBorders>
            <w:vAlign w:val="center"/>
          </w:tcPr>
          <w:p w14:paraId="04083E3B">
            <w:pPr>
              <w:autoSpaceDE w:val="0"/>
              <w:autoSpaceDN w:val="0"/>
              <w:jc w:val="center"/>
              <w:rPr>
                <w:color w:val="auto"/>
                <w:kern w:val="0"/>
                <w:sz w:val="24"/>
                <w:highlight w:val="none"/>
              </w:rPr>
            </w:pPr>
          </w:p>
        </w:tc>
      </w:tr>
    </w:tbl>
    <w:p w14:paraId="788528E3">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注：须附有效证明材料，如设备照片、检验合格证书复印件等。</w:t>
      </w:r>
    </w:p>
    <w:p w14:paraId="13D5EE33">
      <w:pPr>
        <w:snapToGrid w:val="0"/>
        <w:spacing w:before="50" w:after="50"/>
        <w:rPr>
          <w:rFonts w:ascii="宋体" w:hAnsi="宋体"/>
          <w:color w:val="auto"/>
          <w:szCs w:val="21"/>
          <w:highlight w:val="none"/>
        </w:rPr>
      </w:pPr>
    </w:p>
    <w:p w14:paraId="7097AED1">
      <w:pPr>
        <w:pStyle w:val="7"/>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446F64AD">
      <w:pPr>
        <w:pStyle w:val="7"/>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09E485A5">
      <w:pPr>
        <w:pStyle w:val="7"/>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49102D0F">
      <w:pPr>
        <w:rPr>
          <w:rFonts w:ascii="黑体" w:hAnsi="宋体" w:eastAsia="黑体"/>
          <w:b/>
          <w:color w:val="auto"/>
          <w:sz w:val="24"/>
          <w:highlight w:val="none"/>
        </w:rPr>
      </w:pPr>
    </w:p>
    <w:p w14:paraId="7943E780">
      <w:pPr>
        <w:rPr>
          <w:rFonts w:ascii="黑体" w:hAnsi="宋体" w:eastAsia="黑体"/>
          <w:b/>
          <w:color w:val="auto"/>
          <w:sz w:val="24"/>
          <w:highlight w:val="none"/>
        </w:rPr>
      </w:pPr>
    </w:p>
    <w:p w14:paraId="2D2CBE8D">
      <w:pPr>
        <w:rPr>
          <w:color w:val="auto"/>
          <w:highlight w:val="none"/>
        </w:rPr>
      </w:pPr>
      <w:r>
        <w:rPr>
          <w:rFonts w:ascii="黑体" w:hAnsi="宋体" w:eastAsia="黑体"/>
          <w:b/>
          <w:color w:val="auto"/>
          <w:sz w:val="24"/>
          <w:highlight w:val="none"/>
        </w:rPr>
        <w:br w:type="page"/>
      </w:r>
    </w:p>
    <w:p w14:paraId="027310FD">
      <w:pPr>
        <w:pStyle w:val="11"/>
        <w:rPr>
          <w:color w:val="auto"/>
          <w:highlight w:val="none"/>
        </w:rPr>
      </w:pPr>
    </w:p>
    <w:p w14:paraId="442C024D">
      <w:pPr>
        <w:snapToGrid w:val="0"/>
        <w:spacing w:line="360" w:lineRule="auto"/>
        <w:jc w:val="center"/>
        <w:outlineLvl w:val="1"/>
        <w:rPr>
          <w:rFonts w:ascii="黑体" w:hAnsi="黑体" w:eastAsia="黑体" w:cs="黑体"/>
          <w:color w:val="auto"/>
          <w:sz w:val="36"/>
          <w:szCs w:val="36"/>
          <w:highlight w:val="none"/>
        </w:rPr>
      </w:pPr>
      <w:bookmarkStart w:id="158" w:name="_Toc19324"/>
      <w:bookmarkStart w:id="159" w:name="_Toc18160"/>
      <w:bookmarkStart w:id="160" w:name="_Toc11791"/>
      <w:bookmarkStart w:id="161" w:name="_Toc2834"/>
      <w:bookmarkStart w:id="162" w:name="_Toc5398"/>
      <w:bookmarkStart w:id="163" w:name="_Toc634"/>
      <w:bookmarkStart w:id="164" w:name="_Toc15898"/>
      <w:bookmarkStart w:id="165" w:name="_Toc7403"/>
      <w:bookmarkStart w:id="166" w:name="_Toc7257"/>
      <w:r>
        <w:rPr>
          <w:rFonts w:hint="eastAsia" w:ascii="黑体" w:hAnsi="黑体" w:eastAsia="黑体" w:cs="黑体"/>
          <w:color w:val="auto"/>
          <w:sz w:val="36"/>
          <w:szCs w:val="36"/>
          <w:highlight w:val="none"/>
        </w:rPr>
        <w:t>五、</w:t>
      </w:r>
      <w:bookmarkEnd w:id="158"/>
      <w:bookmarkEnd w:id="159"/>
      <w:bookmarkEnd w:id="160"/>
      <w:r>
        <w:rPr>
          <w:rFonts w:hint="eastAsia" w:ascii="黑体" w:hAnsi="黑体" w:eastAsia="黑体" w:cs="黑体"/>
          <w:color w:val="auto"/>
          <w:sz w:val="36"/>
          <w:szCs w:val="36"/>
          <w:highlight w:val="none"/>
        </w:rPr>
        <w:t>服务方案</w:t>
      </w:r>
      <w:bookmarkEnd w:id="161"/>
      <w:bookmarkEnd w:id="162"/>
      <w:bookmarkEnd w:id="163"/>
      <w:bookmarkEnd w:id="164"/>
      <w:bookmarkEnd w:id="165"/>
      <w:bookmarkEnd w:id="166"/>
      <w:r>
        <w:rPr>
          <w:rFonts w:hint="eastAsia" w:ascii="黑体" w:hAnsi="黑体" w:eastAsia="黑体" w:cs="黑体"/>
          <w:color w:val="auto"/>
          <w:sz w:val="36"/>
          <w:szCs w:val="36"/>
          <w:highlight w:val="none"/>
        </w:rPr>
        <w:t xml:space="preserve"> </w:t>
      </w:r>
    </w:p>
    <w:p w14:paraId="65AD929B">
      <w:pPr>
        <w:jc w:val="left"/>
        <w:rPr>
          <w:color w:val="auto"/>
          <w:highlight w:val="none"/>
        </w:rPr>
      </w:pPr>
      <w:r>
        <w:rPr>
          <w:rFonts w:hint="eastAsia" w:ascii="宋体" w:hAnsi="宋体" w:cs="宋体"/>
          <w:bCs/>
          <w:color w:val="auto"/>
          <w:kern w:val="0"/>
          <w:sz w:val="24"/>
          <w:highlight w:val="none"/>
        </w:rPr>
        <w:t>格式自拟</w:t>
      </w:r>
      <w:r>
        <w:rPr>
          <w:rFonts w:hint="eastAsia"/>
          <w:color w:val="auto"/>
          <w:highlight w:val="none"/>
        </w:rPr>
        <w:t>。</w:t>
      </w:r>
      <w:r>
        <w:rPr>
          <w:color w:val="auto"/>
          <w:highlight w:val="none"/>
        </w:rPr>
        <w:br w:type="page"/>
      </w:r>
    </w:p>
    <w:p w14:paraId="221CCFAD">
      <w:pPr>
        <w:pStyle w:val="11"/>
        <w:rPr>
          <w:color w:val="auto"/>
          <w:highlight w:val="none"/>
        </w:rPr>
      </w:pPr>
    </w:p>
    <w:p w14:paraId="45352E39">
      <w:pPr>
        <w:snapToGrid w:val="0"/>
        <w:spacing w:line="360" w:lineRule="auto"/>
        <w:jc w:val="center"/>
        <w:outlineLvl w:val="1"/>
        <w:rPr>
          <w:rFonts w:ascii="黑体" w:hAnsi="黑体" w:eastAsia="黑体" w:cs="黑体"/>
          <w:color w:val="auto"/>
          <w:sz w:val="36"/>
          <w:szCs w:val="36"/>
          <w:highlight w:val="none"/>
        </w:rPr>
      </w:pPr>
      <w:bookmarkStart w:id="167" w:name="_Toc22722"/>
      <w:bookmarkStart w:id="168" w:name="_Toc21629"/>
      <w:bookmarkStart w:id="169" w:name="_Toc19908"/>
      <w:bookmarkStart w:id="170" w:name="_Toc7160"/>
      <w:bookmarkStart w:id="171" w:name="_Toc26161"/>
      <w:bookmarkStart w:id="172" w:name="_Toc11580"/>
      <w:bookmarkStart w:id="173" w:name="_Toc18260"/>
      <w:bookmarkStart w:id="174" w:name="_Toc17357"/>
      <w:bookmarkStart w:id="175" w:name="_Toc24713"/>
      <w:r>
        <w:rPr>
          <w:rFonts w:hint="eastAsia" w:ascii="黑体" w:hAnsi="黑体" w:eastAsia="黑体" w:cs="黑体"/>
          <w:color w:val="auto"/>
          <w:sz w:val="36"/>
          <w:szCs w:val="36"/>
          <w:highlight w:val="none"/>
        </w:rPr>
        <w:t>六、其他资料</w:t>
      </w:r>
      <w:bookmarkEnd w:id="167"/>
      <w:bookmarkEnd w:id="168"/>
      <w:bookmarkEnd w:id="169"/>
      <w:bookmarkEnd w:id="170"/>
      <w:bookmarkEnd w:id="171"/>
      <w:bookmarkEnd w:id="172"/>
      <w:bookmarkEnd w:id="173"/>
      <w:bookmarkEnd w:id="174"/>
      <w:bookmarkEnd w:id="175"/>
    </w:p>
    <w:p w14:paraId="1F9C2F6F">
      <w:pPr>
        <w:pStyle w:val="11"/>
        <w:rPr>
          <w:color w:val="auto"/>
          <w:highlight w:val="none"/>
        </w:rPr>
      </w:pPr>
      <w:r>
        <w:rPr>
          <w:rFonts w:hint="eastAsia"/>
          <w:color w:val="auto"/>
          <w:highlight w:val="none"/>
        </w:rPr>
        <w:t>供应商认为需提供的其他资料。</w:t>
      </w:r>
    </w:p>
    <w:p w14:paraId="16974D0D">
      <w:pPr>
        <w:pStyle w:val="11"/>
        <w:rPr>
          <w:color w:val="auto"/>
          <w:highlight w:val="none"/>
        </w:rPr>
      </w:pPr>
    </w:p>
    <w:p w14:paraId="6DE0537E">
      <w:pPr>
        <w:autoSpaceDE/>
        <w:autoSpaceDN/>
        <w:spacing w:line="240" w:lineRule="auto"/>
        <w:ind w:firstLine="0" w:firstLineChars="0"/>
        <w:rPr>
          <w:rFonts w:ascii="宋体" w:hAnsi="宋体" w:cs="宋体"/>
          <w:color w:val="auto"/>
          <w:kern w:val="0"/>
          <w:sz w:val="24"/>
          <w:highlight w:val="none"/>
          <w:lang w:val="zh-CN"/>
        </w:rPr>
      </w:pPr>
      <w:r>
        <w:rPr>
          <w:rFonts w:ascii="宋体" w:hAnsi="宋体" w:cs="宋体"/>
          <w:color w:val="auto"/>
          <w:kern w:val="0"/>
          <w:sz w:val="24"/>
          <w:highlight w:val="none"/>
          <w:lang w:val="zh-CN"/>
        </w:rPr>
        <w:br w:type="page"/>
      </w:r>
    </w:p>
    <w:p w14:paraId="0F21A501">
      <w:pPr>
        <w:snapToGrid w:val="0"/>
        <w:spacing w:line="360" w:lineRule="auto"/>
        <w:jc w:val="center"/>
        <w:outlineLvl w:val="1"/>
        <w:rPr>
          <w:rFonts w:ascii="黑体" w:hAnsi="黑体" w:eastAsia="黑体" w:cs="黑体"/>
          <w:color w:val="auto"/>
          <w:sz w:val="36"/>
          <w:szCs w:val="36"/>
          <w:highlight w:val="none"/>
        </w:rPr>
      </w:pPr>
      <w:bookmarkStart w:id="176" w:name="_Toc24390"/>
      <w:r>
        <w:rPr>
          <w:rFonts w:hint="eastAsia" w:ascii="黑体" w:hAnsi="黑体" w:eastAsia="黑体" w:cs="黑体"/>
          <w:color w:val="auto"/>
          <w:sz w:val="36"/>
          <w:szCs w:val="36"/>
          <w:highlight w:val="none"/>
          <w:lang w:eastAsia="zh-CN"/>
        </w:rPr>
        <w:t>七</w:t>
      </w:r>
      <w:r>
        <w:rPr>
          <w:rFonts w:hint="eastAsia" w:ascii="黑体" w:hAnsi="黑体" w:eastAsia="黑体" w:cs="黑体"/>
          <w:color w:val="auto"/>
          <w:sz w:val="36"/>
          <w:szCs w:val="36"/>
          <w:highlight w:val="none"/>
        </w:rPr>
        <w:t>、</w:t>
      </w:r>
      <w:r>
        <w:rPr>
          <w:rFonts w:hint="eastAsia" w:ascii="黑体" w:hAnsi="黑体" w:eastAsia="黑体" w:cs="黑体"/>
          <w:color w:val="auto"/>
          <w:sz w:val="36"/>
          <w:szCs w:val="36"/>
          <w:highlight w:val="none"/>
          <w:lang w:eastAsia="zh-CN"/>
        </w:rPr>
        <w:t>履约担保</w:t>
      </w:r>
      <w:bookmarkEnd w:id="176"/>
    </w:p>
    <w:p w14:paraId="6840AB7E">
      <w:pPr>
        <w:pStyle w:val="45"/>
        <w:snapToGrid w:val="0"/>
        <w:spacing w:line="360" w:lineRule="auto"/>
        <w:jc w:val="center"/>
        <w:rPr>
          <w:rFonts w:ascii="宋体" w:hAnsi="宋体" w:cs="仿宋"/>
          <w:color w:val="auto"/>
          <w:sz w:val="24"/>
          <w:szCs w:val="24"/>
          <w:highlight w:val="none"/>
        </w:rPr>
      </w:pPr>
    </w:p>
    <w:p w14:paraId="5F4F117E">
      <w:pPr>
        <w:pStyle w:val="45"/>
        <w:snapToGrid w:val="0"/>
        <w:spacing w:line="360" w:lineRule="auto"/>
        <w:rPr>
          <w:rFonts w:ascii="宋体" w:hAnsi="宋体" w:cs="仿宋"/>
          <w:color w:val="auto"/>
          <w:sz w:val="24"/>
          <w:szCs w:val="24"/>
          <w:highlight w:val="none"/>
        </w:rPr>
      </w:pPr>
      <w:r>
        <w:rPr>
          <w:rFonts w:hint="eastAsia" w:ascii="宋体" w:hAnsi="宋体" w:cs="仿宋"/>
          <w:color w:val="auto"/>
          <w:sz w:val="24"/>
          <w:szCs w:val="24"/>
          <w:highlight w:val="none"/>
          <w:u w:val="single"/>
        </w:rPr>
        <w:t>广西壮族自治区</w:t>
      </w:r>
      <w:r>
        <w:rPr>
          <w:rFonts w:hint="eastAsia" w:ascii="宋体" w:hAnsi="宋体" w:cs="仿宋"/>
          <w:color w:val="auto"/>
          <w:sz w:val="24"/>
          <w:szCs w:val="24"/>
          <w:highlight w:val="none"/>
          <w:u w:val="single"/>
          <w:lang w:eastAsia="zh-CN"/>
        </w:rPr>
        <w:t>水运</w:t>
      </w:r>
      <w:r>
        <w:rPr>
          <w:rFonts w:hint="eastAsia" w:ascii="宋体" w:hAnsi="宋体" w:cs="仿宋"/>
          <w:color w:val="auto"/>
          <w:sz w:val="24"/>
          <w:szCs w:val="24"/>
          <w:highlight w:val="none"/>
          <w:u w:val="single"/>
        </w:rPr>
        <w:t>发展中心</w:t>
      </w:r>
      <w:r>
        <w:rPr>
          <w:rFonts w:hint="eastAsia" w:ascii="宋体" w:hAnsi="宋体" w:cs="仿宋"/>
          <w:color w:val="auto"/>
          <w:sz w:val="24"/>
          <w:szCs w:val="24"/>
          <w:highlight w:val="none"/>
        </w:rPr>
        <w:t>：</w:t>
      </w:r>
    </w:p>
    <w:p w14:paraId="13E1C29B">
      <w:pPr>
        <w:pStyle w:val="45"/>
        <w:snapToGrid w:val="0"/>
        <w:spacing w:line="360" w:lineRule="auto"/>
        <w:ind w:firstLine="561"/>
        <w:rPr>
          <w:rFonts w:ascii="宋体" w:hAnsi="宋体" w:cs="仿宋"/>
          <w:color w:val="auto"/>
          <w:sz w:val="24"/>
          <w:szCs w:val="24"/>
          <w:highlight w:val="none"/>
        </w:rPr>
      </w:pPr>
      <w:r>
        <w:rPr>
          <w:rFonts w:hint="eastAsia" w:ascii="宋体" w:hAnsi="宋体" w:cs="仿宋"/>
          <w:color w:val="auto"/>
          <w:sz w:val="24"/>
          <w:szCs w:val="24"/>
          <w:highlight w:val="none"/>
        </w:rPr>
        <w:t>鉴于</w:t>
      </w:r>
      <w:r>
        <w:rPr>
          <w:rFonts w:hint="eastAsia" w:ascii="宋体" w:hAnsi="宋体" w:cs="仿宋"/>
          <w:color w:val="auto"/>
          <w:sz w:val="24"/>
          <w:szCs w:val="24"/>
          <w:highlight w:val="none"/>
          <w:u w:val="single"/>
        </w:rPr>
        <w:t>广西壮族自治区</w:t>
      </w:r>
      <w:r>
        <w:rPr>
          <w:rFonts w:hint="eastAsia" w:ascii="宋体" w:hAnsi="宋体" w:cs="仿宋"/>
          <w:color w:val="auto"/>
          <w:sz w:val="24"/>
          <w:szCs w:val="24"/>
          <w:highlight w:val="none"/>
          <w:u w:val="single"/>
          <w:lang w:eastAsia="zh-CN"/>
        </w:rPr>
        <w:t>水运</w:t>
      </w:r>
      <w:r>
        <w:rPr>
          <w:rFonts w:hint="eastAsia" w:ascii="宋体" w:hAnsi="宋体" w:cs="仿宋"/>
          <w:color w:val="auto"/>
          <w:sz w:val="24"/>
          <w:szCs w:val="24"/>
          <w:highlight w:val="none"/>
          <w:u w:val="single"/>
        </w:rPr>
        <w:t>发展中心</w:t>
      </w:r>
      <w:r>
        <w:rPr>
          <w:rFonts w:hint="eastAsia" w:ascii="宋体" w:hAnsi="宋体" w:cs="仿宋"/>
          <w:color w:val="auto"/>
          <w:sz w:val="24"/>
          <w:szCs w:val="24"/>
          <w:highlight w:val="none"/>
        </w:rPr>
        <w:t>（下称“业主”）接受</w:t>
      </w:r>
      <w:r>
        <w:rPr>
          <w:rFonts w:hint="eastAsia" w:ascii="宋体" w:hAnsi="宋体" w:cs="仿宋"/>
          <w:color w:val="auto"/>
          <w:sz w:val="24"/>
          <w:szCs w:val="24"/>
          <w:highlight w:val="none"/>
          <w:u w:val="single"/>
        </w:rPr>
        <w:t xml:space="preserve">（测量人全称）  </w:t>
      </w:r>
      <w:r>
        <w:rPr>
          <w:rFonts w:hint="eastAsia" w:ascii="宋体" w:hAnsi="宋体" w:cs="仿宋"/>
          <w:color w:val="auto"/>
          <w:sz w:val="24"/>
          <w:szCs w:val="24"/>
          <w:highlight w:val="none"/>
        </w:rPr>
        <w:t>（下称“测量人”）于</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月</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日参加北海港铁山港区1万至3万吨级锚地工程</w:t>
      </w:r>
      <w:r>
        <w:rPr>
          <w:rFonts w:hint="eastAsia" w:ascii="宋体" w:hAnsi="宋体" w:cs="仿宋"/>
          <w:color w:val="auto"/>
          <w:sz w:val="24"/>
          <w:szCs w:val="24"/>
          <w:highlight w:val="none"/>
          <w:lang w:eastAsia="zh-CN"/>
        </w:rPr>
        <w:t>交工验收测量</w:t>
      </w:r>
      <w:r>
        <w:rPr>
          <w:rFonts w:hint="eastAsia" w:ascii="宋体" w:hAnsi="宋体" w:cs="仿宋"/>
          <w:color w:val="auto"/>
          <w:sz w:val="24"/>
          <w:szCs w:val="24"/>
          <w:highlight w:val="none"/>
        </w:rPr>
        <w:t>的投标。我方愿意无条件地、不可撤消地就测量人履行与你方订立的合同，向你方提供担保。</w:t>
      </w:r>
    </w:p>
    <w:p w14:paraId="4CF4057D">
      <w:pPr>
        <w:pStyle w:val="45"/>
        <w:snapToGrid w:val="0"/>
        <w:spacing w:line="360" w:lineRule="auto"/>
        <w:ind w:firstLine="561"/>
        <w:rPr>
          <w:rFonts w:ascii="宋体" w:hAnsi="宋体" w:cs="仿宋"/>
          <w:color w:val="auto"/>
          <w:sz w:val="24"/>
          <w:szCs w:val="24"/>
          <w:highlight w:val="none"/>
        </w:rPr>
      </w:pPr>
      <w:r>
        <w:rPr>
          <w:rFonts w:hint="eastAsia" w:ascii="宋体" w:hAnsi="宋体" w:cs="仿宋"/>
          <w:color w:val="auto"/>
          <w:sz w:val="24"/>
          <w:szCs w:val="24"/>
          <w:highlight w:val="none"/>
        </w:rPr>
        <w:t>1、担保金额为人民币(大写)</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 xml:space="preserve">        元</w:t>
      </w:r>
      <w:r>
        <w:rPr>
          <w:rFonts w:hint="eastAsia" w:ascii="宋体" w:hAnsi="宋体" w:cs="仿宋"/>
          <w:color w:val="auto"/>
          <w:sz w:val="24"/>
          <w:szCs w:val="24"/>
          <w:highlight w:val="none"/>
        </w:rPr>
        <w:t>）。</w:t>
      </w:r>
    </w:p>
    <w:p w14:paraId="6D203A4B">
      <w:pPr>
        <w:pStyle w:val="45"/>
        <w:snapToGrid w:val="0"/>
        <w:spacing w:line="360" w:lineRule="auto"/>
        <w:ind w:firstLine="561"/>
        <w:rPr>
          <w:rFonts w:ascii="宋体" w:hAnsi="宋体" w:cs="仿宋"/>
          <w:color w:val="auto"/>
          <w:sz w:val="24"/>
          <w:szCs w:val="24"/>
          <w:highlight w:val="none"/>
        </w:rPr>
      </w:pPr>
      <w:r>
        <w:rPr>
          <w:rFonts w:hint="eastAsia" w:ascii="宋体" w:hAnsi="宋体" w:cs="仿宋"/>
          <w:color w:val="auto"/>
          <w:sz w:val="24"/>
          <w:szCs w:val="24"/>
          <w:highlight w:val="none"/>
        </w:rPr>
        <w:t>2、担保有效期自业主与测量人签订的合同生效之日起至测量人按合同要求完成全部测量工作并全部提交合格的资料后30天止。</w:t>
      </w:r>
    </w:p>
    <w:p w14:paraId="32B6DA27">
      <w:pPr>
        <w:pStyle w:val="45"/>
        <w:snapToGrid w:val="0"/>
        <w:spacing w:line="360" w:lineRule="auto"/>
        <w:ind w:firstLine="561"/>
        <w:rPr>
          <w:rFonts w:ascii="宋体" w:hAnsi="宋体" w:cs="仿宋"/>
          <w:color w:val="auto"/>
          <w:sz w:val="24"/>
          <w:szCs w:val="24"/>
          <w:highlight w:val="none"/>
        </w:rPr>
      </w:pPr>
      <w:r>
        <w:rPr>
          <w:rFonts w:hint="eastAsia" w:ascii="宋体" w:hAnsi="宋体" w:cs="仿宋"/>
          <w:color w:val="auto"/>
          <w:sz w:val="24"/>
          <w:szCs w:val="24"/>
          <w:highlight w:val="none"/>
        </w:rPr>
        <w:t>3、在本担保有效期内，因测量人违反合同约定的义务给你方造成经济损失时，我方在收到你方以书面形式提出的在担保金额内的赔偿要求后，7天内无条件支付。</w:t>
      </w:r>
    </w:p>
    <w:p w14:paraId="7EF3E08B">
      <w:pPr>
        <w:pStyle w:val="45"/>
        <w:snapToGrid w:val="0"/>
        <w:spacing w:line="360" w:lineRule="auto"/>
        <w:ind w:firstLine="561"/>
        <w:rPr>
          <w:rFonts w:ascii="宋体" w:hAnsi="宋体" w:cs="仿宋"/>
          <w:color w:val="auto"/>
          <w:sz w:val="24"/>
          <w:szCs w:val="24"/>
          <w:highlight w:val="none"/>
        </w:rPr>
      </w:pPr>
    </w:p>
    <w:p w14:paraId="2734A16C">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 xml:space="preserve">担保银行：   （银行全称）  （盖单位章）  </w:t>
      </w:r>
    </w:p>
    <w:p w14:paraId="2D11BE30">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法定代表人</w:t>
      </w:r>
    </w:p>
    <w:p w14:paraId="396406EE">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或其委托代理人：     (签字)</w:t>
      </w:r>
    </w:p>
    <w:p w14:paraId="32545149">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地    址：</w:t>
      </w:r>
    </w:p>
    <w:p w14:paraId="0A23B091">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邮政编码：</w:t>
      </w:r>
    </w:p>
    <w:p w14:paraId="5A32DDB9">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电    话：</w:t>
      </w:r>
    </w:p>
    <w:p w14:paraId="47983C3A">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传    真：</w:t>
      </w:r>
    </w:p>
    <w:p w14:paraId="7311323B">
      <w:pPr>
        <w:pStyle w:val="45"/>
        <w:snapToGrid w:val="0"/>
        <w:spacing w:line="360" w:lineRule="exact"/>
        <w:ind w:firstLine="3577"/>
        <w:rPr>
          <w:rFonts w:ascii="宋体" w:hAnsi="宋体" w:cs="仿宋"/>
          <w:color w:val="auto"/>
          <w:sz w:val="24"/>
          <w:szCs w:val="24"/>
          <w:highlight w:val="none"/>
        </w:rPr>
      </w:pPr>
      <w:r>
        <w:rPr>
          <w:rFonts w:hint="eastAsia" w:ascii="宋体" w:hAnsi="宋体" w:cs="仿宋"/>
          <w:color w:val="auto"/>
          <w:sz w:val="24"/>
          <w:szCs w:val="24"/>
          <w:highlight w:val="none"/>
        </w:rPr>
        <w:t>日    期：      年     月     日</w:t>
      </w:r>
    </w:p>
    <w:p w14:paraId="1B32675C">
      <w:pPr>
        <w:autoSpaceDE w:val="0"/>
        <w:autoSpaceDN w:val="0"/>
        <w:spacing w:line="360" w:lineRule="auto"/>
        <w:ind w:firstLine="4080" w:firstLineChars="1700"/>
        <w:rPr>
          <w:rFonts w:ascii="宋体" w:hAnsi="宋体" w:cs="宋体"/>
          <w:color w:val="auto"/>
          <w:kern w:val="0"/>
          <w:sz w:val="24"/>
          <w:highlight w:val="none"/>
          <w:lang w:val="zh-CN"/>
        </w:rPr>
        <w:sectPr>
          <w:pgSz w:w="11910" w:h="16840"/>
          <w:pgMar w:top="1340" w:right="1446" w:bottom="1185" w:left="1508" w:header="720" w:footer="720" w:gutter="0"/>
          <w:cols w:space="720" w:num="1"/>
        </w:sectPr>
      </w:pPr>
    </w:p>
    <w:p w14:paraId="6C37A7C9">
      <w:pPr>
        <w:pStyle w:val="2"/>
        <w:jc w:val="center"/>
        <w:rPr>
          <w:color w:val="auto"/>
          <w:highlight w:val="none"/>
        </w:rPr>
      </w:pPr>
      <w:bookmarkStart w:id="177" w:name="_Toc12521"/>
      <w:bookmarkStart w:id="178" w:name="_Toc15147"/>
      <w:bookmarkStart w:id="179" w:name="_Toc10311"/>
      <w:bookmarkStart w:id="180" w:name="_Toc19259"/>
      <w:bookmarkStart w:id="181" w:name="_Toc7406"/>
      <w:bookmarkStart w:id="182" w:name="_Toc7533"/>
      <w:bookmarkStart w:id="183" w:name="_Toc5069"/>
      <w:bookmarkStart w:id="184" w:name="_Toc32704"/>
      <w:bookmarkStart w:id="185" w:name="_Toc13982"/>
      <w:bookmarkStart w:id="186" w:name="_Toc10231"/>
      <w:bookmarkStart w:id="187" w:name="_Toc17101"/>
      <w:bookmarkStart w:id="188" w:name="_Toc28124"/>
      <w:bookmarkStart w:id="189" w:name="_Toc10947"/>
      <w:bookmarkStart w:id="190" w:name="_Toc5554"/>
      <w:r>
        <w:rPr>
          <w:rFonts w:hint="eastAsia"/>
          <w:color w:val="auto"/>
          <w:highlight w:val="none"/>
        </w:rPr>
        <w:t>第</w:t>
      </w:r>
      <w:r>
        <w:rPr>
          <w:rFonts w:hint="eastAsia"/>
          <w:color w:val="auto"/>
          <w:highlight w:val="none"/>
          <w:lang w:eastAsia="zh-CN"/>
        </w:rPr>
        <w:t>七</w:t>
      </w:r>
      <w:r>
        <w:rPr>
          <w:rFonts w:hint="eastAsia"/>
          <w:color w:val="auto"/>
          <w:highlight w:val="none"/>
        </w:rPr>
        <w:t>章 合同条款</w:t>
      </w:r>
      <w:bookmarkEnd w:id="177"/>
      <w:bookmarkEnd w:id="178"/>
      <w:bookmarkEnd w:id="179"/>
      <w:bookmarkEnd w:id="180"/>
      <w:bookmarkEnd w:id="181"/>
      <w:bookmarkEnd w:id="182"/>
      <w:bookmarkEnd w:id="183"/>
      <w:bookmarkEnd w:id="184"/>
      <w:bookmarkEnd w:id="185"/>
      <w:bookmarkEnd w:id="186"/>
      <w:bookmarkEnd w:id="187"/>
      <w:bookmarkEnd w:id="188"/>
    </w:p>
    <w:p w14:paraId="3AB28C42">
      <w:pPr>
        <w:pStyle w:val="45"/>
        <w:spacing w:line="360" w:lineRule="auto"/>
        <w:jc w:val="center"/>
        <w:rPr>
          <w:rFonts w:hint="eastAsia" w:ascii="宋体" w:hAnsi="宋体" w:cs="宋体"/>
          <w:b/>
          <w:bCs/>
          <w:color w:val="auto"/>
          <w:sz w:val="44"/>
          <w:szCs w:val="28"/>
          <w:highlight w:val="none"/>
        </w:rPr>
      </w:pPr>
      <w:bookmarkStart w:id="191" w:name="_Toc6445"/>
      <w:bookmarkStart w:id="192" w:name="_Toc4827"/>
      <w:bookmarkStart w:id="193" w:name="_Toc21039"/>
      <w:bookmarkStart w:id="194" w:name="_Toc22523"/>
      <w:bookmarkStart w:id="195" w:name="_Toc26106"/>
      <w:bookmarkStart w:id="196" w:name="_Toc25321"/>
      <w:r>
        <w:rPr>
          <w:rFonts w:hint="eastAsia" w:ascii="宋体" w:hAnsi="宋体" w:cs="宋体"/>
          <w:b/>
          <w:bCs/>
          <w:color w:val="auto"/>
          <w:sz w:val="44"/>
          <w:szCs w:val="28"/>
          <w:highlight w:val="none"/>
        </w:rPr>
        <w:t>北海港铁山港区1万至3万吨级锚地工程</w:t>
      </w:r>
    </w:p>
    <w:p w14:paraId="5F09E9A3">
      <w:pPr>
        <w:pStyle w:val="45"/>
        <w:spacing w:line="360" w:lineRule="auto"/>
        <w:jc w:val="center"/>
        <w:rPr>
          <w:rFonts w:ascii="宋体" w:hAnsi="宋体" w:cs="宋体"/>
          <w:b/>
          <w:bCs/>
          <w:color w:val="auto"/>
          <w:sz w:val="44"/>
          <w:szCs w:val="28"/>
          <w:highlight w:val="none"/>
        </w:rPr>
      </w:pPr>
      <w:r>
        <w:rPr>
          <w:rFonts w:hint="eastAsia" w:ascii="宋体" w:hAnsi="宋体" w:cs="宋体"/>
          <w:b/>
          <w:bCs/>
          <w:color w:val="auto"/>
          <w:sz w:val="44"/>
          <w:szCs w:val="28"/>
          <w:highlight w:val="none"/>
          <w:lang w:eastAsia="zh-CN"/>
        </w:rPr>
        <w:t>交工验收测量</w:t>
      </w:r>
      <w:r>
        <w:rPr>
          <w:rFonts w:hint="eastAsia" w:ascii="宋体" w:hAnsi="宋体" w:cs="宋体"/>
          <w:b/>
          <w:bCs/>
          <w:color w:val="auto"/>
          <w:sz w:val="44"/>
          <w:szCs w:val="28"/>
          <w:highlight w:val="none"/>
        </w:rPr>
        <w:t>服务合同</w:t>
      </w:r>
    </w:p>
    <w:p w14:paraId="2B23B6B1">
      <w:pPr>
        <w:pStyle w:val="45"/>
        <w:spacing w:line="360" w:lineRule="auto"/>
        <w:jc w:val="center"/>
        <w:rPr>
          <w:rFonts w:ascii="宋体" w:hAnsi="宋体" w:cs="宋体"/>
          <w:color w:val="auto"/>
          <w:sz w:val="44"/>
          <w:szCs w:val="28"/>
          <w:highlight w:val="none"/>
        </w:rPr>
      </w:pPr>
    </w:p>
    <w:p w14:paraId="5A7CF126">
      <w:pPr>
        <w:pStyle w:val="45"/>
        <w:spacing w:line="360" w:lineRule="auto"/>
        <w:jc w:val="center"/>
        <w:rPr>
          <w:rFonts w:ascii="宋体" w:hAnsi="宋体" w:cs="宋体"/>
          <w:color w:val="auto"/>
          <w:sz w:val="44"/>
          <w:szCs w:val="28"/>
          <w:highlight w:val="none"/>
        </w:rPr>
      </w:pPr>
    </w:p>
    <w:p w14:paraId="0FF7829B">
      <w:pPr>
        <w:pStyle w:val="45"/>
        <w:jc w:val="center"/>
        <w:rPr>
          <w:rFonts w:eastAsia="楷体_GB2312"/>
          <w:color w:val="auto"/>
          <w:sz w:val="36"/>
          <w:highlight w:val="none"/>
        </w:rPr>
      </w:pPr>
    </w:p>
    <w:p w14:paraId="3D738D0F">
      <w:pPr>
        <w:pStyle w:val="45"/>
        <w:jc w:val="center"/>
        <w:rPr>
          <w:rFonts w:eastAsia="楷体_GB2312"/>
          <w:color w:val="auto"/>
          <w:sz w:val="36"/>
          <w:highlight w:val="none"/>
        </w:rPr>
      </w:pPr>
    </w:p>
    <w:p w14:paraId="276A517A">
      <w:pPr>
        <w:pStyle w:val="45"/>
        <w:jc w:val="center"/>
        <w:rPr>
          <w:rFonts w:eastAsia="楷体_GB2312"/>
          <w:color w:val="auto"/>
          <w:sz w:val="36"/>
          <w:highlight w:val="none"/>
        </w:rPr>
      </w:pPr>
    </w:p>
    <w:p w14:paraId="51A9F78E">
      <w:pPr>
        <w:pStyle w:val="45"/>
        <w:spacing w:line="360" w:lineRule="auto"/>
        <w:ind w:firstLine="1920" w:firstLineChars="600"/>
        <w:rPr>
          <w:rFonts w:ascii="宋体" w:hAnsi="宋体"/>
          <w:bCs/>
          <w:color w:val="auto"/>
          <w:sz w:val="32"/>
          <w:highlight w:val="none"/>
        </w:rPr>
      </w:pPr>
      <w:r>
        <w:rPr>
          <w:rFonts w:hint="eastAsia" w:ascii="宋体" w:hAnsi="宋体"/>
          <w:bCs/>
          <w:color w:val="auto"/>
          <w:sz w:val="32"/>
          <w:highlight w:val="none"/>
        </w:rPr>
        <w:t>甲方：</w:t>
      </w:r>
      <w:r>
        <w:rPr>
          <w:rFonts w:hint="eastAsia" w:ascii="宋体" w:hAnsi="宋体"/>
          <w:bCs/>
          <w:color w:val="auto"/>
          <w:sz w:val="32"/>
          <w:highlight w:val="none"/>
          <w:u w:val="single"/>
        </w:rPr>
        <w:t xml:space="preserve">广西壮族自治区水运发展中心 </w:t>
      </w:r>
      <w:r>
        <w:rPr>
          <w:rFonts w:ascii="宋体" w:hAnsi="宋体"/>
          <w:bCs/>
          <w:color w:val="auto"/>
          <w:sz w:val="32"/>
          <w:highlight w:val="none"/>
          <w:u w:val="single"/>
        </w:rPr>
        <w:t xml:space="preserve"> </w:t>
      </w:r>
    </w:p>
    <w:p w14:paraId="499AABC4">
      <w:pPr>
        <w:pStyle w:val="45"/>
        <w:spacing w:line="360" w:lineRule="auto"/>
        <w:ind w:left="2555" w:leftChars="912" w:hanging="640" w:hangingChars="200"/>
        <w:rPr>
          <w:rFonts w:ascii="宋体" w:hAnsi="宋体"/>
          <w:bCs/>
          <w:color w:val="auto"/>
          <w:sz w:val="36"/>
          <w:highlight w:val="none"/>
        </w:rPr>
      </w:pPr>
      <w:r>
        <w:rPr>
          <w:rFonts w:hint="eastAsia" w:ascii="宋体" w:hAnsi="宋体"/>
          <w:bCs/>
          <w:color w:val="auto"/>
          <w:sz w:val="32"/>
          <w:highlight w:val="none"/>
        </w:rPr>
        <w:t>乙方：</w:t>
      </w:r>
      <w:r>
        <w:rPr>
          <w:rFonts w:ascii="宋体" w:hAnsi="宋体"/>
          <w:bCs/>
          <w:color w:val="auto"/>
          <w:sz w:val="32"/>
          <w:highlight w:val="none"/>
          <w:u w:val="single"/>
        </w:rPr>
        <w:t xml:space="preserve">                      </w:t>
      </w:r>
      <w:r>
        <w:rPr>
          <w:rFonts w:hint="eastAsia" w:ascii="宋体" w:hAnsi="宋体"/>
          <w:bCs/>
          <w:color w:val="auto"/>
          <w:sz w:val="32"/>
          <w:highlight w:val="none"/>
          <w:u w:val="single"/>
        </w:rPr>
        <w:t xml:space="preserve"> </w:t>
      </w:r>
      <w:r>
        <w:rPr>
          <w:rFonts w:ascii="宋体" w:hAnsi="宋体"/>
          <w:bCs/>
          <w:color w:val="auto"/>
          <w:sz w:val="32"/>
          <w:highlight w:val="none"/>
          <w:u w:val="single"/>
        </w:rPr>
        <w:t xml:space="preserve"> </w:t>
      </w:r>
      <w:r>
        <w:rPr>
          <w:rFonts w:ascii="宋体" w:hAnsi="宋体"/>
          <w:bCs/>
          <w:color w:val="auto"/>
          <w:sz w:val="36"/>
          <w:highlight w:val="none"/>
        </w:rPr>
        <w:t xml:space="preserve">     </w:t>
      </w:r>
    </w:p>
    <w:p w14:paraId="0BDBBE22">
      <w:pPr>
        <w:pStyle w:val="45"/>
        <w:spacing w:line="360" w:lineRule="auto"/>
        <w:ind w:firstLine="1920" w:firstLineChars="600"/>
        <w:rPr>
          <w:rFonts w:ascii="宋体" w:hAnsi="宋体"/>
          <w:bCs/>
          <w:color w:val="auto"/>
          <w:sz w:val="32"/>
          <w:highlight w:val="none"/>
        </w:rPr>
      </w:pPr>
      <w:r>
        <w:rPr>
          <w:rFonts w:hint="eastAsia" w:ascii="宋体" w:hAnsi="宋体"/>
          <w:bCs/>
          <w:color w:val="auto"/>
          <w:sz w:val="32"/>
          <w:highlight w:val="none"/>
        </w:rPr>
        <w:t>签订时间：</w:t>
      </w:r>
      <w:r>
        <w:rPr>
          <w:rFonts w:ascii="宋体" w:hAnsi="宋体"/>
          <w:bCs/>
          <w:color w:val="auto"/>
          <w:sz w:val="32"/>
          <w:highlight w:val="none"/>
          <w:u w:val="single"/>
        </w:rPr>
        <w:t xml:space="preserve">      年    月    日</w:t>
      </w:r>
      <w:r>
        <w:rPr>
          <w:rFonts w:ascii="宋体" w:hAnsi="宋体"/>
          <w:bCs/>
          <w:color w:val="auto"/>
          <w:sz w:val="32"/>
          <w:highlight w:val="none"/>
        </w:rPr>
        <w:t xml:space="preserve">                </w:t>
      </w:r>
    </w:p>
    <w:p w14:paraId="19F077F8">
      <w:pPr>
        <w:pStyle w:val="45"/>
        <w:spacing w:line="360" w:lineRule="auto"/>
        <w:ind w:firstLine="1920" w:firstLineChars="600"/>
        <w:rPr>
          <w:rFonts w:ascii="宋体" w:hAnsi="宋体"/>
          <w:b/>
          <w:color w:val="auto"/>
          <w:sz w:val="32"/>
          <w:highlight w:val="none"/>
        </w:rPr>
      </w:pPr>
      <w:r>
        <w:rPr>
          <w:rFonts w:hint="eastAsia" w:ascii="宋体" w:hAnsi="宋体"/>
          <w:bCs/>
          <w:color w:val="auto"/>
          <w:sz w:val="32"/>
          <w:highlight w:val="none"/>
        </w:rPr>
        <w:t>签订地点：</w:t>
      </w:r>
      <w:r>
        <w:rPr>
          <w:rFonts w:ascii="宋体" w:hAnsi="宋体"/>
          <w:bCs/>
          <w:color w:val="auto"/>
          <w:sz w:val="32"/>
          <w:highlight w:val="none"/>
          <w:u w:val="single"/>
        </w:rPr>
        <w:t xml:space="preserve">      </w:t>
      </w:r>
      <w:r>
        <w:rPr>
          <w:rFonts w:hint="eastAsia" w:ascii="宋体" w:hAnsi="宋体"/>
          <w:bCs/>
          <w:color w:val="auto"/>
          <w:sz w:val="32"/>
          <w:highlight w:val="none"/>
          <w:u w:val="single"/>
          <w:lang w:val="en-US" w:eastAsia="zh-CN"/>
        </w:rPr>
        <w:t xml:space="preserve">  </w:t>
      </w:r>
      <w:r>
        <w:rPr>
          <w:rFonts w:hint="eastAsia" w:ascii="宋体" w:hAnsi="宋体"/>
          <w:bCs/>
          <w:color w:val="auto"/>
          <w:sz w:val="32"/>
          <w:highlight w:val="none"/>
          <w:u w:val="single"/>
        </w:rPr>
        <w:t xml:space="preserve">南宁市 </w:t>
      </w:r>
      <w:r>
        <w:rPr>
          <w:rFonts w:ascii="宋体" w:hAnsi="宋体"/>
          <w:bCs/>
          <w:color w:val="auto"/>
          <w:sz w:val="32"/>
          <w:highlight w:val="none"/>
          <w:u w:val="single"/>
        </w:rPr>
        <w:t xml:space="preserve">   </w:t>
      </w:r>
      <w:r>
        <w:rPr>
          <w:rFonts w:hint="eastAsia" w:ascii="宋体" w:hAnsi="宋体"/>
          <w:bCs/>
          <w:color w:val="auto"/>
          <w:sz w:val="32"/>
          <w:highlight w:val="none"/>
          <w:u w:val="single"/>
          <w:lang w:val="en-US" w:eastAsia="zh-CN"/>
        </w:rPr>
        <w:t xml:space="preserve"> </w:t>
      </w:r>
      <w:r>
        <w:rPr>
          <w:rFonts w:ascii="宋体" w:hAnsi="宋体"/>
          <w:bCs/>
          <w:color w:val="auto"/>
          <w:sz w:val="32"/>
          <w:highlight w:val="none"/>
        </w:rPr>
        <w:t xml:space="preserve">     </w:t>
      </w:r>
      <w:r>
        <w:rPr>
          <w:rFonts w:ascii="宋体" w:hAnsi="宋体"/>
          <w:b/>
          <w:color w:val="auto"/>
          <w:sz w:val="32"/>
          <w:highlight w:val="none"/>
        </w:rPr>
        <w:t xml:space="preserve">              </w:t>
      </w:r>
    </w:p>
    <w:p w14:paraId="1A4BD3C2">
      <w:pPr>
        <w:pStyle w:val="45"/>
        <w:rPr>
          <w:rFonts w:ascii="宋体" w:hAnsi="宋体"/>
          <w:color w:val="auto"/>
          <w:sz w:val="36"/>
          <w:highlight w:val="none"/>
        </w:rPr>
      </w:pPr>
    </w:p>
    <w:p w14:paraId="35442943">
      <w:pPr>
        <w:pStyle w:val="45"/>
        <w:rPr>
          <w:rFonts w:ascii="宋体" w:hAnsi="宋体"/>
          <w:color w:val="auto"/>
          <w:sz w:val="36"/>
          <w:highlight w:val="none"/>
        </w:rPr>
      </w:pPr>
    </w:p>
    <w:p w14:paraId="691C452B">
      <w:pPr>
        <w:pStyle w:val="45"/>
        <w:rPr>
          <w:rFonts w:ascii="宋体" w:hAnsi="宋体"/>
          <w:color w:val="auto"/>
          <w:sz w:val="36"/>
          <w:highlight w:val="none"/>
        </w:rPr>
      </w:pPr>
    </w:p>
    <w:p w14:paraId="1A48B213">
      <w:pPr>
        <w:pStyle w:val="11"/>
        <w:rPr>
          <w:rFonts w:ascii="宋体" w:hAnsi="宋体"/>
          <w:color w:val="auto"/>
          <w:sz w:val="36"/>
          <w:highlight w:val="none"/>
        </w:rPr>
      </w:pPr>
    </w:p>
    <w:p w14:paraId="747C273C">
      <w:pPr>
        <w:pStyle w:val="11"/>
        <w:rPr>
          <w:rFonts w:ascii="宋体" w:hAnsi="宋体"/>
          <w:color w:val="auto"/>
          <w:sz w:val="36"/>
          <w:highlight w:val="none"/>
        </w:rPr>
      </w:pPr>
    </w:p>
    <w:p w14:paraId="78D4B545">
      <w:pPr>
        <w:pStyle w:val="11"/>
        <w:rPr>
          <w:rFonts w:ascii="宋体" w:hAnsi="宋体"/>
          <w:color w:val="auto"/>
          <w:sz w:val="36"/>
          <w:highlight w:val="none"/>
        </w:rPr>
      </w:pPr>
    </w:p>
    <w:p w14:paraId="5494FF39">
      <w:pPr>
        <w:pStyle w:val="11"/>
        <w:rPr>
          <w:rFonts w:ascii="宋体" w:hAnsi="宋体"/>
          <w:color w:val="auto"/>
          <w:sz w:val="36"/>
          <w:highlight w:val="none"/>
        </w:rPr>
      </w:pPr>
    </w:p>
    <w:p w14:paraId="7A40DD7D">
      <w:pPr>
        <w:pStyle w:val="45"/>
        <w:jc w:val="center"/>
        <w:rPr>
          <w:rFonts w:eastAsia="黑体"/>
          <w:color w:val="auto"/>
          <w:sz w:val="44"/>
          <w:highlight w:val="none"/>
        </w:rPr>
      </w:pPr>
    </w:p>
    <w:p w14:paraId="59EF9FEA">
      <w:pPr>
        <w:pStyle w:val="45"/>
        <w:spacing w:line="500" w:lineRule="exact"/>
        <w:jc w:val="center"/>
        <w:outlineLvl w:val="1"/>
        <w:rPr>
          <w:rFonts w:hint="eastAsia" w:ascii="黑体" w:hAnsi="黑体" w:eastAsia="黑体" w:cs="黑体"/>
          <w:color w:val="auto"/>
          <w:sz w:val="32"/>
          <w:szCs w:val="32"/>
          <w:highlight w:val="none"/>
        </w:rPr>
      </w:pPr>
      <w:r>
        <w:rPr>
          <w:rFonts w:hint="eastAsia" w:eastAsia="黑体"/>
          <w:color w:val="auto"/>
          <w:sz w:val="44"/>
          <w:highlight w:val="none"/>
        </w:rPr>
        <w:br w:type="page"/>
      </w:r>
      <w:bookmarkStart w:id="197" w:name="_Toc14739"/>
      <w:bookmarkStart w:id="198" w:name="_Toc5621"/>
      <w:bookmarkStart w:id="199" w:name="_Toc6725"/>
      <w:bookmarkStart w:id="200" w:name="_Toc25812"/>
      <w:bookmarkStart w:id="201" w:name="_Toc1890"/>
      <w:bookmarkStart w:id="202" w:name="_Toc11583"/>
      <w:r>
        <w:rPr>
          <w:rFonts w:hint="eastAsia" w:ascii="黑体" w:hAnsi="黑体" w:eastAsia="黑体" w:cs="黑体"/>
          <w:color w:val="auto"/>
          <w:sz w:val="32"/>
          <w:szCs w:val="32"/>
          <w:highlight w:val="none"/>
          <w:lang w:eastAsia="zh-CN"/>
        </w:rPr>
        <w:t>第一节</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合同协议书</w:t>
      </w:r>
      <w:bookmarkEnd w:id="197"/>
      <w:bookmarkEnd w:id="198"/>
      <w:bookmarkEnd w:id="199"/>
      <w:bookmarkEnd w:id="200"/>
      <w:bookmarkEnd w:id="201"/>
      <w:bookmarkEnd w:id="202"/>
    </w:p>
    <w:p w14:paraId="6B598FA2">
      <w:pPr>
        <w:pStyle w:val="45"/>
        <w:spacing w:line="500" w:lineRule="exact"/>
        <w:jc w:val="center"/>
        <w:rPr>
          <w:rFonts w:hint="eastAsia" w:ascii="仿宋_GB2312" w:hAnsi="仿宋_GB2312" w:eastAsia="仿宋_GB2312" w:cs="仿宋_GB2312"/>
          <w:color w:val="auto"/>
          <w:sz w:val="30"/>
          <w:szCs w:val="30"/>
          <w:highlight w:val="none"/>
        </w:rPr>
      </w:pPr>
    </w:p>
    <w:p w14:paraId="3FD4D669">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sz w:val="30"/>
          <w:szCs w:val="30"/>
          <w:highlight w:val="none"/>
        </w:rPr>
        <w:t>甲方</w:t>
      </w:r>
      <w:r>
        <w:rPr>
          <w:rFonts w:hint="eastAsia" w:ascii="仿宋_GB2312" w:hAnsi="仿宋_GB2312" w:eastAsia="仿宋_GB2312" w:cs="仿宋_GB2312"/>
          <w:color w:val="auto"/>
          <w:sz w:val="30"/>
          <w:szCs w:val="30"/>
          <w:highlight w:val="none"/>
        </w:rPr>
        <w:t>：广西壮族自治区水运发展中心</w:t>
      </w:r>
    </w:p>
    <w:p w14:paraId="103DE152">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sz w:val="30"/>
          <w:szCs w:val="30"/>
          <w:highlight w:val="none"/>
        </w:rPr>
        <w:t>乙方</w:t>
      </w:r>
      <w:r>
        <w:rPr>
          <w:rFonts w:hint="eastAsia" w:ascii="仿宋_GB2312" w:hAnsi="仿宋_GB2312" w:eastAsia="仿宋_GB2312" w:cs="仿宋_GB2312"/>
          <w:color w:val="auto"/>
          <w:sz w:val="30"/>
          <w:szCs w:val="30"/>
          <w:highlight w:val="none"/>
        </w:rPr>
        <w:t xml:space="preserve">： </w:t>
      </w:r>
    </w:p>
    <w:p w14:paraId="64C61356">
      <w:pPr>
        <w:pStyle w:val="45"/>
        <w:spacing w:line="500" w:lineRule="exact"/>
        <w:ind w:firstLine="600" w:firstLineChars="200"/>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甲方委托乙方承担</w:t>
      </w:r>
      <w:r>
        <w:rPr>
          <w:rFonts w:hint="eastAsia" w:ascii="仿宋_GB2312" w:hAnsi="仿宋_GB2312" w:eastAsia="仿宋_GB2312" w:cs="仿宋_GB2312"/>
          <w:color w:val="auto"/>
          <w:sz w:val="30"/>
          <w:szCs w:val="30"/>
          <w:highlight w:val="none"/>
          <w:u w:val="single"/>
        </w:rPr>
        <w:t>北海港铁山港区1万至3万吨级锚地工程</w:t>
      </w:r>
      <w:r>
        <w:rPr>
          <w:rFonts w:hint="eastAsia" w:ascii="仿宋_GB2312" w:hAnsi="仿宋_GB2312" w:eastAsia="仿宋_GB2312" w:cs="仿宋_GB2312"/>
          <w:color w:val="auto"/>
          <w:sz w:val="30"/>
          <w:szCs w:val="30"/>
          <w:highlight w:val="none"/>
          <w:u w:val="single"/>
          <w:lang w:eastAsia="zh-CN"/>
        </w:rPr>
        <w:t>交工验收测量</w:t>
      </w:r>
      <w:r>
        <w:rPr>
          <w:rFonts w:hint="eastAsia" w:ascii="仿宋_GB2312" w:hAnsi="仿宋_GB2312" w:eastAsia="仿宋_GB2312" w:cs="仿宋_GB2312"/>
          <w:color w:val="auto"/>
          <w:sz w:val="30"/>
          <w:szCs w:val="30"/>
          <w:highlight w:val="none"/>
          <w:u w:val="single"/>
        </w:rPr>
        <w:t>服务</w:t>
      </w:r>
      <w:r>
        <w:rPr>
          <w:rFonts w:hint="eastAsia" w:ascii="仿宋_GB2312" w:hAnsi="仿宋_GB2312" w:eastAsia="仿宋_GB2312" w:cs="仿宋_GB2312"/>
          <w:color w:val="auto"/>
          <w:sz w:val="30"/>
          <w:szCs w:val="30"/>
          <w:highlight w:val="none"/>
        </w:rPr>
        <w:t>工作，并支付相应的服务报酬。双方经过平等协商，在真实、充分地表达各自意愿的基础上，根据《中华人民共和国民法典》的规定，达成如下协议，并由双方共同恪守。</w:t>
      </w:r>
    </w:p>
    <w:p w14:paraId="49963A71">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第一条 本协议书与下列文件一起构成合同文件：</w:t>
      </w:r>
    </w:p>
    <w:p w14:paraId="6A6711F3">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国家及地方、行业有关本专业的法律、法规及相关技术标准和要求。</w:t>
      </w:r>
    </w:p>
    <w:p w14:paraId="074B9757">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建设工程批准文件。</w:t>
      </w:r>
    </w:p>
    <w:p w14:paraId="06A9CA12">
      <w:pPr>
        <w:pStyle w:val="45"/>
        <w:spacing w:line="500" w:lineRule="exact"/>
        <w:ind w:firstLine="600" w:firstLineChars="20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合同协议书</w:t>
      </w:r>
      <w:r>
        <w:rPr>
          <w:rFonts w:hint="eastAsia" w:ascii="仿宋_GB2312" w:hAnsi="仿宋_GB2312" w:eastAsia="仿宋_GB2312" w:cs="仿宋_GB2312"/>
          <w:color w:val="auto"/>
          <w:sz w:val="30"/>
          <w:szCs w:val="30"/>
          <w:highlight w:val="none"/>
          <w:lang w:eastAsia="zh-CN"/>
        </w:rPr>
        <w:t>及补充协议书。</w:t>
      </w:r>
    </w:p>
    <w:p w14:paraId="3FE0F97C">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.中标通知书；</w:t>
      </w:r>
    </w:p>
    <w:p w14:paraId="7FACC74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.投标函及投标函附录；</w:t>
      </w:r>
    </w:p>
    <w:p w14:paraId="54F6911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.采购需求；</w:t>
      </w:r>
    </w:p>
    <w:p w14:paraId="0289FEC8">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rPr>
        <w:t>.报价清单；</w:t>
      </w:r>
    </w:p>
    <w:p w14:paraId="2C1FC7A4">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8</w:t>
      </w:r>
      <w:r>
        <w:rPr>
          <w:rFonts w:hint="eastAsia" w:ascii="仿宋_GB2312" w:hAnsi="仿宋_GB2312" w:eastAsia="仿宋_GB2312" w:cs="仿宋_GB2312"/>
          <w:color w:val="auto"/>
          <w:sz w:val="30"/>
          <w:szCs w:val="30"/>
          <w:highlight w:val="none"/>
        </w:rPr>
        <w:t>.服务方案；</w:t>
      </w:r>
    </w:p>
    <w:p w14:paraId="51C87FEC">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9</w:t>
      </w:r>
      <w:r>
        <w:rPr>
          <w:rFonts w:hint="eastAsia" w:ascii="仿宋_GB2312" w:hAnsi="仿宋_GB2312" w:eastAsia="仿宋_GB2312" w:cs="仿宋_GB2312"/>
          <w:color w:val="auto"/>
          <w:sz w:val="30"/>
          <w:szCs w:val="30"/>
          <w:highlight w:val="none"/>
        </w:rPr>
        <w:t>.构成本合同组成部分的其他文件(补遗书、澄清函)。</w:t>
      </w:r>
    </w:p>
    <w:p w14:paraId="063E2233">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上述合同文件互相补充和解释。如果合同文件之间存在矛盾或不一致之处，以上述文件的排列顺序在先者为准。</w:t>
      </w:r>
    </w:p>
    <w:p w14:paraId="7049862D">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第二条：甲方委托乙方进行服务的内容如下：</w:t>
      </w:r>
    </w:p>
    <w:p w14:paraId="7D1562D5">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1．项目概况：</w:t>
      </w:r>
    </w:p>
    <w:p w14:paraId="26CF2D47">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（1）项目名称：北海港铁山港区1万至3万吨级锚地工程</w:t>
      </w:r>
      <w:r>
        <w:rPr>
          <w:rFonts w:hint="eastAsia" w:ascii="仿宋_GB2312" w:hAnsi="仿宋_GB2312" w:eastAsia="仿宋_GB2312" w:cs="仿宋_GB2312"/>
          <w:color w:val="auto"/>
          <w:sz w:val="30"/>
          <w:szCs w:val="30"/>
          <w:highlight w:val="none"/>
          <w:lang w:eastAsia="zh-CN"/>
        </w:rPr>
        <w:t>交工验收测量</w:t>
      </w:r>
      <w:r>
        <w:rPr>
          <w:rFonts w:hint="eastAsia" w:ascii="仿宋_GB2312" w:hAnsi="仿宋_GB2312" w:eastAsia="仿宋_GB2312" w:cs="仿宋_GB2312"/>
          <w:color w:val="auto"/>
          <w:sz w:val="30"/>
          <w:szCs w:val="30"/>
          <w:highlight w:val="none"/>
        </w:rPr>
        <w:t>服务</w:t>
      </w:r>
    </w:p>
    <w:p w14:paraId="0A6A8F60">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（2）建设地点：</w:t>
      </w:r>
      <w:r>
        <w:rPr>
          <w:rFonts w:hint="eastAsia" w:ascii="仿宋_GB2312" w:hAnsi="仿宋_GB2312" w:eastAsia="仿宋_GB2312" w:cs="仿宋_GB2312"/>
          <w:color w:val="auto"/>
          <w:sz w:val="30"/>
          <w:szCs w:val="30"/>
          <w:highlight w:val="none"/>
          <w:u w:val="single"/>
        </w:rPr>
        <w:t>铁山湾3号锚地</w:t>
      </w:r>
    </w:p>
    <w:p w14:paraId="02AEEAD8">
      <w:pPr>
        <w:pStyle w:val="45"/>
        <w:spacing w:line="500" w:lineRule="exact"/>
        <w:ind w:firstLine="600" w:firstLineChars="200"/>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2．服务的内容：</w:t>
      </w:r>
      <w:r>
        <w:rPr>
          <w:rFonts w:hint="eastAsia" w:ascii="仿宋_GB2312" w:hAnsi="仿宋_GB2312" w:eastAsia="仿宋_GB2312" w:cs="仿宋_GB2312"/>
          <w:color w:val="auto"/>
          <w:sz w:val="30"/>
          <w:szCs w:val="30"/>
          <w:highlight w:val="none"/>
          <w:u w:val="single"/>
        </w:rPr>
        <w:t>北海港铁山港区1万至3万吨级锚地工程</w:t>
      </w:r>
      <w:r>
        <w:rPr>
          <w:rFonts w:hint="eastAsia" w:ascii="仿宋_GB2312" w:hAnsi="仿宋_GB2312" w:eastAsia="仿宋_GB2312" w:cs="仿宋_GB2312"/>
          <w:color w:val="auto"/>
          <w:sz w:val="30"/>
          <w:szCs w:val="30"/>
          <w:highlight w:val="none"/>
          <w:u w:val="single"/>
          <w:lang w:eastAsia="zh-CN"/>
        </w:rPr>
        <w:t>交工验收测量</w:t>
      </w:r>
      <w:r>
        <w:rPr>
          <w:rFonts w:hint="eastAsia" w:ascii="仿宋_GB2312" w:hAnsi="仿宋_GB2312" w:eastAsia="仿宋_GB2312" w:cs="仿宋_GB2312"/>
          <w:color w:val="auto"/>
          <w:sz w:val="30"/>
          <w:szCs w:val="30"/>
          <w:highlight w:val="none"/>
          <w:u w:val="single"/>
        </w:rPr>
        <w:t>服务</w:t>
      </w:r>
      <w:r>
        <w:rPr>
          <w:rFonts w:hint="eastAsia" w:ascii="仿宋_GB2312" w:hAnsi="仿宋_GB2312" w:eastAsia="仿宋_GB2312" w:cs="仿宋_GB2312"/>
          <w:color w:val="auto"/>
          <w:sz w:val="30"/>
          <w:szCs w:val="30"/>
          <w:highlight w:val="none"/>
        </w:rPr>
        <w:t>工作</w:t>
      </w:r>
      <w:r>
        <w:rPr>
          <w:rFonts w:hint="eastAsia" w:ascii="仿宋_GB2312" w:hAnsi="仿宋_GB2312" w:eastAsia="仿宋_GB2312" w:cs="仿宋_GB2312"/>
          <w:color w:val="auto"/>
          <w:sz w:val="30"/>
          <w:szCs w:val="30"/>
          <w:highlight w:val="none"/>
          <w:u w:val="single"/>
          <w:lang w:val="en-GB"/>
        </w:rPr>
        <w:t>，对北海港铁山港区1万至3万吨级锚地工程进行交工验收前</w:t>
      </w:r>
      <w:r>
        <w:rPr>
          <w:rFonts w:hint="eastAsia" w:ascii="仿宋_GB2312" w:hAnsi="仿宋_GB2312" w:eastAsia="仿宋_GB2312" w:cs="仿宋_GB2312"/>
          <w:color w:val="auto"/>
          <w:sz w:val="30"/>
          <w:szCs w:val="30"/>
          <w:highlight w:val="none"/>
          <w:u w:val="single"/>
          <w:lang w:val="en-GB" w:eastAsia="zh-CN"/>
        </w:rPr>
        <w:t>交工验收测量</w:t>
      </w:r>
      <w:r>
        <w:rPr>
          <w:rFonts w:hint="eastAsia" w:ascii="仿宋_GB2312" w:hAnsi="仿宋_GB2312" w:eastAsia="仿宋_GB2312" w:cs="仿宋_GB2312"/>
          <w:color w:val="auto"/>
          <w:sz w:val="30"/>
          <w:szCs w:val="30"/>
          <w:highlight w:val="none"/>
          <w:u w:val="single"/>
          <w:lang w:val="en-GB"/>
        </w:rPr>
        <w:t>，测量面积约</w:t>
      </w:r>
      <w:r>
        <w:rPr>
          <w:rFonts w:hint="eastAsia" w:ascii="仿宋_GB2312" w:hAnsi="仿宋_GB2312" w:eastAsia="仿宋_GB2312" w:cs="仿宋_GB2312"/>
          <w:color w:val="auto"/>
          <w:sz w:val="30"/>
          <w:szCs w:val="30"/>
          <w:highlight w:val="none"/>
          <w:u w:val="single"/>
        </w:rPr>
        <w:t>16.07平方公里。</w:t>
      </w:r>
    </w:p>
    <w:p w14:paraId="70E042F6">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3．服务的标准：乙方根据国家有关法律法规和</w:t>
      </w:r>
      <w:r>
        <w:rPr>
          <w:rFonts w:hint="eastAsia" w:ascii="仿宋_GB2312" w:hAnsi="仿宋_GB2312" w:eastAsia="仿宋_GB2312" w:cs="仿宋_GB2312"/>
          <w:color w:val="auto"/>
          <w:sz w:val="30"/>
          <w:szCs w:val="30"/>
          <w:highlight w:val="none"/>
          <w:u w:val="single"/>
          <w:lang w:val="en-GB"/>
        </w:rPr>
        <w:t>现行相关规范、规定、标准要求，</w:t>
      </w:r>
      <w:r>
        <w:rPr>
          <w:rFonts w:hint="eastAsia" w:ascii="仿宋_GB2312" w:hAnsi="仿宋_GB2312" w:eastAsia="仿宋_GB2312" w:cs="仿宋_GB2312"/>
          <w:color w:val="auto"/>
          <w:sz w:val="30"/>
          <w:szCs w:val="30"/>
          <w:highlight w:val="none"/>
        </w:rPr>
        <w:t>开展</w:t>
      </w:r>
      <w:r>
        <w:rPr>
          <w:rFonts w:hint="eastAsia" w:ascii="仿宋_GB2312" w:hAnsi="仿宋_GB2312" w:eastAsia="仿宋_GB2312" w:cs="仿宋_GB2312"/>
          <w:color w:val="auto"/>
          <w:sz w:val="30"/>
          <w:szCs w:val="30"/>
          <w:highlight w:val="none"/>
          <w:u w:val="single"/>
        </w:rPr>
        <w:t>测量</w:t>
      </w:r>
      <w:r>
        <w:rPr>
          <w:rFonts w:hint="eastAsia" w:ascii="仿宋_GB2312" w:hAnsi="仿宋_GB2312" w:eastAsia="仿宋_GB2312" w:cs="仿宋_GB2312"/>
          <w:color w:val="auto"/>
          <w:sz w:val="30"/>
          <w:szCs w:val="30"/>
          <w:highlight w:val="none"/>
        </w:rPr>
        <w:t>工作，有关工作成果</w:t>
      </w:r>
      <w:r>
        <w:rPr>
          <w:rFonts w:hint="eastAsia" w:ascii="仿宋_GB2312" w:hAnsi="仿宋_GB2312" w:eastAsia="仿宋_GB2312" w:cs="仿宋_GB2312"/>
          <w:color w:val="auto"/>
          <w:sz w:val="30"/>
          <w:szCs w:val="30"/>
          <w:highlight w:val="none"/>
          <w:u w:val="single"/>
        </w:rPr>
        <w:t>符合</w:t>
      </w:r>
      <w:r>
        <w:rPr>
          <w:rFonts w:hint="eastAsia" w:ascii="仿宋_GB2312" w:hAnsi="仿宋_GB2312" w:eastAsia="仿宋_GB2312" w:cs="仿宋_GB2312"/>
          <w:color w:val="auto"/>
          <w:sz w:val="30"/>
          <w:szCs w:val="30"/>
          <w:highlight w:val="none"/>
          <w:u w:val="single"/>
          <w:lang w:val="en-GB"/>
        </w:rPr>
        <w:t>国家及行业现行相关规范、规定、标准要求，最终通过专家评审，验收合格</w:t>
      </w:r>
      <w:r>
        <w:rPr>
          <w:rFonts w:hint="eastAsia" w:ascii="仿宋_GB2312" w:hAnsi="仿宋_GB2312" w:eastAsia="仿宋_GB2312" w:cs="仿宋_GB2312"/>
          <w:color w:val="auto"/>
          <w:sz w:val="30"/>
          <w:szCs w:val="30"/>
          <w:highlight w:val="none"/>
          <w:u w:val="single"/>
          <w:lang w:val="en-GB" w:eastAsia="zh-CN"/>
        </w:rPr>
        <w:t>；符合涉水工程通航安全技术参数备案、</w:t>
      </w:r>
      <w:r>
        <w:rPr>
          <w:rFonts w:hint="eastAsia" w:ascii="宋体" w:hAnsi="宋体" w:cs="宋体"/>
          <w:color w:val="auto"/>
          <w:sz w:val="24"/>
          <w:highlight w:val="none"/>
          <w:lang w:val="en-US" w:eastAsia="zh-CN" w:bidi="ar"/>
        </w:rPr>
        <w:t>锚地对外公布、海图发布</w:t>
      </w:r>
      <w:r>
        <w:rPr>
          <w:rFonts w:hint="eastAsia" w:ascii="仿宋_GB2312" w:hAnsi="仿宋_GB2312" w:eastAsia="仿宋_GB2312" w:cs="仿宋_GB2312"/>
          <w:color w:val="auto"/>
          <w:sz w:val="30"/>
          <w:szCs w:val="30"/>
          <w:highlight w:val="none"/>
          <w:u w:val="single"/>
          <w:lang w:val="en-GB" w:eastAsia="zh-CN"/>
        </w:rPr>
        <w:t>等</w:t>
      </w:r>
      <w:r>
        <w:rPr>
          <w:rFonts w:hint="eastAsia" w:ascii="仿宋_GB2312" w:hAnsi="仿宋_GB2312" w:eastAsia="仿宋_GB2312" w:cs="仿宋_GB2312"/>
          <w:color w:val="auto"/>
          <w:sz w:val="30"/>
          <w:szCs w:val="30"/>
          <w:highlight w:val="none"/>
          <w:u w:val="single"/>
          <w:lang w:val="en-US" w:eastAsia="zh-CN"/>
        </w:rPr>
        <w:t>相关</w:t>
      </w:r>
      <w:r>
        <w:rPr>
          <w:rFonts w:hint="eastAsia" w:ascii="仿宋_GB2312" w:hAnsi="仿宋_GB2312" w:eastAsia="仿宋_GB2312" w:cs="仿宋_GB2312"/>
          <w:color w:val="auto"/>
          <w:sz w:val="30"/>
          <w:szCs w:val="30"/>
          <w:highlight w:val="none"/>
          <w:u w:val="single"/>
          <w:lang w:val="en-GB" w:eastAsia="zh-CN"/>
        </w:rPr>
        <w:t>要求</w:t>
      </w:r>
      <w:r>
        <w:rPr>
          <w:rFonts w:hint="eastAsia" w:ascii="仿宋_GB2312" w:hAnsi="仿宋_GB2312" w:eastAsia="仿宋_GB2312" w:cs="仿宋_GB2312"/>
          <w:color w:val="auto"/>
          <w:sz w:val="30"/>
          <w:szCs w:val="30"/>
          <w:highlight w:val="none"/>
        </w:rPr>
        <w:t xml:space="preserve">。 </w:t>
      </w:r>
    </w:p>
    <w:p w14:paraId="0438959A">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第三条：乙方应按下列要求完成服务工作：</w:t>
      </w:r>
    </w:p>
    <w:p w14:paraId="2B0887DC">
      <w:pPr>
        <w:pStyle w:val="45"/>
        <w:spacing w:line="500" w:lineRule="exact"/>
        <w:ind w:firstLine="600" w:firstLineChars="200"/>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1．服务地点：</w:t>
      </w:r>
      <w:r>
        <w:rPr>
          <w:rFonts w:hint="eastAsia" w:ascii="仿宋_GB2312" w:hAnsi="仿宋_GB2312" w:eastAsia="仿宋_GB2312" w:cs="仿宋_GB2312"/>
          <w:color w:val="auto"/>
          <w:sz w:val="30"/>
          <w:szCs w:val="30"/>
          <w:highlight w:val="none"/>
          <w:u w:val="single"/>
        </w:rPr>
        <w:t xml:space="preserve"> 本项目所在地                 </w:t>
      </w:r>
      <w:r>
        <w:rPr>
          <w:rFonts w:hint="eastAsia" w:ascii="仿宋_GB2312" w:hAnsi="仿宋_GB2312" w:eastAsia="仿宋_GB2312" w:cs="仿宋_GB2312"/>
          <w:color w:val="auto"/>
          <w:sz w:val="30"/>
          <w:szCs w:val="30"/>
          <w:highlight w:val="none"/>
        </w:rPr>
        <w:t>。</w:t>
      </w:r>
    </w:p>
    <w:p w14:paraId="4A4A408E">
      <w:pPr>
        <w:pStyle w:val="45"/>
        <w:spacing w:line="500" w:lineRule="exact"/>
        <w:ind w:firstLine="600" w:firstLineChars="200"/>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2．服务期限：</w:t>
      </w:r>
      <w:r>
        <w:rPr>
          <w:rFonts w:hint="eastAsia" w:ascii="仿宋_GB2312" w:hAnsi="仿宋_GB2312" w:eastAsia="仿宋_GB2312" w:cs="仿宋_GB2312"/>
          <w:bCs/>
          <w:color w:val="auto"/>
          <w:sz w:val="30"/>
          <w:szCs w:val="30"/>
          <w:highlight w:val="none"/>
        </w:rPr>
        <w:t>20个日历天内完成测量外业及内业工作并提交测量成果文件，具体开始时间由采购人另行通知</w:t>
      </w:r>
      <w:r>
        <w:rPr>
          <w:rFonts w:hint="eastAsia" w:ascii="仿宋_GB2312" w:hAnsi="仿宋_GB2312" w:eastAsia="仿宋_GB2312" w:cs="仿宋_GB2312"/>
          <w:color w:val="auto"/>
          <w:sz w:val="30"/>
          <w:szCs w:val="30"/>
          <w:highlight w:val="none"/>
          <w:lang w:bidi="ar"/>
        </w:rPr>
        <w:t>。</w:t>
      </w:r>
    </w:p>
    <w:p w14:paraId="032A155C">
      <w:pPr>
        <w:pStyle w:val="45"/>
        <w:spacing w:line="5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3．提交成果要求：</w:t>
      </w:r>
    </w:p>
    <w:p w14:paraId="42A0D17B">
      <w:pPr>
        <w:pStyle w:val="45"/>
        <w:spacing w:line="5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（1）乙方按照现行《水运工程测量规范》等国家和行业的标准规范的规定，提交所测绘的</w:t>
      </w:r>
      <w:r>
        <w:rPr>
          <w:rFonts w:hint="eastAsia" w:ascii="仿宋_GB2312" w:hAnsi="仿宋_GB2312" w:eastAsia="仿宋_GB2312" w:cs="仿宋_GB2312"/>
          <w:bCs/>
          <w:color w:val="auto"/>
          <w:sz w:val="30"/>
          <w:szCs w:val="30"/>
          <w:highlight w:val="none"/>
          <w:lang w:eastAsia="zh-CN"/>
        </w:rPr>
        <w:t>交工验收测量</w:t>
      </w:r>
      <w:r>
        <w:rPr>
          <w:rFonts w:hint="eastAsia" w:ascii="仿宋_GB2312" w:hAnsi="仿宋_GB2312" w:eastAsia="仿宋_GB2312" w:cs="仿宋_GB2312"/>
          <w:bCs/>
          <w:color w:val="auto"/>
          <w:sz w:val="30"/>
          <w:szCs w:val="30"/>
          <w:highlight w:val="none"/>
        </w:rPr>
        <w:t>等图纸、测量工作技术报告等测量成果</w:t>
      </w:r>
      <w:r>
        <w:rPr>
          <w:rFonts w:hint="eastAsia" w:ascii="仿宋_GB2312" w:hAnsi="仿宋_GB2312" w:eastAsia="仿宋_GB2312" w:cs="仿宋_GB2312"/>
          <w:bCs/>
          <w:color w:val="auto"/>
          <w:sz w:val="30"/>
          <w:szCs w:val="30"/>
          <w:highlight w:val="none"/>
          <w:lang w:eastAsia="zh-CN"/>
        </w:rPr>
        <w:t>。</w:t>
      </w:r>
    </w:p>
    <w:p w14:paraId="3B86FF43">
      <w:pPr>
        <w:pStyle w:val="45"/>
        <w:spacing w:line="5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（2）成果形式及份数：</w:t>
      </w:r>
    </w:p>
    <w:p w14:paraId="3D01CDF4">
      <w:pPr>
        <w:pStyle w:val="45"/>
        <w:spacing w:line="5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1.</w:t>
      </w:r>
      <w:r>
        <w:rPr>
          <w:rFonts w:hint="eastAsia" w:ascii="仿宋_GB2312" w:hAnsi="仿宋_GB2312" w:eastAsia="仿宋_GB2312" w:cs="仿宋_GB2312"/>
          <w:bCs/>
          <w:color w:val="auto"/>
          <w:sz w:val="30"/>
          <w:szCs w:val="30"/>
          <w:highlight w:val="none"/>
          <w:lang w:eastAsia="zh-CN"/>
        </w:rPr>
        <w:t>根据评审需要，按</w:t>
      </w:r>
      <w:r>
        <w:rPr>
          <w:rFonts w:hint="eastAsia" w:ascii="仿宋_GB2312" w:hAnsi="仿宋_GB2312" w:eastAsia="仿宋_GB2312" w:cs="仿宋_GB2312"/>
          <w:bCs/>
          <w:color w:val="auto"/>
          <w:sz w:val="30"/>
          <w:szCs w:val="30"/>
          <w:highlight w:val="none"/>
          <w:lang w:val="en-US" w:eastAsia="zh-CN"/>
        </w:rPr>
        <w:t>甲方</w:t>
      </w:r>
      <w:r>
        <w:rPr>
          <w:rFonts w:hint="eastAsia" w:ascii="仿宋_GB2312" w:hAnsi="仿宋_GB2312" w:eastAsia="仿宋_GB2312" w:cs="仿宋_GB2312"/>
          <w:bCs/>
          <w:color w:val="auto"/>
          <w:sz w:val="30"/>
          <w:szCs w:val="30"/>
          <w:highlight w:val="none"/>
          <w:lang w:eastAsia="zh-CN"/>
        </w:rPr>
        <w:t>要求的份数</w:t>
      </w:r>
      <w:r>
        <w:rPr>
          <w:rFonts w:hint="eastAsia" w:ascii="仿宋_GB2312" w:hAnsi="仿宋_GB2312" w:eastAsia="仿宋_GB2312" w:cs="仿宋_GB2312"/>
          <w:bCs/>
          <w:color w:val="auto"/>
          <w:sz w:val="30"/>
          <w:szCs w:val="30"/>
          <w:highlight w:val="none"/>
        </w:rPr>
        <w:t>提交符合要求的成果报告送审稿。</w:t>
      </w:r>
    </w:p>
    <w:p w14:paraId="606BB845">
      <w:pPr>
        <w:pStyle w:val="45"/>
        <w:spacing w:line="5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w:t>
      </w:r>
      <w:r>
        <w:rPr>
          <w:rFonts w:hint="eastAsia" w:ascii="仿宋_GB2312" w:hAnsi="仿宋_GB2312" w:eastAsia="仿宋_GB2312" w:cs="仿宋_GB2312"/>
          <w:bCs/>
          <w:color w:val="auto"/>
          <w:sz w:val="30"/>
          <w:szCs w:val="30"/>
          <w:highlight w:val="none"/>
          <w:lang w:eastAsia="zh-CN"/>
        </w:rPr>
        <w:t>按评审意见要求</w:t>
      </w:r>
      <w:r>
        <w:rPr>
          <w:rFonts w:hint="eastAsia" w:ascii="仿宋_GB2312" w:hAnsi="仿宋_GB2312" w:eastAsia="仿宋_GB2312" w:cs="仿宋_GB2312"/>
          <w:bCs/>
          <w:color w:val="auto"/>
          <w:sz w:val="30"/>
          <w:szCs w:val="30"/>
          <w:highlight w:val="none"/>
        </w:rPr>
        <w:t>修改完善后</w:t>
      </w:r>
      <w:r>
        <w:rPr>
          <w:rFonts w:hint="eastAsia" w:ascii="仿宋_GB2312" w:hAnsi="仿宋_GB2312" w:eastAsia="仿宋_GB2312" w:cs="仿宋_GB2312"/>
          <w:bCs/>
          <w:color w:val="auto"/>
          <w:sz w:val="30"/>
          <w:szCs w:val="30"/>
          <w:highlight w:val="none"/>
          <w:lang w:eastAsia="zh-CN"/>
        </w:rPr>
        <w:t>提交含（但不限于）下表资料：其中</w:t>
      </w:r>
      <w:r>
        <w:rPr>
          <w:rFonts w:hint="eastAsia" w:ascii="仿宋_GB2312" w:hAnsi="仿宋_GB2312" w:eastAsia="仿宋_GB2312" w:cs="仿宋_GB2312"/>
          <w:bCs/>
          <w:color w:val="auto"/>
          <w:sz w:val="30"/>
          <w:szCs w:val="30"/>
          <w:highlight w:val="none"/>
        </w:rPr>
        <w:t>所有最终成果电子文件数据U盘2个，包括可编辑文档、CAD格式数据和按要求签章的PDF成果文件等。</w:t>
      </w:r>
    </w:p>
    <w:p w14:paraId="25A7D485">
      <w:pPr>
        <w:pStyle w:val="46"/>
        <w:widowControl/>
        <w:spacing w:line="5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需提交测量成果资料表</w:t>
      </w:r>
    </w:p>
    <w:tbl>
      <w:tblPr>
        <w:tblStyle w:val="26"/>
        <w:tblW w:w="477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99"/>
        <w:gridCol w:w="4124"/>
        <w:gridCol w:w="914"/>
        <w:gridCol w:w="3581"/>
      </w:tblGrid>
      <w:tr w14:paraId="25565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04EA25CE">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序号</w:t>
            </w:r>
          </w:p>
        </w:tc>
        <w:tc>
          <w:tcPr>
            <w:tcW w:w="2188" w:type="pct"/>
            <w:tcBorders>
              <w:top w:val="single" w:color="auto" w:sz="4" w:space="0"/>
              <w:left w:val="single" w:color="auto" w:sz="4" w:space="0"/>
              <w:bottom w:val="single" w:color="auto" w:sz="4" w:space="0"/>
              <w:right w:val="single" w:color="auto" w:sz="4" w:space="0"/>
            </w:tcBorders>
            <w:vAlign w:val="center"/>
          </w:tcPr>
          <w:p w14:paraId="0DBB0578">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成果资料名称</w:t>
            </w:r>
          </w:p>
        </w:tc>
        <w:tc>
          <w:tcPr>
            <w:tcW w:w="485" w:type="pct"/>
            <w:tcBorders>
              <w:top w:val="single" w:color="auto" w:sz="4" w:space="0"/>
              <w:left w:val="single" w:color="auto" w:sz="4" w:space="0"/>
              <w:bottom w:val="single" w:color="auto" w:sz="4" w:space="0"/>
              <w:right w:val="single" w:color="auto" w:sz="4" w:space="0"/>
            </w:tcBorders>
            <w:vAlign w:val="center"/>
          </w:tcPr>
          <w:p w14:paraId="73FEC885">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数量</w:t>
            </w:r>
          </w:p>
        </w:tc>
        <w:tc>
          <w:tcPr>
            <w:tcW w:w="1900" w:type="pct"/>
            <w:tcBorders>
              <w:top w:val="single" w:color="auto" w:sz="4" w:space="0"/>
              <w:left w:val="single" w:color="auto" w:sz="4" w:space="0"/>
              <w:bottom w:val="single" w:color="auto" w:sz="4" w:space="0"/>
              <w:right w:val="single" w:color="auto" w:sz="4" w:space="0"/>
            </w:tcBorders>
            <w:vAlign w:val="center"/>
          </w:tcPr>
          <w:p w14:paraId="3D68DCD8">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备  注</w:t>
            </w:r>
          </w:p>
        </w:tc>
      </w:tr>
      <w:tr w14:paraId="29916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0A3EE5C1">
            <w:pPr>
              <w:pStyle w:val="46"/>
              <w:widowControl/>
              <w:spacing w:line="500" w:lineRule="exact"/>
              <w:jc w:val="center"/>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1</w:t>
            </w:r>
          </w:p>
        </w:tc>
        <w:tc>
          <w:tcPr>
            <w:tcW w:w="2188" w:type="pct"/>
            <w:tcBorders>
              <w:top w:val="single" w:color="auto" w:sz="4" w:space="0"/>
              <w:left w:val="single" w:color="auto" w:sz="4" w:space="0"/>
              <w:bottom w:val="single" w:color="auto" w:sz="4" w:space="0"/>
              <w:right w:val="single" w:color="auto" w:sz="4" w:space="0"/>
            </w:tcBorders>
            <w:vAlign w:val="center"/>
          </w:tcPr>
          <w:p w14:paraId="4807BF83">
            <w:pPr>
              <w:pStyle w:val="46"/>
              <w:widowControl/>
              <w:spacing w:line="500" w:lineRule="exact"/>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1:500高程地形图图纸（蓝晒图）</w:t>
            </w:r>
          </w:p>
        </w:tc>
        <w:tc>
          <w:tcPr>
            <w:tcW w:w="485" w:type="pct"/>
            <w:tcBorders>
              <w:top w:val="single" w:color="auto" w:sz="4" w:space="0"/>
              <w:left w:val="single" w:color="auto" w:sz="4" w:space="0"/>
              <w:bottom w:val="single" w:color="auto" w:sz="4" w:space="0"/>
              <w:right w:val="single" w:color="auto" w:sz="4" w:space="0"/>
            </w:tcBorders>
            <w:vAlign w:val="center"/>
          </w:tcPr>
          <w:p w14:paraId="7F042518">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5</w:t>
            </w:r>
          </w:p>
        </w:tc>
        <w:tc>
          <w:tcPr>
            <w:tcW w:w="1900" w:type="pct"/>
            <w:tcBorders>
              <w:top w:val="single" w:color="auto" w:sz="4" w:space="0"/>
              <w:left w:val="single" w:color="auto" w:sz="4" w:space="0"/>
              <w:bottom w:val="single" w:color="auto" w:sz="4" w:space="0"/>
              <w:right w:val="single" w:color="auto" w:sz="4" w:space="0"/>
            </w:tcBorders>
            <w:vAlign w:val="center"/>
          </w:tcPr>
          <w:p w14:paraId="5FF24EEA">
            <w:pPr>
              <w:pStyle w:val="46"/>
              <w:widowControl/>
              <w:spacing w:line="500" w:lineRule="exact"/>
              <w:jc w:val="left"/>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snapToGrid w:val="0"/>
                <w:color w:val="auto"/>
                <w:kern w:val="0"/>
                <w:sz w:val="30"/>
                <w:szCs w:val="30"/>
                <w:highlight w:val="none"/>
              </w:rPr>
              <w:t>2000国家大地坐标系、</w:t>
            </w:r>
            <w:r>
              <w:rPr>
                <w:rFonts w:hint="eastAsia" w:ascii="仿宋_GB2312" w:hAnsi="仿宋_GB2312" w:eastAsia="仿宋_GB2312" w:cs="仿宋_GB2312"/>
                <w:color w:val="auto"/>
                <w:kern w:val="0"/>
                <w:sz w:val="30"/>
                <w:szCs w:val="30"/>
                <w:highlight w:val="none"/>
              </w:rPr>
              <w:t>高程成图</w:t>
            </w:r>
            <w:r>
              <w:rPr>
                <w:rFonts w:hint="eastAsia" w:ascii="仿宋_GB2312" w:hAnsi="仿宋_GB2312" w:eastAsia="仿宋_GB2312" w:cs="仿宋_GB2312"/>
                <w:color w:val="auto"/>
                <w:kern w:val="0"/>
                <w:sz w:val="30"/>
                <w:szCs w:val="30"/>
                <w:highlight w:val="none"/>
                <w:lang w:eastAsia="zh-CN"/>
              </w:rPr>
              <w:t>，需进行图幅分幅，出版1:500测图</w:t>
            </w:r>
          </w:p>
        </w:tc>
      </w:tr>
      <w:tr w14:paraId="59F2E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1E969F2D">
            <w:pPr>
              <w:pStyle w:val="46"/>
              <w:widowControl/>
              <w:spacing w:line="500" w:lineRule="exact"/>
              <w:jc w:val="center"/>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2</w:t>
            </w:r>
          </w:p>
        </w:tc>
        <w:tc>
          <w:tcPr>
            <w:tcW w:w="2188" w:type="pct"/>
            <w:tcBorders>
              <w:top w:val="single" w:color="auto" w:sz="4" w:space="0"/>
              <w:left w:val="single" w:color="auto" w:sz="4" w:space="0"/>
              <w:bottom w:val="single" w:color="auto" w:sz="4" w:space="0"/>
              <w:right w:val="single" w:color="auto" w:sz="4" w:space="0"/>
            </w:tcBorders>
            <w:vAlign w:val="center"/>
          </w:tcPr>
          <w:p w14:paraId="1931A3F4">
            <w:pPr>
              <w:pStyle w:val="46"/>
              <w:widowControl/>
              <w:spacing w:line="500" w:lineRule="exact"/>
              <w:jc w:val="left"/>
              <w:rPr>
                <w:rFonts w:hint="default"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交工验收质量检测报告</w:t>
            </w:r>
            <w:r>
              <w:rPr>
                <w:rFonts w:hint="eastAsia" w:ascii="仿宋_GB2312" w:hAnsi="仿宋_GB2312" w:eastAsia="仿宋_GB2312" w:cs="仿宋_GB2312"/>
                <w:color w:val="auto"/>
                <w:kern w:val="0"/>
                <w:sz w:val="30"/>
                <w:szCs w:val="30"/>
                <w:highlight w:val="none"/>
                <w:lang w:val="en-US" w:eastAsia="zh-CN"/>
              </w:rPr>
              <w:t>等报告</w:t>
            </w:r>
          </w:p>
        </w:tc>
        <w:tc>
          <w:tcPr>
            <w:tcW w:w="485" w:type="pct"/>
            <w:tcBorders>
              <w:top w:val="single" w:color="auto" w:sz="4" w:space="0"/>
              <w:left w:val="single" w:color="auto" w:sz="4" w:space="0"/>
              <w:bottom w:val="single" w:color="auto" w:sz="4" w:space="0"/>
              <w:right w:val="single" w:color="auto" w:sz="4" w:space="0"/>
            </w:tcBorders>
            <w:vAlign w:val="center"/>
          </w:tcPr>
          <w:p w14:paraId="25EAD691">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10</w:t>
            </w:r>
          </w:p>
        </w:tc>
        <w:tc>
          <w:tcPr>
            <w:tcW w:w="1900" w:type="pct"/>
            <w:tcBorders>
              <w:top w:val="single" w:color="auto" w:sz="4" w:space="0"/>
              <w:left w:val="single" w:color="auto" w:sz="4" w:space="0"/>
              <w:bottom w:val="single" w:color="auto" w:sz="4" w:space="0"/>
              <w:right w:val="single" w:color="auto" w:sz="4" w:space="0"/>
            </w:tcBorders>
            <w:vAlign w:val="center"/>
          </w:tcPr>
          <w:p w14:paraId="20596E6D">
            <w:pPr>
              <w:pStyle w:val="46"/>
              <w:widowControl/>
              <w:spacing w:line="500" w:lineRule="exact"/>
              <w:jc w:val="left"/>
              <w:rPr>
                <w:rFonts w:hint="eastAsia" w:ascii="仿宋_GB2312" w:hAnsi="仿宋_GB2312" w:eastAsia="仿宋_GB2312" w:cs="仿宋_GB2312"/>
                <w:color w:val="auto"/>
                <w:kern w:val="0"/>
                <w:sz w:val="30"/>
                <w:szCs w:val="30"/>
                <w:highlight w:val="none"/>
              </w:rPr>
            </w:pPr>
          </w:p>
        </w:tc>
      </w:tr>
      <w:tr w14:paraId="6E6E5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7EBA398A">
            <w:pPr>
              <w:pStyle w:val="46"/>
              <w:widowControl/>
              <w:spacing w:line="500" w:lineRule="exact"/>
              <w:jc w:val="center"/>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3</w:t>
            </w:r>
          </w:p>
        </w:tc>
        <w:tc>
          <w:tcPr>
            <w:tcW w:w="2188" w:type="pct"/>
            <w:tcBorders>
              <w:top w:val="single" w:color="auto" w:sz="4" w:space="0"/>
              <w:left w:val="single" w:color="auto" w:sz="4" w:space="0"/>
              <w:bottom w:val="single" w:color="auto" w:sz="4" w:space="0"/>
              <w:right w:val="single" w:color="auto" w:sz="4" w:space="0"/>
            </w:tcBorders>
            <w:vAlign w:val="center"/>
          </w:tcPr>
          <w:p w14:paraId="7962DEE5">
            <w:pPr>
              <w:pStyle w:val="46"/>
              <w:widowControl/>
              <w:spacing w:line="500" w:lineRule="exact"/>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测量技术设计书</w:t>
            </w:r>
          </w:p>
        </w:tc>
        <w:tc>
          <w:tcPr>
            <w:tcW w:w="485" w:type="pct"/>
            <w:tcBorders>
              <w:top w:val="single" w:color="auto" w:sz="4" w:space="0"/>
              <w:left w:val="single" w:color="auto" w:sz="4" w:space="0"/>
              <w:bottom w:val="single" w:color="auto" w:sz="4" w:space="0"/>
              <w:right w:val="single" w:color="auto" w:sz="4" w:space="0"/>
            </w:tcBorders>
            <w:vAlign w:val="center"/>
          </w:tcPr>
          <w:p w14:paraId="36F4D388">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5</w:t>
            </w:r>
          </w:p>
        </w:tc>
        <w:tc>
          <w:tcPr>
            <w:tcW w:w="1900" w:type="pct"/>
            <w:tcBorders>
              <w:top w:val="single" w:color="auto" w:sz="4" w:space="0"/>
              <w:left w:val="single" w:color="auto" w:sz="4" w:space="0"/>
              <w:bottom w:val="single" w:color="auto" w:sz="4" w:space="0"/>
              <w:right w:val="single" w:color="auto" w:sz="4" w:space="0"/>
            </w:tcBorders>
            <w:vAlign w:val="center"/>
          </w:tcPr>
          <w:p w14:paraId="33196C82">
            <w:pPr>
              <w:pStyle w:val="46"/>
              <w:widowControl/>
              <w:spacing w:line="500" w:lineRule="exact"/>
              <w:jc w:val="left"/>
              <w:rPr>
                <w:rFonts w:hint="eastAsia" w:ascii="仿宋_GB2312" w:hAnsi="仿宋_GB2312" w:eastAsia="仿宋_GB2312" w:cs="仿宋_GB2312"/>
                <w:color w:val="auto"/>
                <w:kern w:val="0"/>
                <w:sz w:val="30"/>
                <w:szCs w:val="30"/>
                <w:highlight w:val="none"/>
              </w:rPr>
            </w:pPr>
          </w:p>
        </w:tc>
      </w:tr>
      <w:tr w14:paraId="3DB25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1F337195">
            <w:pPr>
              <w:pStyle w:val="46"/>
              <w:widowControl/>
              <w:spacing w:line="500" w:lineRule="exact"/>
              <w:jc w:val="center"/>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4</w:t>
            </w:r>
          </w:p>
        </w:tc>
        <w:tc>
          <w:tcPr>
            <w:tcW w:w="2188" w:type="pct"/>
            <w:tcBorders>
              <w:top w:val="single" w:color="auto" w:sz="4" w:space="0"/>
              <w:left w:val="single" w:color="auto" w:sz="4" w:space="0"/>
              <w:bottom w:val="single" w:color="auto" w:sz="4" w:space="0"/>
              <w:right w:val="single" w:color="auto" w:sz="4" w:space="0"/>
            </w:tcBorders>
            <w:vAlign w:val="center"/>
          </w:tcPr>
          <w:p w14:paraId="2B804CA3">
            <w:pPr>
              <w:pStyle w:val="46"/>
              <w:widowControl/>
              <w:spacing w:line="500" w:lineRule="exact"/>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bCs/>
                <w:color w:val="auto"/>
                <w:kern w:val="0"/>
                <w:sz w:val="30"/>
                <w:szCs w:val="30"/>
                <w:highlight w:val="none"/>
              </w:rPr>
              <w:t>质量监督机构</w:t>
            </w:r>
            <w:r>
              <w:rPr>
                <w:rFonts w:hint="eastAsia" w:ascii="仿宋_GB2312" w:hAnsi="仿宋_GB2312" w:eastAsia="仿宋_GB2312" w:cs="仿宋_GB2312"/>
                <w:bCs/>
                <w:color w:val="auto"/>
                <w:kern w:val="0"/>
                <w:sz w:val="30"/>
                <w:szCs w:val="30"/>
                <w:highlight w:val="none"/>
                <w:lang w:eastAsia="zh-CN"/>
              </w:rPr>
              <w:t>、</w:t>
            </w:r>
            <w:r>
              <w:rPr>
                <w:rFonts w:hint="eastAsia" w:ascii="仿宋_GB2312" w:hAnsi="仿宋_GB2312" w:eastAsia="仿宋_GB2312" w:cs="仿宋_GB2312"/>
                <w:bCs/>
                <w:color w:val="auto"/>
                <w:kern w:val="0"/>
                <w:sz w:val="30"/>
                <w:szCs w:val="30"/>
                <w:highlight w:val="none"/>
                <w:lang w:val="en-US" w:eastAsia="zh-CN"/>
              </w:rPr>
              <w:t>海事部门、航海保障中心等部门</w:t>
            </w:r>
            <w:r>
              <w:rPr>
                <w:rFonts w:hint="eastAsia" w:ascii="仿宋_GB2312" w:hAnsi="仿宋_GB2312" w:eastAsia="仿宋_GB2312" w:cs="仿宋_GB2312"/>
                <w:bCs/>
                <w:color w:val="auto"/>
                <w:kern w:val="0"/>
                <w:sz w:val="30"/>
                <w:szCs w:val="30"/>
                <w:highlight w:val="none"/>
              </w:rPr>
              <w:t>要求的其他资料（如有）</w:t>
            </w:r>
          </w:p>
        </w:tc>
        <w:tc>
          <w:tcPr>
            <w:tcW w:w="485" w:type="pct"/>
            <w:tcBorders>
              <w:top w:val="single" w:color="auto" w:sz="4" w:space="0"/>
              <w:left w:val="single" w:color="auto" w:sz="4" w:space="0"/>
              <w:bottom w:val="single" w:color="auto" w:sz="4" w:space="0"/>
              <w:right w:val="single" w:color="auto" w:sz="4" w:space="0"/>
            </w:tcBorders>
            <w:vAlign w:val="center"/>
          </w:tcPr>
          <w:p w14:paraId="3DC6CE75">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10</w:t>
            </w:r>
          </w:p>
        </w:tc>
        <w:tc>
          <w:tcPr>
            <w:tcW w:w="1900" w:type="pct"/>
            <w:tcBorders>
              <w:top w:val="single" w:color="auto" w:sz="4" w:space="0"/>
              <w:left w:val="single" w:color="auto" w:sz="4" w:space="0"/>
              <w:bottom w:val="single" w:color="auto" w:sz="4" w:space="0"/>
              <w:right w:val="single" w:color="auto" w:sz="4" w:space="0"/>
            </w:tcBorders>
            <w:vAlign w:val="center"/>
          </w:tcPr>
          <w:p w14:paraId="19FF5732">
            <w:pPr>
              <w:pStyle w:val="46"/>
              <w:widowControl/>
              <w:spacing w:line="500" w:lineRule="exact"/>
              <w:jc w:val="left"/>
              <w:rPr>
                <w:rFonts w:hint="eastAsia" w:ascii="仿宋_GB2312" w:hAnsi="仿宋_GB2312" w:eastAsia="仿宋_GB2312" w:cs="仿宋_GB2312"/>
                <w:color w:val="auto"/>
                <w:kern w:val="0"/>
                <w:sz w:val="30"/>
                <w:szCs w:val="30"/>
                <w:highlight w:val="none"/>
              </w:rPr>
            </w:pPr>
          </w:p>
        </w:tc>
      </w:tr>
      <w:tr w14:paraId="2979E9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14:paraId="30772E41">
            <w:pPr>
              <w:pStyle w:val="46"/>
              <w:widowControl/>
              <w:spacing w:line="500" w:lineRule="exact"/>
              <w:jc w:val="center"/>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5</w:t>
            </w:r>
          </w:p>
        </w:tc>
        <w:tc>
          <w:tcPr>
            <w:tcW w:w="2188" w:type="pct"/>
            <w:tcBorders>
              <w:top w:val="single" w:color="auto" w:sz="4" w:space="0"/>
              <w:left w:val="single" w:color="auto" w:sz="4" w:space="0"/>
              <w:bottom w:val="single" w:color="auto" w:sz="4" w:space="0"/>
              <w:right w:val="single" w:color="auto" w:sz="4" w:space="0"/>
            </w:tcBorders>
            <w:vAlign w:val="center"/>
          </w:tcPr>
          <w:p w14:paraId="32553DB7">
            <w:pPr>
              <w:pStyle w:val="46"/>
              <w:widowControl/>
              <w:spacing w:line="500" w:lineRule="exact"/>
              <w:jc w:val="left"/>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rPr>
              <w:t>地形图及成果资料电子</w:t>
            </w:r>
            <w:r>
              <w:rPr>
                <w:rFonts w:hint="eastAsia" w:ascii="仿宋_GB2312" w:hAnsi="仿宋_GB2312" w:eastAsia="仿宋_GB2312" w:cs="仿宋_GB2312"/>
                <w:color w:val="auto"/>
                <w:kern w:val="0"/>
                <w:sz w:val="30"/>
                <w:szCs w:val="30"/>
                <w:highlight w:val="none"/>
                <w:lang w:eastAsia="zh-CN"/>
              </w:rPr>
              <w:t>文件</w:t>
            </w:r>
          </w:p>
        </w:tc>
        <w:tc>
          <w:tcPr>
            <w:tcW w:w="485" w:type="pct"/>
            <w:tcBorders>
              <w:top w:val="single" w:color="auto" w:sz="4" w:space="0"/>
              <w:left w:val="single" w:color="auto" w:sz="4" w:space="0"/>
              <w:bottom w:val="single" w:color="auto" w:sz="4" w:space="0"/>
              <w:right w:val="single" w:color="auto" w:sz="4" w:space="0"/>
            </w:tcBorders>
            <w:vAlign w:val="center"/>
          </w:tcPr>
          <w:p w14:paraId="3FC17661">
            <w:pPr>
              <w:pStyle w:val="46"/>
              <w:widowControl/>
              <w:spacing w:line="500" w:lineRule="exact"/>
              <w:jc w:val="center"/>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w:t>
            </w:r>
          </w:p>
        </w:tc>
        <w:tc>
          <w:tcPr>
            <w:tcW w:w="1900" w:type="pct"/>
            <w:tcBorders>
              <w:top w:val="single" w:color="auto" w:sz="4" w:space="0"/>
              <w:left w:val="single" w:color="auto" w:sz="4" w:space="0"/>
              <w:bottom w:val="single" w:color="auto" w:sz="4" w:space="0"/>
              <w:right w:val="single" w:color="auto" w:sz="4" w:space="0"/>
            </w:tcBorders>
            <w:vAlign w:val="center"/>
          </w:tcPr>
          <w:p w14:paraId="0AB153F9">
            <w:pPr>
              <w:pStyle w:val="46"/>
              <w:widowControl/>
              <w:spacing w:line="500" w:lineRule="exact"/>
              <w:jc w:val="left"/>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可编制文件</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U盘形式</w:t>
            </w:r>
          </w:p>
        </w:tc>
      </w:tr>
    </w:tbl>
    <w:p w14:paraId="49D34642">
      <w:pPr>
        <w:pStyle w:val="46"/>
        <w:spacing w:before="0" w:line="500" w:lineRule="exact"/>
        <w:ind w:left="0" w:leftChars="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kern w:val="0"/>
          <w:sz w:val="30"/>
          <w:szCs w:val="30"/>
          <w:highlight w:val="none"/>
        </w:rPr>
        <w:t>以上成果资料应符合有关规范要求和满足质量监督机构要求，并经验收合格。</w:t>
      </w:r>
    </w:p>
    <w:p w14:paraId="4481C0BE">
      <w:pPr>
        <w:pStyle w:val="46"/>
        <w:spacing w:line="500" w:lineRule="exact"/>
        <w:ind w:firstLine="600" w:firstLineChars="200"/>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其他未尽要求按照《工程测量通用规范》（GB 55018-2021）、《工程测量标准》（GB 50026-2020）和《水运工程测量规范》（JTS131-2012）等执行，并且工程测量成果应能完全满足设计需求。</w:t>
      </w:r>
    </w:p>
    <w:p w14:paraId="6D4B520A">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保密要求：</w:t>
      </w:r>
      <w:r>
        <w:rPr>
          <w:rFonts w:hint="eastAsia" w:ascii="仿宋_GB2312" w:hAnsi="仿宋_GB2312" w:eastAsia="仿宋_GB2312" w:cs="仿宋_GB2312"/>
          <w:color w:val="auto"/>
          <w:sz w:val="30"/>
          <w:szCs w:val="30"/>
          <w:highlight w:val="none"/>
        </w:rPr>
        <w:t>本项目须严格遵守《中华人民共和国测绘法》、《中华人民共和国测绘成果管理条例》和国家保密法律法规的规定，切实做好涉密测绘成果的保密工作。</w:t>
      </w:r>
    </w:p>
    <w:p w14:paraId="0F56E86A">
      <w:pPr>
        <w:pStyle w:val="45"/>
        <w:spacing w:line="500" w:lineRule="exact"/>
        <w:ind w:firstLine="602" w:firstLineChars="200"/>
        <w:rPr>
          <w:rFonts w:hint="eastAsia" w:ascii="仿宋_GB2312" w:hAnsi="仿宋_GB2312" w:eastAsia="仿宋_GB2312" w:cs="仿宋_GB2312"/>
          <w:b/>
          <w:bCs/>
          <w:color w:val="auto"/>
          <w:sz w:val="30"/>
          <w:szCs w:val="30"/>
          <w:highlight w:val="none"/>
          <w:u w:val="single"/>
        </w:rPr>
      </w:pPr>
      <w:r>
        <w:rPr>
          <w:rFonts w:hint="eastAsia" w:ascii="仿宋_GB2312" w:hAnsi="仿宋_GB2312" w:eastAsia="仿宋_GB2312" w:cs="仿宋_GB2312"/>
          <w:b/>
          <w:bCs/>
          <w:color w:val="auto"/>
          <w:sz w:val="30"/>
          <w:szCs w:val="30"/>
          <w:highlight w:val="none"/>
        </w:rPr>
        <w:t>4．服务质量要求：</w:t>
      </w:r>
      <w:r>
        <w:rPr>
          <w:rFonts w:hint="eastAsia" w:ascii="仿宋_GB2312" w:hAnsi="仿宋_GB2312" w:eastAsia="仿宋_GB2312" w:cs="仿宋_GB2312"/>
          <w:b/>
          <w:bCs/>
          <w:color w:val="auto"/>
          <w:sz w:val="30"/>
          <w:szCs w:val="30"/>
          <w:highlight w:val="none"/>
          <w:lang w:eastAsia="zh-CN"/>
        </w:rPr>
        <w:t>符合合格标准。</w:t>
      </w:r>
      <w:r>
        <w:rPr>
          <w:rFonts w:hint="eastAsia" w:ascii="仿宋_GB2312" w:hAnsi="仿宋_GB2312" w:eastAsia="仿宋_GB2312" w:cs="仿宋_GB2312"/>
          <w:b/>
          <w:bCs/>
          <w:color w:val="auto"/>
          <w:sz w:val="30"/>
          <w:szCs w:val="30"/>
          <w:highlight w:val="none"/>
          <w:u w:val="single"/>
        </w:rPr>
        <w:t>按合同要求完成所有工作，所有工作成果应当符合现行相关国家标准、行业标准、地方标准等标准、规范，并通过专家评审，验收合格</w:t>
      </w:r>
      <w:r>
        <w:rPr>
          <w:rFonts w:hint="eastAsia" w:ascii="仿宋_GB2312" w:hAnsi="仿宋_GB2312" w:eastAsia="仿宋_GB2312" w:cs="仿宋_GB2312"/>
          <w:b/>
          <w:bCs/>
          <w:color w:val="auto"/>
          <w:sz w:val="30"/>
          <w:szCs w:val="30"/>
          <w:highlight w:val="none"/>
          <w:u w:val="single"/>
          <w:lang w:eastAsia="zh-CN"/>
        </w:rPr>
        <w:t>。</w:t>
      </w:r>
      <w:r>
        <w:rPr>
          <w:rFonts w:hint="eastAsia" w:ascii="仿宋_GB2312" w:hAnsi="仿宋_GB2312" w:eastAsia="仿宋_GB2312" w:cs="仿宋_GB2312"/>
          <w:b/>
          <w:bCs/>
          <w:color w:val="auto"/>
          <w:sz w:val="30"/>
          <w:szCs w:val="30"/>
          <w:highlight w:val="none"/>
          <w:u w:val="single"/>
          <w:lang w:val="en-US" w:eastAsia="zh-CN"/>
        </w:rPr>
        <w:t>满足</w:t>
      </w:r>
      <w:r>
        <w:rPr>
          <w:rFonts w:hint="eastAsia" w:ascii="仿宋_GB2312" w:hAnsi="仿宋_GB2312" w:eastAsia="仿宋_GB2312" w:cs="仿宋_GB2312"/>
          <w:b/>
          <w:bCs/>
          <w:color w:val="auto"/>
          <w:sz w:val="30"/>
          <w:szCs w:val="30"/>
          <w:highlight w:val="none"/>
          <w:u w:val="single"/>
          <w:lang w:eastAsia="zh-CN"/>
        </w:rPr>
        <w:t>海事部门发布锚地启用公告、</w:t>
      </w:r>
      <w:r>
        <w:rPr>
          <w:rFonts w:hint="eastAsia" w:ascii="仿宋_GB2312" w:hAnsi="仿宋_GB2312" w:eastAsia="仿宋_GB2312" w:cs="仿宋_GB2312"/>
          <w:b/>
          <w:bCs/>
          <w:color w:val="auto"/>
          <w:sz w:val="30"/>
          <w:szCs w:val="30"/>
          <w:highlight w:val="none"/>
          <w:u w:val="single"/>
          <w:lang w:val="en-US" w:eastAsia="zh-CN"/>
        </w:rPr>
        <w:t>航海保障中心发布</w:t>
      </w:r>
      <w:r>
        <w:rPr>
          <w:rFonts w:hint="eastAsia" w:ascii="仿宋_GB2312" w:hAnsi="仿宋_GB2312" w:eastAsia="仿宋_GB2312" w:cs="仿宋_GB2312"/>
          <w:b/>
          <w:bCs/>
          <w:color w:val="auto"/>
          <w:sz w:val="30"/>
          <w:szCs w:val="30"/>
          <w:highlight w:val="none"/>
          <w:u w:val="single"/>
          <w:lang w:eastAsia="zh-CN"/>
        </w:rPr>
        <w:t>海图</w:t>
      </w:r>
      <w:r>
        <w:rPr>
          <w:rFonts w:hint="eastAsia" w:ascii="仿宋_GB2312" w:hAnsi="仿宋_GB2312" w:eastAsia="仿宋_GB2312" w:cs="仿宋_GB2312"/>
          <w:b/>
          <w:bCs/>
          <w:color w:val="auto"/>
          <w:sz w:val="30"/>
          <w:szCs w:val="30"/>
          <w:highlight w:val="none"/>
          <w:u w:val="single"/>
          <w:lang w:val="en-US" w:eastAsia="zh-CN"/>
        </w:rPr>
        <w:t>等相关</w:t>
      </w:r>
      <w:r>
        <w:rPr>
          <w:rFonts w:hint="eastAsia" w:ascii="仿宋_GB2312" w:hAnsi="仿宋_GB2312" w:eastAsia="仿宋_GB2312" w:cs="仿宋_GB2312"/>
          <w:b/>
          <w:bCs/>
          <w:color w:val="auto"/>
          <w:sz w:val="30"/>
          <w:szCs w:val="30"/>
          <w:highlight w:val="none"/>
          <w:u w:val="single"/>
          <w:lang w:eastAsia="zh-CN"/>
        </w:rPr>
        <w:t>要求，</w:t>
      </w:r>
      <w:r>
        <w:rPr>
          <w:rFonts w:hint="eastAsia" w:ascii="仿宋_GB2312" w:hAnsi="仿宋_GB2312" w:eastAsia="仿宋_GB2312" w:cs="仿宋_GB2312"/>
          <w:b/>
          <w:bCs/>
          <w:color w:val="auto"/>
          <w:sz w:val="30"/>
          <w:szCs w:val="30"/>
          <w:highlight w:val="none"/>
          <w:u w:val="single"/>
          <w:lang w:val="en-US" w:eastAsia="zh-CN"/>
        </w:rPr>
        <w:t>并</w:t>
      </w:r>
      <w:r>
        <w:rPr>
          <w:rFonts w:hint="eastAsia" w:ascii="仿宋_GB2312" w:hAnsi="仿宋_GB2312" w:eastAsia="仿宋_GB2312" w:cs="仿宋_GB2312"/>
          <w:b/>
          <w:bCs/>
          <w:color w:val="auto"/>
          <w:sz w:val="30"/>
          <w:szCs w:val="30"/>
          <w:highlight w:val="none"/>
          <w:u w:val="single"/>
          <w:lang w:eastAsia="zh-CN"/>
        </w:rPr>
        <w:t>配合</w:t>
      </w:r>
      <w:r>
        <w:rPr>
          <w:rFonts w:hint="eastAsia" w:ascii="仿宋_GB2312" w:hAnsi="仿宋_GB2312" w:eastAsia="仿宋_GB2312" w:cs="仿宋_GB2312"/>
          <w:b/>
          <w:bCs/>
          <w:color w:val="auto"/>
          <w:sz w:val="30"/>
          <w:szCs w:val="30"/>
          <w:highlight w:val="none"/>
          <w:u w:val="single"/>
          <w:lang w:val="en-US" w:eastAsia="zh-CN"/>
        </w:rPr>
        <w:t>甲方</w:t>
      </w:r>
      <w:r>
        <w:rPr>
          <w:rFonts w:hint="eastAsia" w:ascii="仿宋_GB2312" w:hAnsi="仿宋_GB2312" w:eastAsia="仿宋_GB2312" w:cs="仿宋_GB2312"/>
          <w:b/>
          <w:bCs/>
          <w:color w:val="auto"/>
          <w:sz w:val="30"/>
          <w:szCs w:val="30"/>
          <w:highlight w:val="none"/>
          <w:u w:val="single"/>
          <w:lang w:eastAsia="zh-CN"/>
        </w:rPr>
        <w:t>、海事部门、</w:t>
      </w:r>
      <w:r>
        <w:rPr>
          <w:rFonts w:hint="eastAsia" w:ascii="仿宋_GB2312" w:hAnsi="仿宋_GB2312" w:eastAsia="仿宋_GB2312" w:cs="仿宋_GB2312"/>
          <w:b/>
          <w:bCs/>
          <w:color w:val="auto"/>
          <w:sz w:val="30"/>
          <w:szCs w:val="30"/>
          <w:highlight w:val="none"/>
          <w:u w:val="single"/>
          <w:lang w:val="en-US" w:eastAsia="zh-CN"/>
        </w:rPr>
        <w:t>航海保障中心</w:t>
      </w:r>
      <w:r>
        <w:rPr>
          <w:rFonts w:hint="eastAsia" w:ascii="仿宋_GB2312" w:hAnsi="仿宋_GB2312" w:eastAsia="仿宋_GB2312" w:cs="仿宋_GB2312"/>
          <w:b/>
          <w:bCs/>
          <w:color w:val="auto"/>
          <w:sz w:val="30"/>
          <w:szCs w:val="30"/>
          <w:highlight w:val="none"/>
          <w:u w:val="single"/>
          <w:lang w:eastAsia="zh-CN"/>
        </w:rPr>
        <w:t>完成该项工作。</w:t>
      </w:r>
      <w:r>
        <w:rPr>
          <w:rFonts w:hint="eastAsia" w:ascii="仿宋_GB2312" w:hAnsi="仿宋_GB2312" w:eastAsia="仿宋_GB2312" w:cs="仿宋_GB2312"/>
          <w:color w:val="auto"/>
          <w:sz w:val="30"/>
          <w:szCs w:val="30"/>
          <w:highlight w:val="none"/>
          <w:u w:val="single"/>
          <w:lang w:bidi="ar"/>
        </w:rPr>
        <w:t>海事部门对外发布</w:t>
      </w:r>
      <w:r>
        <w:rPr>
          <w:rFonts w:hint="eastAsia" w:ascii="仿宋_GB2312" w:hAnsi="仿宋_GB2312" w:eastAsia="仿宋_GB2312" w:cs="仿宋_GB2312"/>
          <w:color w:val="auto"/>
          <w:sz w:val="30"/>
          <w:szCs w:val="30"/>
          <w:highlight w:val="none"/>
          <w:u w:val="single"/>
          <w:lang w:eastAsia="zh-CN" w:bidi="ar"/>
        </w:rPr>
        <w:t>1万至</w:t>
      </w:r>
      <w:r>
        <w:rPr>
          <w:rFonts w:hint="eastAsia" w:ascii="仿宋_GB2312" w:hAnsi="仿宋_GB2312" w:eastAsia="仿宋_GB2312" w:cs="仿宋_GB2312"/>
          <w:color w:val="auto"/>
          <w:sz w:val="30"/>
          <w:szCs w:val="30"/>
          <w:highlight w:val="none"/>
          <w:u w:val="single"/>
          <w:lang w:val="en-US" w:eastAsia="zh-CN" w:bidi="ar"/>
        </w:rPr>
        <w:t>3万吨级</w:t>
      </w:r>
      <w:r>
        <w:rPr>
          <w:rFonts w:hint="eastAsia" w:ascii="仿宋_GB2312" w:hAnsi="仿宋_GB2312" w:eastAsia="仿宋_GB2312" w:cs="仿宋_GB2312"/>
          <w:color w:val="auto"/>
          <w:sz w:val="30"/>
          <w:szCs w:val="30"/>
          <w:highlight w:val="none"/>
          <w:u w:val="single"/>
          <w:lang w:bidi="ar"/>
        </w:rPr>
        <w:t>锚地相关公告后，在</w:t>
      </w:r>
      <w:r>
        <w:rPr>
          <w:rFonts w:hint="eastAsia" w:ascii="仿宋_GB2312" w:hAnsi="仿宋_GB2312" w:eastAsia="仿宋_GB2312" w:cs="仿宋_GB2312"/>
          <w:color w:val="auto"/>
          <w:sz w:val="30"/>
          <w:szCs w:val="30"/>
          <w:highlight w:val="none"/>
          <w:u w:val="single"/>
          <w:lang w:eastAsia="zh-CN" w:bidi="ar"/>
        </w:rPr>
        <w:t>更新发布</w:t>
      </w:r>
      <w:r>
        <w:rPr>
          <w:rFonts w:hint="eastAsia" w:ascii="仿宋_GB2312" w:hAnsi="仿宋_GB2312" w:eastAsia="仿宋_GB2312" w:cs="仿宋_GB2312"/>
          <w:color w:val="auto"/>
          <w:sz w:val="30"/>
          <w:szCs w:val="30"/>
          <w:highlight w:val="none"/>
          <w:u w:val="single"/>
          <w:lang w:bidi="ar"/>
        </w:rPr>
        <w:t>的北海港域海图上体现公告内容。</w:t>
      </w:r>
    </w:p>
    <w:p w14:paraId="47AC9B92">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第四条：甲方向乙方支付服务报酬及支付方式为：</w:t>
      </w:r>
    </w:p>
    <w:p w14:paraId="600D06EB">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1．合同费用：</w:t>
      </w:r>
    </w:p>
    <w:p w14:paraId="5E0E72C4">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（1）签约合同价为：人民币                 万元（￥                元）。其中： 不含增值税金额为          元，增值税税率为    %，增值税税额为    元。</w:t>
      </w:r>
    </w:p>
    <w:p w14:paraId="2A262A44">
      <w:pPr>
        <w:pStyle w:val="45"/>
        <w:keepNext w:val="0"/>
        <w:keepLines w:val="0"/>
        <w:pageBreakBefore w:val="0"/>
        <w:widowControl w:val="0"/>
        <w:kinsoku/>
        <w:wordWrap/>
        <w:overflowPunct/>
        <w:topLinePunct w:val="0"/>
        <w:bidi w:val="0"/>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本合同价格形式为固定总价合同。本合同签约合同价总额是完成合同所规定责任的总费用，合同费用包括但不限于：除了包含乙方完成约定工作内容的全部费用外，还包括乙方为完成本项目所发生的调查研究、</w:t>
      </w:r>
      <w:r>
        <w:rPr>
          <w:rFonts w:hint="eastAsia" w:ascii="仿宋_GB2312" w:hAnsi="仿宋_GB2312" w:eastAsia="仿宋_GB2312" w:cs="仿宋_GB2312"/>
          <w:color w:val="auto"/>
          <w:sz w:val="30"/>
          <w:szCs w:val="30"/>
          <w:highlight w:val="none"/>
          <w:lang w:eastAsia="zh-CN"/>
        </w:rPr>
        <w:t>测量作业许可、</w:t>
      </w:r>
      <w:r>
        <w:rPr>
          <w:rFonts w:hint="eastAsia" w:ascii="仿宋_GB2312" w:hAnsi="仿宋_GB2312" w:eastAsia="仿宋_GB2312" w:cs="仿宋_GB2312"/>
          <w:color w:val="auto"/>
          <w:sz w:val="30"/>
          <w:szCs w:val="30"/>
          <w:highlight w:val="none"/>
        </w:rPr>
        <w:t>资料收集、分析论证、报告编制、印刷、出版、安全生产费、人工成本、评估评审验收会务费（含专家劳务费、住宿费、伙食等）、不可预见费等所有费用，其费用含于报价中，甲方不另行向乙支付其费用。</w:t>
      </w:r>
    </w:p>
    <w:p w14:paraId="51A812DB">
      <w:pPr>
        <w:pStyle w:val="30"/>
        <w:keepNext w:val="0"/>
        <w:keepLines w:val="0"/>
        <w:pageBreakBefore w:val="0"/>
        <w:widowControl w:val="0"/>
        <w:kinsoku/>
        <w:wordWrap/>
        <w:overflowPunct/>
        <w:topLinePunct w:val="0"/>
        <w:bidi w:val="0"/>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合同执行期间，物价波动(人工、材料上涨等)引起的价格变化不对签约合同价进行调整；法律、法规、规范性文件、规定引起的价格变化(增值税税率政策调整除外)，签约合同价不进行调整；如遇国家对增值税税率进行调整的(以开具发票时间为准)，对应调整增值税税率变化增减部分的费用。</w:t>
      </w:r>
      <w:r>
        <w:rPr>
          <w:rFonts w:hint="eastAsia" w:ascii="仿宋_GB2312" w:hAnsi="仿宋_GB2312" w:eastAsia="仿宋_GB2312" w:cs="仿宋_GB2312"/>
          <w:color w:val="auto"/>
          <w:sz w:val="30"/>
          <w:szCs w:val="30"/>
          <w:highlight w:val="none"/>
          <w:lang w:val="en-US" w:eastAsia="zh-CN"/>
        </w:rPr>
        <w:t>乙方</w:t>
      </w:r>
      <w:r>
        <w:rPr>
          <w:rFonts w:hint="eastAsia" w:ascii="仿宋_GB2312" w:hAnsi="仿宋_GB2312" w:eastAsia="仿宋_GB2312" w:cs="仿宋_GB2312"/>
          <w:color w:val="auto"/>
          <w:sz w:val="30"/>
          <w:szCs w:val="30"/>
          <w:highlight w:val="none"/>
        </w:rPr>
        <w:t>应承担物价波动、工作范围内容不符或漏项、气候条件恶劣及其他意外困难等风险。</w:t>
      </w:r>
    </w:p>
    <w:p w14:paraId="47B6E902">
      <w:pPr>
        <w:pStyle w:val="30"/>
        <w:ind w:firstLine="600" w:firstLineChars="200"/>
        <w:rPr>
          <w:rFonts w:hint="eastAsia" w:ascii="仿宋_GB2312" w:hAnsi="仿宋_GB2312" w:eastAsia="仿宋_GB2312" w:cs="仿宋_GB2312"/>
          <w:bCs w:val="0"/>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bidi="ar"/>
        </w:rPr>
        <w:t>为保证测量成果准确，乙方在测量作业时，测量面积可能超过</w:t>
      </w:r>
      <w:r>
        <w:rPr>
          <w:rFonts w:hint="eastAsia" w:ascii="仿宋_GB2312" w:hAnsi="仿宋_GB2312" w:eastAsia="仿宋_GB2312" w:cs="仿宋_GB2312"/>
          <w:bCs w:val="0"/>
          <w:color w:val="auto"/>
          <w:sz w:val="30"/>
          <w:szCs w:val="30"/>
          <w:highlight w:val="none"/>
        </w:rPr>
        <w:t>16.07平方公里</w:t>
      </w:r>
      <w:r>
        <w:rPr>
          <w:rFonts w:hint="eastAsia" w:ascii="仿宋_GB2312" w:hAnsi="仿宋_GB2312" w:eastAsia="仿宋_GB2312" w:cs="仿宋_GB2312"/>
          <w:bCs w:val="0"/>
          <w:color w:val="auto"/>
          <w:sz w:val="30"/>
          <w:szCs w:val="30"/>
          <w:highlight w:val="none"/>
          <w:lang w:eastAsia="zh-CN"/>
        </w:rPr>
        <w:t>，超过部分费用已包含在投标报价中，</w:t>
      </w:r>
      <w:r>
        <w:rPr>
          <w:rFonts w:hint="eastAsia" w:ascii="仿宋_GB2312" w:hAnsi="仿宋_GB2312" w:eastAsia="仿宋_GB2312" w:cs="仿宋_GB2312"/>
          <w:bCs w:val="0"/>
          <w:color w:val="auto"/>
          <w:sz w:val="30"/>
          <w:szCs w:val="30"/>
          <w:highlight w:val="none"/>
          <w:lang w:val="en-US" w:eastAsia="zh-CN"/>
        </w:rPr>
        <w:t>甲方</w:t>
      </w:r>
      <w:r>
        <w:rPr>
          <w:rFonts w:hint="eastAsia" w:ascii="仿宋_GB2312" w:hAnsi="仿宋_GB2312" w:eastAsia="仿宋_GB2312" w:cs="仿宋_GB2312"/>
          <w:bCs w:val="0"/>
          <w:color w:val="auto"/>
          <w:sz w:val="30"/>
          <w:szCs w:val="30"/>
          <w:highlight w:val="none"/>
          <w:lang w:eastAsia="zh-CN"/>
        </w:rPr>
        <w:t>不另行支付。</w:t>
      </w:r>
    </w:p>
    <w:p w14:paraId="0FB44E92">
      <w:pPr>
        <w:pStyle w:val="30"/>
        <w:ind w:firstLine="600" w:firstLineChars="200"/>
        <w:rPr>
          <w:rFonts w:hint="eastAsia" w:ascii="仿宋_GB2312" w:hAnsi="仿宋_GB2312" w:eastAsia="仿宋_GB2312" w:cs="仿宋_GB2312"/>
          <w:color w:val="auto"/>
          <w:kern w:val="0"/>
          <w:sz w:val="30"/>
          <w:szCs w:val="30"/>
          <w:highlight w:val="none"/>
          <w:lang w:val="en-US" w:eastAsia="zh-CN" w:bidi="ar"/>
        </w:rPr>
      </w:pP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应当预估并承担因财政资金未按时到位或财政资金管理原因合同价款不能按时支付的风险。</w:t>
      </w: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收款账户信息详见合同协议书中所填写的相关内容，</w:t>
      </w: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收款账户信息发生变更的，应及时书面告知</w:t>
      </w:r>
      <w:r>
        <w:rPr>
          <w:rFonts w:hint="eastAsia" w:ascii="仿宋_GB2312" w:hAnsi="仿宋_GB2312" w:eastAsia="仿宋_GB2312" w:cs="仿宋_GB2312"/>
          <w:color w:val="auto"/>
          <w:sz w:val="30"/>
          <w:szCs w:val="30"/>
          <w:highlight w:val="none"/>
          <w:lang w:val="en-US" w:eastAsia="zh-CN"/>
        </w:rPr>
        <w:t>甲方</w:t>
      </w:r>
      <w:r>
        <w:rPr>
          <w:rFonts w:hint="eastAsia" w:ascii="仿宋_GB2312" w:hAnsi="仿宋_GB2312" w:eastAsia="仿宋_GB2312" w:cs="仿宋_GB2312"/>
          <w:color w:val="auto"/>
          <w:sz w:val="30"/>
          <w:szCs w:val="30"/>
          <w:highlight w:val="none"/>
          <w:lang w:eastAsia="zh-CN"/>
        </w:rPr>
        <w:t>并</w:t>
      </w:r>
      <w:r>
        <w:rPr>
          <w:rFonts w:hint="eastAsia" w:ascii="仿宋_GB2312" w:hAnsi="仿宋_GB2312" w:eastAsia="仿宋_GB2312" w:cs="仿宋_GB2312"/>
          <w:color w:val="auto"/>
          <w:sz w:val="30"/>
          <w:szCs w:val="30"/>
          <w:highlight w:val="none"/>
        </w:rPr>
        <w:t>经</w:t>
      </w:r>
      <w:r>
        <w:rPr>
          <w:rFonts w:hint="eastAsia" w:ascii="仿宋_GB2312" w:hAnsi="仿宋_GB2312" w:eastAsia="仿宋_GB2312" w:cs="仿宋_GB2312"/>
          <w:color w:val="auto"/>
          <w:sz w:val="30"/>
          <w:szCs w:val="30"/>
          <w:highlight w:val="none"/>
          <w:lang w:val="en-US" w:eastAsia="zh-CN"/>
        </w:rPr>
        <w:t>甲方</w:t>
      </w:r>
      <w:r>
        <w:rPr>
          <w:rFonts w:hint="eastAsia" w:ascii="仿宋_GB2312" w:hAnsi="仿宋_GB2312" w:eastAsia="仿宋_GB2312" w:cs="仿宋_GB2312"/>
          <w:color w:val="auto"/>
          <w:sz w:val="30"/>
          <w:szCs w:val="30"/>
          <w:highlight w:val="none"/>
        </w:rPr>
        <w:t>同意，否则由此造成的损失由</w:t>
      </w: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自行承担，</w:t>
      </w:r>
      <w:r>
        <w:rPr>
          <w:rFonts w:hint="eastAsia" w:ascii="仿宋_GB2312" w:hAnsi="仿宋_GB2312" w:eastAsia="仿宋_GB2312" w:cs="仿宋_GB2312"/>
          <w:color w:val="auto"/>
          <w:sz w:val="30"/>
          <w:szCs w:val="30"/>
          <w:highlight w:val="none"/>
          <w:lang w:val="en-US" w:eastAsia="zh-CN"/>
        </w:rPr>
        <w:t>甲方</w:t>
      </w:r>
      <w:r>
        <w:rPr>
          <w:rFonts w:hint="eastAsia" w:ascii="仿宋_GB2312" w:hAnsi="仿宋_GB2312" w:eastAsia="仿宋_GB2312" w:cs="仿宋_GB2312"/>
          <w:color w:val="auto"/>
          <w:sz w:val="30"/>
          <w:szCs w:val="30"/>
          <w:highlight w:val="none"/>
        </w:rPr>
        <w:t>不接受</w:t>
      </w:r>
      <w:r>
        <w:rPr>
          <w:rFonts w:hint="eastAsia" w:ascii="仿宋_GB2312" w:hAnsi="仿宋_GB2312" w:eastAsia="仿宋_GB2312" w:cs="仿宋_GB2312"/>
          <w:color w:val="auto"/>
          <w:sz w:val="30"/>
          <w:szCs w:val="30"/>
          <w:highlight w:val="none"/>
          <w:lang w:val="en-US" w:eastAsia="zh-CN"/>
        </w:rPr>
        <w:t>乙方</w:t>
      </w:r>
      <w:r>
        <w:rPr>
          <w:rFonts w:hint="eastAsia" w:ascii="仿宋_GB2312" w:hAnsi="仿宋_GB2312" w:eastAsia="仿宋_GB2312" w:cs="仿宋_GB2312"/>
          <w:color w:val="auto"/>
          <w:sz w:val="30"/>
          <w:szCs w:val="30"/>
          <w:highlight w:val="none"/>
        </w:rPr>
        <w:t>委托第三方收款。</w:t>
      </w:r>
    </w:p>
    <w:p w14:paraId="77C3B8D2">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 服务费支付方式：</w:t>
      </w:r>
    </w:p>
    <w:p w14:paraId="2AEA8C12">
      <w:pPr>
        <w:widowControl/>
        <w:spacing w:line="500" w:lineRule="exact"/>
        <w:ind w:firstLine="600" w:firstLineChars="200"/>
        <w:rPr>
          <w:rFonts w:hint="eastAsia" w:ascii="仿宋_GB2312" w:hAnsi="仿宋_GB2312" w:eastAsia="仿宋_GB2312" w:cs="仿宋_GB2312"/>
          <w:color w:val="auto"/>
          <w:sz w:val="30"/>
          <w:szCs w:val="30"/>
          <w:highlight w:val="none"/>
          <w:lang w:bidi="ar"/>
        </w:rPr>
      </w:pPr>
      <w:r>
        <w:rPr>
          <w:rFonts w:hint="eastAsia" w:ascii="仿宋_GB2312" w:hAnsi="仿宋_GB2312" w:eastAsia="仿宋_GB2312" w:cs="仿宋_GB2312"/>
          <w:color w:val="auto"/>
          <w:sz w:val="30"/>
          <w:szCs w:val="30"/>
          <w:highlight w:val="none"/>
          <w:lang w:bidi="ar"/>
        </w:rPr>
        <w:t>（1）合同签订后，由</w:t>
      </w:r>
      <w:r>
        <w:rPr>
          <w:rFonts w:hint="eastAsia" w:ascii="仿宋_GB2312" w:hAnsi="仿宋_GB2312" w:eastAsia="仿宋_GB2312" w:cs="仿宋_GB2312"/>
          <w:color w:val="auto"/>
          <w:sz w:val="30"/>
          <w:szCs w:val="30"/>
          <w:highlight w:val="none"/>
          <w:lang w:val="en-US" w:eastAsia="zh-CN" w:bidi="ar"/>
        </w:rPr>
        <w:t>乙方</w:t>
      </w:r>
      <w:r>
        <w:rPr>
          <w:rFonts w:hint="eastAsia" w:ascii="仿宋_GB2312" w:hAnsi="仿宋_GB2312" w:eastAsia="仿宋_GB2312" w:cs="仿宋_GB2312"/>
          <w:color w:val="auto"/>
          <w:sz w:val="30"/>
          <w:szCs w:val="30"/>
          <w:highlight w:val="none"/>
          <w:lang w:bidi="ar"/>
        </w:rPr>
        <w:t>提交</w:t>
      </w:r>
      <w:r>
        <w:rPr>
          <w:rFonts w:hint="eastAsia" w:ascii="仿宋_GB2312" w:hAnsi="仿宋_GB2312" w:eastAsia="仿宋_GB2312" w:cs="仿宋_GB2312"/>
          <w:color w:val="auto"/>
          <w:sz w:val="30"/>
          <w:szCs w:val="30"/>
          <w:highlight w:val="none"/>
          <w:lang w:eastAsia="zh-CN" w:bidi="ar"/>
        </w:rPr>
        <w:t>第一次付</w:t>
      </w:r>
      <w:r>
        <w:rPr>
          <w:rFonts w:hint="eastAsia" w:ascii="仿宋_GB2312" w:hAnsi="仿宋_GB2312" w:eastAsia="仿宋_GB2312" w:cs="仿宋_GB2312"/>
          <w:color w:val="auto"/>
          <w:sz w:val="30"/>
          <w:szCs w:val="30"/>
          <w:highlight w:val="none"/>
          <w:lang w:bidi="ar"/>
        </w:rPr>
        <w:t>款支付申请，</w:t>
      </w:r>
      <w:r>
        <w:rPr>
          <w:rFonts w:hint="eastAsia" w:ascii="仿宋_GB2312" w:hAnsi="仿宋_GB2312" w:eastAsia="仿宋_GB2312" w:cs="仿宋_GB2312"/>
          <w:color w:val="auto"/>
          <w:sz w:val="30"/>
          <w:szCs w:val="30"/>
          <w:highlight w:val="none"/>
          <w:lang w:val="en-US" w:eastAsia="zh-CN" w:bidi="ar"/>
        </w:rPr>
        <w:t>甲方</w:t>
      </w:r>
      <w:r>
        <w:rPr>
          <w:rFonts w:hint="eastAsia" w:ascii="仿宋_GB2312" w:hAnsi="仿宋_GB2312" w:eastAsia="仿宋_GB2312" w:cs="仿宋_GB2312"/>
          <w:color w:val="auto"/>
          <w:sz w:val="30"/>
          <w:szCs w:val="30"/>
          <w:highlight w:val="none"/>
          <w:lang w:bidi="ar"/>
        </w:rPr>
        <w:t>收到</w:t>
      </w:r>
      <w:r>
        <w:rPr>
          <w:rFonts w:hint="eastAsia" w:ascii="仿宋_GB2312" w:hAnsi="仿宋_GB2312" w:eastAsia="仿宋_GB2312" w:cs="仿宋_GB2312"/>
          <w:color w:val="auto"/>
          <w:sz w:val="30"/>
          <w:szCs w:val="30"/>
          <w:highlight w:val="none"/>
          <w:lang w:eastAsia="zh-CN" w:bidi="ar"/>
        </w:rPr>
        <w:t>第一次付</w:t>
      </w:r>
      <w:r>
        <w:rPr>
          <w:rFonts w:hint="eastAsia" w:ascii="仿宋_GB2312" w:hAnsi="仿宋_GB2312" w:eastAsia="仿宋_GB2312" w:cs="仿宋_GB2312"/>
          <w:color w:val="auto"/>
          <w:sz w:val="30"/>
          <w:szCs w:val="30"/>
          <w:highlight w:val="none"/>
          <w:lang w:bidi="ar"/>
        </w:rPr>
        <w:t>款支付申请后10个工作日内，向</w:t>
      </w:r>
      <w:r>
        <w:rPr>
          <w:rFonts w:hint="eastAsia" w:ascii="仿宋_GB2312" w:hAnsi="仿宋_GB2312" w:eastAsia="仿宋_GB2312" w:cs="仿宋_GB2312"/>
          <w:color w:val="auto"/>
          <w:sz w:val="30"/>
          <w:szCs w:val="30"/>
          <w:highlight w:val="none"/>
          <w:lang w:val="en-US" w:eastAsia="zh-CN" w:bidi="ar"/>
        </w:rPr>
        <w:t>乙方</w:t>
      </w:r>
      <w:r>
        <w:rPr>
          <w:rFonts w:hint="eastAsia" w:ascii="仿宋_GB2312" w:hAnsi="仿宋_GB2312" w:eastAsia="仿宋_GB2312" w:cs="仿宋_GB2312"/>
          <w:color w:val="auto"/>
          <w:sz w:val="30"/>
          <w:szCs w:val="30"/>
          <w:highlight w:val="none"/>
          <w:lang w:bidi="ar"/>
        </w:rPr>
        <w:t>支付本合同价的</w:t>
      </w:r>
      <w:r>
        <w:rPr>
          <w:rFonts w:hint="eastAsia" w:ascii="仿宋_GB2312" w:hAnsi="仿宋_GB2312" w:eastAsia="仿宋_GB2312" w:cs="仿宋_GB2312"/>
          <w:color w:val="auto"/>
          <w:sz w:val="30"/>
          <w:szCs w:val="30"/>
          <w:highlight w:val="none"/>
          <w:lang w:eastAsia="zh-CN" w:bidi="ar"/>
        </w:rPr>
        <w:t>3</w:t>
      </w:r>
      <w:r>
        <w:rPr>
          <w:rFonts w:hint="eastAsia" w:ascii="仿宋_GB2312" w:hAnsi="仿宋_GB2312" w:eastAsia="仿宋_GB2312" w:cs="仿宋_GB2312"/>
          <w:color w:val="auto"/>
          <w:sz w:val="30"/>
          <w:szCs w:val="30"/>
          <w:highlight w:val="none"/>
          <w:lang w:bidi="ar"/>
        </w:rPr>
        <w:t>0%</w:t>
      </w:r>
      <w:r>
        <w:rPr>
          <w:rFonts w:hint="eastAsia" w:ascii="仿宋_GB2312" w:hAnsi="仿宋_GB2312" w:eastAsia="仿宋_GB2312" w:cs="仿宋_GB2312"/>
          <w:color w:val="auto"/>
          <w:sz w:val="30"/>
          <w:szCs w:val="30"/>
          <w:highlight w:val="none"/>
          <w:lang w:eastAsia="zh-CN" w:bidi="ar"/>
        </w:rPr>
        <w:t>合同</w:t>
      </w:r>
      <w:r>
        <w:rPr>
          <w:rFonts w:hint="eastAsia" w:ascii="仿宋_GB2312" w:hAnsi="仿宋_GB2312" w:eastAsia="仿宋_GB2312" w:cs="仿宋_GB2312"/>
          <w:color w:val="auto"/>
          <w:sz w:val="30"/>
          <w:szCs w:val="30"/>
          <w:highlight w:val="none"/>
          <w:lang w:bidi="ar"/>
        </w:rPr>
        <w:t>款；</w:t>
      </w:r>
      <w:r>
        <w:rPr>
          <w:rFonts w:hint="eastAsia" w:ascii="仿宋_GB2312" w:hAnsi="仿宋_GB2312" w:eastAsia="仿宋_GB2312" w:cs="仿宋_GB2312"/>
          <w:color w:val="auto"/>
          <w:sz w:val="30"/>
          <w:szCs w:val="30"/>
          <w:highlight w:val="none"/>
          <w:lang w:val="en-US" w:eastAsia="zh-CN" w:bidi="ar"/>
        </w:rPr>
        <w:t>乙方</w:t>
      </w:r>
      <w:r>
        <w:rPr>
          <w:rFonts w:hint="eastAsia" w:ascii="仿宋_GB2312" w:hAnsi="仿宋_GB2312" w:eastAsia="仿宋_GB2312" w:cs="仿宋_GB2312"/>
          <w:color w:val="auto"/>
          <w:sz w:val="30"/>
          <w:szCs w:val="30"/>
          <w:highlight w:val="none"/>
          <w:lang w:bidi="ar"/>
        </w:rPr>
        <w:t>不得将该</w:t>
      </w:r>
      <w:r>
        <w:rPr>
          <w:rFonts w:hint="eastAsia" w:ascii="仿宋_GB2312" w:hAnsi="仿宋_GB2312" w:eastAsia="仿宋_GB2312" w:cs="仿宋_GB2312"/>
          <w:color w:val="auto"/>
          <w:sz w:val="30"/>
          <w:szCs w:val="30"/>
          <w:highlight w:val="none"/>
          <w:lang w:eastAsia="zh-CN" w:bidi="ar"/>
        </w:rPr>
        <w:t>款项</w:t>
      </w:r>
      <w:r>
        <w:rPr>
          <w:rFonts w:hint="eastAsia" w:ascii="仿宋_GB2312" w:hAnsi="仿宋_GB2312" w:eastAsia="仿宋_GB2312" w:cs="仿宋_GB2312"/>
          <w:color w:val="auto"/>
          <w:sz w:val="30"/>
          <w:szCs w:val="30"/>
          <w:highlight w:val="none"/>
          <w:lang w:bidi="ar"/>
        </w:rPr>
        <w:t>用于本项目无关的支出，监理工程师有权监督</w:t>
      </w:r>
      <w:r>
        <w:rPr>
          <w:rFonts w:hint="eastAsia" w:ascii="仿宋_GB2312" w:hAnsi="仿宋_GB2312" w:eastAsia="仿宋_GB2312" w:cs="仿宋_GB2312"/>
          <w:color w:val="auto"/>
          <w:sz w:val="30"/>
          <w:szCs w:val="30"/>
          <w:highlight w:val="none"/>
          <w:lang w:val="en-US" w:eastAsia="zh-CN" w:bidi="ar"/>
        </w:rPr>
        <w:t>乙方</w:t>
      </w:r>
      <w:r>
        <w:rPr>
          <w:rFonts w:hint="eastAsia" w:ascii="仿宋_GB2312" w:hAnsi="仿宋_GB2312" w:eastAsia="仿宋_GB2312" w:cs="仿宋_GB2312"/>
          <w:color w:val="auto"/>
          <w:sz w:val="30"/>
          <w:szCs w:val="30"/>
          <w:highlight w:val="none"/>
          <w:lang w:bidi="ar"/>
        </w:rPr>
        <w:t>对该项费用的使用，如经</w:t>
      </w:r>
      <w:r>
        <w:rPr>
          <w:rFonts w:hint="eastAsia" w:ascii="仿宋_GB2312" w:hAnsi="仿宋_GB2312" w:eastAsia="仿宋_GB2312" w:cs="仿宋_GB2312"/>
          <w:color w:val="auto"/>
          <w:sz w:val="30"/>
          <w:szCs w:val="30"/>
          <w:highlight w:val="none"/>
          <w:lang w:eastAsia="zh-CN" w:bidi="ar"/>
        </w:rPr>
        <w:t>核</w:t>
      </w:r>
      <w:r>
        <w:rPr>
          <w:rFonts w:hint="eastAsia" w:ascii="仿宋_GB2312" w:hAnsi="仿宋_GB2312" w:eastAsia="仿宋_GB2312" w:cs="仿宋_GB2312"/>
          <w:color w:val="auto"/>
          <w:sz w:val="30"/>
          <w:szCs w:val="30"/>
          <w:highlight w:val="none"/>
          <w:lang w:bidi="ar"/>
        </w:rPr>
        <w:t>实</w:t>
      </w:r>
      <w:r>
        <w:rPr>
          <w:rFonts w:hint="eastAsia" w:ascii="仿宋_GB2312" w:hAnsi="仿宋_GB2312" w:eastAsia="仿宋_GB2312" w:cs="仿宋_GB2312"/>
          <w:color w:val="auto"/>
          <w:sz w:val="30"/>
          <w:szCs w:val="30"/>
          <w:highlight w:val="none"/>
          <w:lang w:val="en-US" w:eastAsia="zh-CN" w:bidi="ar"/>
        </w:rPr>
        <w:t>乙方</w:t>
      </w:r>
      <w:r>
        <w:rPr>
          <w:rFonts w:hint="eastAsia" w:ascii="仿宋_GB2312" w:hAnsi="仿宋_GB2312" w:eastAsia="仿宋_GB2312" w:cs="仿宋_GB2312"/>
          <w:color w:val="auto"/>
          <w:sz w:val="30"/>
          <w:szCs w:val="30"/>
          <w:highlight w:val="none"/>
          <w:lang w:bidi="ar"/>
        </w:rPr>
        <w:t>滥用</w:t>
      </w:r>
      <w:r>
        <w:rPr>
          <w:rFonts w:hint="eastAsia" w:ascii="仿宋_GB2312" w:hAnsi="仿宋_GB2312" w:eastAsia="仿宋_GB2312" w:cs="仿宋_GB2312"/>
          <w:color w:val="auto"/>
          <w:sz w:val="30"/>
          <w:szCs w:val="30"/>
          <w:highlight w:val="none"/>
          <w:lang w:eastAsia="zh-CN" w:bidi="ar"/>
        </w:rPr>
        <w:t>该项费用</w:t>
      </w:r>
      <w:r>
        <w:rPr>
          <w:rFonts w:hint="eastAsia" w:ascii="仿宋_GB2312" w:hAnsi="仿宋_GB2312" w:eastAsia="仿宋_GB2312" w:cs="仿宋_GB2312"/>
          <w:color w:val="auto"/>
          <w:sz w:val="30"/>
          <w:szCs w:val="30"/>
          <w:highlight w:val="none"/>
          <w:lang w:bidi="ar"/>
        </w:rPr>
        <w:t>，</w:t>
      </w:r>
      <w:r>
        <w:rPr>
          <w:rFonts w:hint="eastAsia" w:ascii="仿宋_GB2312" w:hAnsi="仿宋_GB2312" w:eastAsia="仿宋_GB2312" w:cs="仿宋_GB2312"/>
          <w:color w:val="auto"/>
          <w:sz w:val="30"/>
          <w:szCs w:val="30"/>
          <w:highlight w:val="none"/>
          <w:lang w:val="en-US" w:eastAsia="zh-CN" w:bidi="ar"/>
        </w:rPr>
        <w:t>甲方</w:t>
      </w:r>
      <w:r>
        <w:rPr>
          <w:rFonts w:hint="eastAsia" w:ascii="仿宋_GB2312" w:hAnsi="仿宋_GB2312" w:eastAsia="仿宋_GB2312" w:cs="仿宋_GB2312"/>
          <w:color w:val="auto"/>
          <w:sz w:val="30"/>
          <w:szCs w:val="30"/>
          <w:highlight w:val="none"/>
          <w:lang w:bidi="ar"/>
        </w:rPr>
        <w:t>有权立即将该款收回。</w:t>
      </w:r>
    </w:p>
    <w:p w14:paraId="4D41F076">
      <w:pPr>
        <w:widowControl/>
        <w:spacing w:line="500" w:lineRule="exact"/>
        <w:ind w:firstLine="600" w:firstLineChars="200"/>
        <w:rPr>
          <w:rFonts w:hint="eastAsia" w:ascii="仿宋_GB2312" w:hAnsi="仿宋_GB2312" w:eastAsia="仿宋_GB2312" w:cs="仿宋_GB2312"/>
          <w:color w:val="auto"/>
          <w:sz w:val="30"/>
          <w:szCs w:val="30"/>
          <w:highlight w:val="none"/>
          <w:lang w:bidi="ar"/>
        </w:rPr>
      </w:pPr>
      <w:r>
        <w:rPr>
          <w:rFonts w:hint="eastAsia" w:ascii="仿宋_GB2312" w:hAnsi="仿宋_GB2312" w:eastAsia="仿宋_GB2312" w:cs="仿宋_GB2312"/>
          <w:color w:val="auto"/>
          <w:sz w:val="30"/>
          <w:szCs w:val="30"/>
          <w:highlight w:val="none"/>
          <w:lang w:eastAsia="zh-CN" w:bidi="ar"/>
        </w:rPr>
        <w:t>（</w:t>
      </w:r>
      <w:r>
        <w:rPr>
          <w:rFonts w:hint="eastAsia" w:ascii="仿宋_GB2312" w:hAnsi="仿宋_GB2312" w:eastAsia="仿宋_GB2312" w:cs="仿宋_GB2312"/>
          <w:color w:val="auto"/>
          <w:sz w:val="30"/>
          <w:szCs w:val="30"/>
          <w:highlight w:val="none"/>
          <w:lang w:val="en-US" w:eastAsia="zh-CN" w:bidi="ar"/>
        </w:rPr>
        <w:t>2</w:t>
      </w:r>
      <w:r>
        <w:rPr>
          <w:rFonts w:hint="eastAsia" w:ascii="仿宋_GB2312" w:hAnsi="仿宋_GB2312" w:eastAsia="仿宋_GB2312" w:cs="仿宋_GB2312"/>
          <w:color w:val="auto"/>
          <w:sz w:val="30"/>
          <w:szCs w:val="30"/>
          <w:highlight w:val="none"/>
          <w:lang w:eastAsia="zh-CN" w:bidi="ar"/>
        </w:rPr>
        <w:t>）</w:t>
      </w:r>
      <w:r>
        <w:rPr>
          <w:rFonts w:hint="eastAsia" w:ascii="仿宋_GB2312" w:hAnsi="仿宋_GB2312" w:eastAsia="仿宋_GB2312" w:cs="仿宋_GB2312"/>
          <w:color w:val="auto"/>
          <w:sz w:val="30"/>
          <w:szCs w:val="30"/>
          <w:highlight w:val="none"/>
          <w:lang w:bidi="ar"/>
        </w:rPr>
        <w:t>中标供应商</w:t>
      </w:r>
      <w:r>
        <w:rPr>
          <w:rFonts w:hint="eastAsia" w:ascii="仿宋_GB2312" w:hAnsi="仿宋_GB2312" w:eastAsia="仿宋_GB2312" w:cs="仿宋_GB2312"/>
          <w:color w:val="auto"/>
          <w:sz w:val="30"/>
          <w:szCs w:val="30"/>
          <w:highlight w:val="none"/>
          <w:lang w:val="en-US" w:eastAsia="zh-CN" w:bidi="ar"/>
        </w:rPr>
        <w:t>完成</w:t>
      </w:r>
      <w:r>
        <w:rPr>
          <w:rFonts w:hint="eastAsia" w:ascii="仿宋_GB2312" w:hAnsi="仿宋_GB2312" w:eastAsia="仿宋_GB2312" w:cs="仿宋_GB2312"/>
          <w:color w:val="auto"/>
          <w:sz w:val="30"/>
          <w:szCs w:val="30"/>
          <w:highlight w:val="none"/>
          <w:lang w:bidi="ar"/>
        </w:rPr>
        <w:t>测量外业及内业工作</w:t>
      </w:r>
      <w:r>
        <w:rPr>
          <w:rFonts w:hint="eastAsia" w:ascii="仿宋_GB2312" w:hAnsi="仿宋_GB2312" w:eastAsia="仿宋_GB2312" w:cs="仿宋_GB2312"/>
          <w:color w:val="auto"/>
          <w:sz w:val="30"/>
          <w:szCs w:val="30"/>
          <w:highlight w:val="none"/>
          <w:lang w:val="en-US" w:eastAsia="zh-CN" w:bidi="ar"/>
        </w:rPr>
        <w:t>后，</w:t>
      </w:r>
      <w:r>
        <w:rPr>
          <w:rFonts w:hint="eastAsia" w:ascii="仿宋_GB2312" w:hAnsi="仿宋_GB2312" w:eastAsia="仿宋_GB2312" w:cs="仿宋_GB2312"/>
          <w:color w:val="auto"/>
          <w:sz w:val="30"/>
          <w:szCs w:val="30"/>
          <w:highlight w:val="none"/>
          <w:lang w:bidi="ar"/>
        </w:rPr>
        <w:t>在提交经</w:t>
      </w:r>
      <w:r>
        <w:rPr>
          <w:rFonts w:hint="eastAsia" w:ascii="仿宋_GB2312" w:hAnsi="仿宋_GB2312" w:eastAsia="仿宋_GB2312" w:cs="仿宋_GB2312"/>
          <w:color w:val="auto"/>
          <w:sz w:val="30"/>
          <w:szCs w:val="30"/>
          <w:highlight w:val="none"/>
          <w:lang w:val="en-US" w:eastAsia="zh-CN" w:bidi="ar"/>
        </w:rPr>
        <w:t>采购</w:t>
      </w:r>
      <w:r>
        <w:rPr>
          <w:rFonts w:hint="eastAsia" w:ascii="仿宋_GB2312" w:hAnsi="仿宋_GB2312" w:eastAsia="仿宋_GB2312" w:cs="仿宋_GB2312"/>
          <w:color w:val="auto"/>
          <w:sz w:val="30"/>
          <w:szCs w:val="30"/>
          <w:highlight w:val="none"/>
          <w:lang w:bidi="ar"/>
        </w:rPr>
        <w:t>人组织专家评审验收合格的测量成果报告，</w:t>
      </w:r>
      <w:r>
        <w:rPr>
          <w:rFonts w:hint="eastAsia" w:ascii="仿宋_GB2312" w:hAnsi="仿宋_GB2312" w:eastAsia="仿宋_GB2312" w:cs="仿宋_GB2312"/>
          <w:color w:val="auto"/>
          <w:sz w:val="30"/>
          <w:szCs w:val="30"/>
          <w:highlight w:val="none"/>
          <w:lang w:val="en-US" w:eastAsia="zh-CN" w:bidi="ar"/>
        </w:rPr>
        <w:t>同时项目通过交工验收后，</w:t>
      </w:r>
      <w:r>
        <w:rPr>
          <w:rFonts w:hint="eastAsia" w:ascii="仿宋_GB2312" w:hAnsi="仿宋_GB2312" w:eastAsia="仿宋_GB2312" w:cs="仿宋_GB2312"/>
          <w:color w:val="auto"/>
          <w:sz w:val="30"/>
          <w:szCs w:val="30"/>
          <w:highlight w:val="none"/>
          <w:lang w:bidi="ar"/>
        </w:rPr>
        <w:t>由中标供应商</w:t>
      </w:r>
      <w:r>
        <w:rPr>
          <w:rFonts w:hint="eastAsia" w:ascii="仿宋_GB2312" w:hAnsi="仿宋_GB2312" w:eastAsia="仿宋_GB2312" w:cs="仿宋_GB2312"/>
          <w:color w:val="auto"/>
          <w:sz w:val="30"/>
          <w:szCs w:val="30"/>
          <w:highlight w:val="none"/>
          <w:lang w:val="en-US" w:eastAsia="zh-CN" w:bidi="ar"/>
        </w:rPr>
        <w:t>提交进度款支付申请，采购人收到进度款支付申请后10</w:t>
      </w:r>
      <w:r>
        <w:rPr>
          <w:rFonts w:hint="eastAsia" w:ascii="仿宋_GB2312" w:hAnsi="仿宋_GB2312" w:eastAsia="仿宋_GB2312" w:cs="仿宋_GB2312"/>
          <w:color w:val="auto"/>
          <w:sz w:val="30"/>
          <w:szCs w:val="30"/>
          <w:highlight w:val="none"/>
          <w:lang w:bidi="ar"/>
        </w:rPr>
        <w:t>个工作日内，向中标供应商支付至本合同价的</w:t>
      </w:r>
      <w:r>
        <w:rPr>
          <w:rFonts w:hint="eastAsia" w:ascii="仿宋_GB2312" w:hAnsi="仿宋_GB2312" w:eastAsia="仿宋_GB2312" w:cs="仿宋_GB2312"/>
          <w:color w:val="auto"/>
          <w:sz w:val="30"/>
          <w:szCs w:val="30"/>
          <w:highlight w:val="none"/>
          <w:lang w:val="en-US" w:eastAsia="zh-CN" w:bidi="ar"/>
        </w:rPr>
        <w:t>95</w:t>
      </w:r>
      <w:r>
        <w:rPr>
          <w:rFonts w:hint="eastAsia" w:ascii="仿宋_GB2312" w:hAnsi="仿宋_GB2312" w:eastAsia="仿宋_GB2312" w:cs="仿宋_GB2312"/>
          <w:color w:val="auto"/>
          <w:sz w:val="30"/>
          <w:szCs w:val="30"/>
          <w:highlight w:val="none"/>
          <w:lang w:bidi="ar"/>
        </w:rPr>
        <w:t>%。</w:t>
      </w:r>
    </w:p>
    <w:p w14:paraId="2157E2F8">
      <w:pPr>
        <w:widowControl/>
        <w:spacing w:line="500" w:lineRule="exact"/>
        <w:ind w:firstLine="600" w:firstLineChars="200"/>
        <w:rPr>
          <w:rFonts w:hint="eastAsia" w:ascii="仿宋_GB2312" w:hAnsi="仿宋_GB2312" w:eastAsia="仿宋_GB2312" w:cs="仿宋_GB2312"/>
          <w:color w:val="auto"/>
          <w:sz w:val="30"/>
          <w:szCs w:val="30"/>
          <w:highlight w:val="none"/>
          <w:lang w:bidi="ar"/>
        </w:rPr>
      </w:pPr>
      <w:r>
        <w:rPr>
          <w:rFonts w:hint="eastAsia" w:ascii="仿宋_GB2312" w:hAnsi="仿宋_GB2312" w:eastAsia="仿宋_GB2312" w:cs="仿宋_GB2312"/>
          <w:color w:val="auto"/>
          <w:sz w:val="30"/>
          <w:szCs w:val="30"/>
          <w:highlight w:val="none"/>
          <w:lang w:val="en-US" w:eastAsia="zh-CN" w:bidi="ar"/>
        </w:rPr>
        <w:t>（3）锚地通过</w:t>
      </w:r>
      <w:r>
        <w:rPr>
          <w:rFonts w:hint="eastAsia" w:ascii="仿宋_GB2312" w:hAnsi="仿宋_GB2312" w:eastAsia="仿宋_GB2312" w:cs="仿宋_GB2312"/>
          <w:color w:val="auto"/>
          <w:sz w:val="30"/>
          <w:szCs w:val="30"/>
          <w:highlight w:val="none"/>
          <w:lang w:bidi="ar"/>
        </w:rPr>
        <w:t>海事部门发布</w:t>
      </w:r>
      <w:r>
        <w:rPr>
          <w:rFonts w:hint="eastAsia" w:ascii="仿宋_GB2312" w:hAnsi="仿宋_GB2312" w:eastAsia="仿宋_GB2312" w:cs="仿宋_GB2312"/>
          <w:color w:val="auto"/>
          <w:sz w:val="30"/>
          <w:szCs w:val="30"/>
          <w:highlight w:val="none"/>
          <w:lang w:val="en-US" w:eastAsia="zh-CN" w:bidi="ar"/>
        </w:rPr>
        <w:t>对外</w:t>
      </w:r>
      <w:r>
        <w:rPr>
          <w:rFonts w:hint="eastAsia" w:ascii="仿宋_GB2312" w:hAnsi="仿宋_GB2312" w:eastAsia="仿宋_GB2312" w:cs="仿宋_GB2312"/>
          <w:color w:val="auto"/>
          <w:sz w:val="30"/>
          <w:szCs w:val="30"/>
          <w:highlight w:val="none"/>
          <w:lang w:bidi="ar"/>
        </w:rPr>
        <w:t>公告，</w:t>
      </w:r>
      <w:r>
        <w:rPr>
          <w:rFonts w:hint="eastAsia" w:ascii="仿宋_GB2312" w:hAnsi="仿宋_GB2312" w:eastAsia="仿宋_GB2312" w:cs="仿宋_GB2312"/>
          <w:color w:val="auto"/>
          <w:sz w:val="30"/>
          <w:szCs w:val="30"/>
          <w:highlight w:val="none"/>
          <w:lang w:val="en-US" w:eastAsia="zh-CN" w:bidi="ar"/>
        </w:rPr>
        <w:t>并由航海保障中心</w:t>
      </w:r>
      <w:r>
        <w:rPr>
          <w:rFonts w:hint="eastAsia" w:ascii="仿宋_GB2312" w:hAnsi="仿宋_GB2312" w:eastAsia="仿宋_GB2312" w:cs="仿宋_GB2312"/>
          <w:color w:val="auto"/>
          <w:sz w:val="30"/>
          <w:szCs w:val="30"/>
          <w:highlight w:val="none"/>
          <w:lang w:eastAsia="zh-CN" w:bidi="ar"/>
        </w:rPr>
        <w:t>发布</w:t>
      </w:r>
      <w:r>
        <w:rPr>
          <w:rFonts w:hint="eastAsia" w:ascii="仿宋_GB2312" w:hAnsi="仿宋_GB2312" w:eastAsia="仿宋_GB2312" w:cs="仿宋_GB2312"/>
          <w:color w:val="auto"/>
          <w:sz w:val="30"/>
          <w:szCs w:val="30"/>
          <w:highlight w:val="none"/>
          <w:lang w:bidi="ar"/>
        </w:rPr>
        <w:t>海图后，由中标供应商提交尾款支付申请，</w:t>
      </w:r>
      <w:r>
        <w:rPr>
          <w:rFonts w:hint="eastAsia" w:ascii="仿宋_GB2312" w:hAnsi="仿宋_GB2312" w:eastAsia="仿宋_GB2312" w:cs="仿宋_GB2312"/>
          <w:color w:val="auto"/>
          <w:sz w:val="30"/>
          <w:szCs w:val="30"/>
          <w:highlight w:val="none"/>
          <w:lang w:val="en-US" w:eastAsia="zh-CN" w:bidi="ar"/>
        </w:rPr>
        <w:t>采购</w:t>
      </w:r>
      <w:r>
        <w:rPr>
          <w:rFonts w:hint="eastAsia" w:ascii="仿宋_GB2312" w:hAnsi="仿宋_GB2312" w:eastAsia="仿宋_GB2312" w:cs="仿宋_GB2312"/>
          <w:color w:val="auto"/>
          <w:sz w:val="30"/>
          <w:szCs w:val="30"/>
          <w:highlight w:val="none"/>
          <w:lang w:bidi="ar"/>
        </w:rPr>
        <w:t>人收到尾款支付申请后10个工作日内，向中标供应商支付至本合同价的100%。</w:t>
      </w:r>
    </w:p>
    <w:p w14:paraId="3ED02282">
      <w:pPr>
        <w:widowControl/>
        <w:spacing w:line="500" w:lineRule="exact"/>
        <w:ind w:firstLine="600" w:firstLineChars="200"/>
        <w:rPr>
          <w:rFonts w:hint="eastAsia" w:ascii="仿宋_GB2312" w:hAnsi="仿宋_GB2312" w:eastAsia="仿宋_GB2312" w:cs="仿宋_GB2312"/>
          <w:color w:val="auto"/>
          <w:sz w:val="30"/>
          <w:szCs w:val="30"/>
          <w:highlight w:val="none"/>
          <w:lang w:bidi="ar"/>
        </w:rPr>
      </w:pPr>
      <w:r>
        <w:rPr>
          <w:rFonts w:hint="eastAsia" w:ascii="仿宋_GB2312" w:hAnsi="仿宋_GB2312" w:eastAsia="仿宋_GB2312" w:cs="仿宋_GB2312"/>
          <w:color w:val="auto"/>
          <w:sz w:val="30"/>
          <w:szCs w:val="30"/>
          <w:highlight w:val="none"/>
          <w:lang w:bidi="ar"/>
        </w:rPr>
        <w:t>（</w:t>
      </w:r>
      <w:r>
        <w:rPr>
          <w:rFonts w:hint="eastAsia" w:ascii="仿宋_GB2312" w:hAnsi="仿宋_GB2312" w:eastAsia="仿宋_GB2312" w:cs="仿宋_GB2312"/>
          <w:color w:val="auto"/>
          <w:sz w:val="30"/>
          <w:szCs w:val="30"/>
          <w:highlight w:val="none"/>
          <w:lang w:eastAsia="zh-CN" w:bidi="ar"/>
        </w:rPr>
        <w:t>4</w:t>
      </w:r>
      <w:r>
        <w:rPr>
          <w:rFonts w:hint="eastAsia" w:ascii="仿宋_GB2312" w:hAnsi="仿宋_GB2312" w:eastAsia="仿宋_GB2312" w:cs="仿宋_GB2312"/>
          <w:color w:val="auto"/>
          <w:sz w:val="30"/>
          <w:szCs w:val="30"/>
          <w:highlight w:val="none"/>
          <w:lang w:bidi="ar"/>
        </w:rPr>
        <w:t>）</w:t>
      </w:r>
      <w:r>
        <w:rPr>
          <w:rFonts w:hint="eastAsia" w:ascii="仿宋_GB2312" w:hAnsi="仿宋_GB2312" w:eastAsia="仿宋_GB2312" w:cs="仿宋_GB2312"/>
          <w:color w:val="auto"/>
          <w:sz w:val="30"/>
          <w:szCs w:val="30"/>
          <w:highlight w:val="none"/>
          <w:lang w:val="en-US" w:eastAsia="zh-CN" w:bidi="ar"/>
        </w:rPr>
        <w:t>乙方</w:t>
      </w:r>
      <w:r>
        <w:rPr>
          <w:rFonts w:hint="eastAsia" w:ascii="仿宋_GB2312" w:hAnsi="仿宋_GB2312" w:eastAsia="仿宋_GB2312" w:cs="仿宋_GB2312"/>
          <w:color w:val="auto"/>
          <w:sz w:val="30"/>
          <w:szCs w:val="30"/>
          <w:highlight w:val="none"/>
          <w:lang w:bidi="ar"/>
        </w:rPr>
        <w:t>提交支付申请时，应当提供等额的增值税发票。</w:t>
      </w:r>
    </w:p>
    <w:p w14:paraId="042F8644">
      <w:pPr>
        <w:widowControl/>
        <w:spacing w:line="500" w:lineRule="exact"/>
        <w:ind w:firstLine="600" w:firstLineChars="200"/>
        <w:rPr>
          <w:rFonts w:hint="eastAsia" w:ascii="仿宋_GB2312" w:hAnsi="仿宋_GB2312" w:eastAsia="仿宋_GB2312" w:cs="仿宋_GB2312"/>
          <w:color w:val="auto"/>
          <w:sz w:val="30"/>
          <w:szCs w:val="30"/>
          <w:highlight w:val="none"/>
          <w:lang w:bidi="ar"/>
        </w:rPr>
      </w:pPr>
      <w:r>
        <w:rPr>
          <w:rFonts w:hint="eastAsia" w:ascii="仿宋_GB2312" w:hAnsi="仿宋_GB2312" w:eastAsia="仿宋_GB2312" w:cs="仿宋_GB2312"/>
          <w:color w:val="auto"/>
          <w:sz w:val="30"/>
          <w:szCs w:val="30"/>
          <w:highlight w:val="none"/>
          <w:lang w:bidi="ar"/>
        </w:rPr>
        <w:t>（</w:t>
      </w:r>
      <w:r>
        <w:rPr>
          <w:rFonts w:hint="eastAsia" w:ascii="仿宋_GB2312" w:hAnsi="仿宋_GB2312" w:eastAsia="仿宋_GB2312" w:cs="仿宋_GB2312"/>
          <w:color w:val="auto"/>
          <w:sz w:val="30"/>
          <w:szCs w:val="30"/>
          <w:highlight w:val="none"/>
          <w:lang w:eastAsia="zh-CN" w:bidi="ar"/>
        </w:rPr>
        <w:t>5</w:t>
      </w:r>
      <w:r>
        <w:rPr>
          <w:rFonts w:hint="eastAsia" w:ascii="仿宋_GB2312" w:hAnsi="仿宋_GB2312" w:eastAsia="仿宋_GB2312" w:cs="仿宋_GB2312"/>
          <w:color w:val="auto"/>
          <w:sz w:val="30"/>
          <w:szCs w:val="30"/>
          <w:highlight w:val="none"/>
          <w:lang w:bidi="ar"/>
        </w:rPr>
        <w:t>）因本项目经费为财政性资金，由于财政资金未按时到位或财政资金管理原因暂时不能支付的，合同价款的支付时间相应顺延，并且</w:t>
      </w:r>
      <w:r>
        <w:rPr>
          <w:rFonts w:hint="eastAsia" w:ascii="仿宋_GB2312" w:hAnsi="仿宋_GB2312" w:eastAsia="仿宋_GB2312" w:cs="仿宋_GB2312"/>
          <w:color w:val="auto"/>
          <w:sz w:val="30"/>
          <w:szCs w:val="30"/>
          <w:highlight w:val="none"/>
          <w:lang w:val="en-US" w:eastAsia="zh-CN" w:bidi="ar"/>
        </w:rPr>
        <w:t>甲方</w:t>
      </w:r>
      <w:r>
        <w:rPr>
          <w:rFonts w:hint="eastAsia" w:ascii="仿宋_GB2312" w:hAnsi="仿宋_GB2312" w:eastAsia="仿宋_GB2312" w:cs="仿宋_GB2312"/>
          <w:color w:val="auto"/>
          <w:sz w:val="30"/>
          <w:szCs w:val="30"/>
          <w:highlight w:val="none"/>
          <w:lang w:bidi="ar"/>
        </w:rPr>
        <w:t>不因此承担逾期付款的违约责任。</w:t>
      </w:r>
    </w:p>
    <w:p w14:paraId="28EB7554">
      <w:pPr>
        <w:pStyle w:val="45"/>
        <w:spacing w:line="500" w:lineRule="exact"/>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3.本项目竣工结算符合《自治区本级财政投资评审实施办法》（桂财办〔2015〕70号）评审范围规定的，需报财政部门审定，财政评审结论作为本项目的最终结算依据。</w:t>
      </w:r>
    </w:p>
    <w:p w14:paraId="4DB474D6">
      <w:pPr>
        <w:pStyle w:val="45"/>
        <w:spacing w:line="500" w:lineRule="exact"/>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4.履约保证金</w:t>
      </w:r>
    </w:p>
    <w:p w14:paraId="4D3DB330">
      <w:pPr>
        <w:pStyle w:val="45"/>
        <w:spacing w:line="500" w:lineRule="exact"/>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4.1 乙方在签订合同之前，向甲方提交金额为签约合同价的5%的履约担保。最近两年在广西水运建设市场设计和施工企业信用评价等级连续两年评为AA级的，履约担保金额为合同总价的2%。</w:t>
      </w:r>
    </w:p>
    <w:p w14:paraId="236D4484">
      <w:pPr>
        <w:pStyle w:val="45"/>
        <w:spacing w:line="500" w:lineRule="exact"/>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4.2 履约保证金可采用履约银行保函或银行转账的形式。</w:t>
      </w:r>
    </w:p>
    <w:p w14:paraId="10B60D8D">
      <w:pPr>
        <w:pStyle w:val="45"/>
        <w:spacing w:line="500" w:lineRule="exact"/>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（1）若采用银行保函形式，应采用招标文件所附的格式或采用由国有商业或股份制商业银行（支行或支行以上出具、并保证其有效银行保函格式。执行本条规定所需的费用由乙方承担。保函的正本由甲方保存。</w:t>
      </w:r>
    </w:p>
    <w:p w14:paraId="06051951">
      <w:pPr>
        <w:pStyle w:val="45"/>
        <w:spacing w:line="500" w:lineRule="exact"/>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若采用银行转账形式，应当从乙方基本账户转出，且全额一次性转入甲方指定账号，并注明“北海港铁山港区1万至3万吨级锚地工程交工验收测量服务项目履约保证金”，并且确保在中标通知书发出之日起30日内到账，否则，其履约担保视为无效，甲方可以取消其中标资格。</w:t>
      </w:r>
    </w:p>
    <w:p w14:paraId="09281BF4">
      <w:pPr>
        <w:pStyle w:val="45"/>
        <w:spacing w:line="500" w:lineRule="exact"/>
        <w:ind w:firstLine="600" w:firstLineChars="200"/>
        <w:rPr>
          <w:rFonts w:hint="default"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 xml:space="preserve">4.3 </w:t>
      </w:r>
      <w:r>
        <w:rPr>
          <w:rFonts w:hint="eastAsia" w:ascii="仿宋_GB2312" w:hAnsi="仿宋_GB2312" w:eastAsia="仿宋_GB2312" w:cs="仿宋_GB2312"/>
          <w:color w:val="auto"/>
          <w:sz w:val="30"/>
          <w:szCs w:val="30"/>
          <w:highlight w:val="none"/>
        </w:rPr>
        <w:t>履约担保在</w:t>
      </w: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按合同要求完成全部测量工作并全部提交合格的资料后28天内退还测量人。若采用银行转账形式交纳履约保证金，则在符合退回条件后，由</w:t>
      </w: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提出履约保证金退回申请，</w:t>
      </w:r>
      <w:r>
        <w:rPr>
          <w:rFonts w:hint="eastAsia" w:ascii="仿宋_GB2312" w:hAnsi="仿宋_GB2312" w:eastAsia="仿宋_GB2312" w:cs="仿宋_GB2312"/>
          <w:color w:val="auto"/>
          <w:sz w:val="30"/>
          <w:szCs w:val="30"/>
          <w:highlight w:val="none"/>
          <w:lang w:val="en-US" w:eastAsia="zh-CN"/>
        </w:rPr>
        <w:t>甲方</w:t>
      </w:r>
      <w:r>
        <w:rPr>
          <w:rFonts w:hint="eastAsia" w:ascii="仿宋_GB2312" w:hAnsi="仿宋_GB2312" w:eastAsia="仿宋_GB2312" w:cs="仿宋_GB2312"/>
          <w:color w:val="auto"/>
          <w:sz w:val="30"/>
          <w:szCs w:val="30"/>
          <w:highlight w:val="none"/>
        </w:rPr>
        <w:t>审核同意后将履约保证金退回</w:t>
      </w: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原转出的</w:t>
      </w:r>
      <w:r>
        <w:rPr>
          <w:rFonts w:hint="eastAsia" w:ascii="仿宋_GB2312" w:hAnsi="仿宋_GB2312" w:eastAsia="仿宋_GB2312" w:cs="仿宋_GB2312"/>
          <w:color w:val="auto"/>
          <w:sz w:val="30"/>
          <w:szCs w:val="30"/>
          <w:highlight w:val="none"/>
          <w:lang w:eastAsia="zh-CN"/>
        </w:rPr>
        <w:t>账</w:t>
      </w:r>
      <w:r>
        <w:rPr>
          <w:rFonts w:hint="eastAsia" w:ascii="仿宋_GB2312" w:hAnsi="仿宋_GB2312" w:eastAsia="仿宋_GB2312" w:cs="仿宋_GB2312"/>
          <w:color w:val="auto"/>
          <w:sz w:val="30"/>
          <w:szCs w:val="30"/>
          <w:highlight w:val="none"/>
        </w:rPr>
        <w:t>户（履约保证金不计利息）。</w:t>
      </w:r>
    </w:p>
    <w:p w14:paraId="1FF76DAA">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第五条：双方的责任和义务</w:t>
      </w:r>
    </w:p>
    <w:p w14:paraId="237E11C8">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（一）甲方责任和义务</w:t>
      </w:r>
    </w:p>
    <w:p w14:paraId="028FFE07">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1.甲方应按合同约定支付乙方合同费用。</w:t>
      </w:r>
    </w:p>
    <w:p w14:paraId="7EB7D2CD">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2.向乙方提供项目</w:t>
      </w:r>
      <w:r>
        <w:rPr>
          <w:rFonts w:hint="eastAsia" w:ascii="仿宋_GB2312" w:hAnsi="仿宋_GB2312" w:eastAsia="仿宋_GB2312" w:cs="仿宋_GB2312"/>
          <w:color w:val="auto"/>
          <w:sz w:val="30"/>
          <w:szCs w:val="30"/>
          <w:highlight w:val="none"/>
          <w:lang w:eastAsia="zh-CN"/>
        </w:rPr>
        <w:t>测量</w:t>
      </w:r>
      <w:r>
        <w:rPr>
          <w:rFonts w:hint="eastAsia" w:ascii="仿宋_GB2312" w:hAnsi="仿宋_GB2312" w:eastAsia="仿宋_GB2312" w:cs="仿宋_GB2312"/>
          <w:color w:val="auto"/>
          <w:sz w:val="30"/>
          <w:szCs w:val="30"/>
          <w:highlight w:val="none"/>
        </w:rPr>
        <w:t>基础资料，并对相关资料的合法性、真实性及完整性负责。</w:t>
      </w:r>
    </w:p>
    <w:p w14:paraId="421646F1">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3.甲方有权对乙方实施项目的进度、质量、安全、文明以及资金使用等进行监督、控制。</w:t>
      </w:r>
    </w:p>
    <w:p w14:paraId="376DFFC9">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4.承担履行合同过程中甲方的人身和财产安全责任。</w:t>
      </w:r>
    </w:p>
    <w:p w14:paraId="495319FC">
      <w:pPr>
        <w:pStyle w:val="45"/>
        <w:spacing w:line="500" w:lineRule="exact"/>
        <w:ind w:firstLine="602" w:firstLineChars="200"/>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（二）乙方责任和义务</w:t>
      </w:r>
    </w:p>
    <w:p w14:paraId="15519D6D">
      <w:pPr>
        <w:pStyle w:val="45"/>
        <w:spacing w:line="500" w:lineRule="exact"/>
        <w:ind w:firstLine="600" w:firstLineChars="200"/>
        <w:rPr>
          <w:rFonts w:hint="default"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1.乙方应按照现行的技术标准、规范规定和行政主管部门要求，完成合同规定的所有工作内容。</w:t>
      </w:r>
      <w:r>
        <w:rPr>
          <w:rFonts w:hint="eastAsia" w:ascii="仿宋_GB2312" w:hAnsi="仿宋_GB2312" w:eastAsia="仿宋_GB2312" w:cs="仿宋_GB2312"/>
          <w:color w:val="auto"/>
          <w:sz w:val="30"/>
          <w:szCs w:val="30"/>
          <w:highlight w:val="none"/>
          <w:lang w:eastAsia="zh-CN"/>
        </w:rPr>
        <w:t>乙方</w:t>
      </w:r>
      <w:r>
        <w:rPr>
          <w:rFonts w:hint="eastAsia" w:ascii="仿宋_GB2312" w:hAnsi="仿宋_GB2312" w:eastAsia="仿宋_GB2312" w:cs="仿宋_GB2312"/>
          <w:color w:val="auto"/>
          <w:sz w:val="30"/>
          <w:szCs w:val="30"/>
          <w:highlight w:val="none"/>
        </w:rPr>
        <w:t>在测量</w:t>
      </w:r>
      <w:r>
        <w:rPr>
          <w:rFonts w:hint="eastAsia" w:ascii="仿宋_GB2312" w:hAnsi="仿宋_GB2312" w:eastAsia="仿宋_GB2312" w:cs="仿宋_GB2312"/>
          <w:color w:val="auto"/>
          <w:sz w:val="30"/>
          <w:szCs w:val="30"/>
          <w:highlight w:val="none"/>
          <w:lang w:eastAsia="zh-CN"/>
        </w:rPr>
        <w:t>前</w:t>
      </w:r>
      <w:r>
        <w:rPr>
          <w:rFonts w:hint="eastAsia" w:ascii="仿宋_GB2312" w:hAnsi="仿宋_GB2312" w:eastAsia="仿宋_GB2312" w:cs="仿宋_GB2312"/>
          <w:color w:val="auto"/>
          <w:sz w:val="30"/>
          <w:szCs w:val="30"/>
          <w:highlight w:val="none"/>
        </w:rPr>
        <w:t>应负责办理工程测量相关许可；水上作业船、排、平台的租用，办理水上作业有关许可</w:t>
      </w:r>
      <w:r>
        <w:rPr>
          <w:rFonts w:hint="eastAsia" w:ascii="仿宋_GB2312" w:hAnsi="仿宋_GB2312" w:eastAsia="仿宋_GB2312" w:cs="仿宋_GB2312"/>
          <w:color w:val="auto"/>
          <w:sz w:val="30"/>
          <w:szCs w:val="30"/>
          <w:highlight w:val="none"/>
          <w:lang w:eastAsia="zh-CN"/>
        </w:rPr>
        <w:t>等相关</w:t>
      </w:r>
      <w:r>
        <w:rPr>
          <w:rFonts w:hint="eastAsia" w:ascii="仿宋_GB2312" w:hAnsi="仿宋_GB2312" w:eastAsia="仿宋_GB2312" w:cs="仿宋_GB2312"/>
          <w:color w:val="auto"/>
          <w:sz w:val="30"/>
          <w:szCs w:val="30"/>
          <w:highlight w:val="none"/>
        </w:rPr>
        <w:t>手续</w:t>
      </w:r>
      <w:r>
        <w:rPr>
          <w:rFonts w:hint="eastAsia" w:ascii="仿宋_GB2312" w:hAnsi="仿宋_GB2312" w:eastAsia="仿宋_GB2312" w:cs="仿宋_GB2312"/>
          <w:color w:val="auto"/>
          <w:sz w:val="30"/>
          <w:szCs w:val="30"/>
          <w:highlight w:val="none"/>
          <w:lang w:eastAsia="zh-CN"/>
        </w:rPr>
        <w:t>，相关费用已包含在投标报价中，甲方不再另行支付</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乙方应按相关部门要求，提交合格材料，协助甲方完成办理涉水工程通航安全技术参数备案、锚地对外公布、海图发布等工作。</w:t>
      </w:r>
    </w:p>
    <w:p w14:paraId="6C32B961">
      <w:pPr>
        <w:pStyle w:val="45"/>
        <w:spacing w:line="5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2.乙方应在开工前向甲方提交详细的工作方案。</w:t>
      </w:r>
    </w:p>
    <w:p w14:paraId="3113C485">
      <w:pPr>
        <w:pStyle w:val="45"/>
        <w:spacing w:line="5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color w:val="auto"/>
          <w:sz w:val="30"/>
          <w:szCs w:val="30"/>
          <w:highlight w:val="none"/>
        </w:rPr>
        <w:t>3.乙方工作过程中应遵守国家及地方的有关法律、法规和规章，因乙方未能采取有效措施而发生的人身伤亡、罚款、赔偿、索赔、损失赔偿、诉讼费用及其他一切责任应由乙方负责。</w:t>
      </w:r>
    </w:p>
    <w:p w14:paraId="3B7704DE">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color w:val="auto"/>
          <w:sz w:val="30"/>
          <w:szCs w:val="30"/>
          <w:highlight w:val="none"/>
        </w:rPr>
        <w:t>4.</w:t>
      </w:r>
      <w:r>
        <w:rPr>
          <w:rFonts w:hint="eastAsia" w:ascii="仿宋_GB2312" w:hAnsi="仿宋_GB2312" w:eastAsia="仿宋_GB2312" w:cs="仿宋_GB2312"/>
          <w:color w:val="auto"/>
          <w:sz w:val="30"/>
          <w:szCs w:val="30"/>
          <w:highlight w:val="none"/>
        </w:rPr>
        <w:t>乙方对其所提交的服务成果质量负责，因成果质量问题而造成返工所发生的一切费用由乙方自理，造成甲方损失的还应予以赔偿。</w:t>
      </w:r>
    </w:p>
    <w:p w14:paraId="16A7C47C">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color w:val="auto"/>
          <w:sz w:val="30"/>
          <w:szCs w:val="30"/>
          <w:highlight w:val="none"/>
        </w:rPr>
        <w:t>5.</w:t>
      </w:r>
      <w:r>
        <w:rPr>
          <w:rFonts w:hint="eastAsia" w:ascii="仿宋_GB2312" w:hAnsi="仿宋_GB2312" w:eastAsia="仿宋_GB2312" w:cs="仿宋_GB2312"/>
          <w:color w:val="auto"/>
          <w:sz w:val="30"/>
          <w:szCs w:val="30"/>
          <w:highlight w:val="none"/>
        </w:rPr>
        <w:t>乙方交付服务成果后，按规定参加有关主管部门的审查，并负责根据审查结论做必要调整补充完善，直至确保项目通过验收。</w:t>
      </w:r>
    </w:p>
    <w:p w14:paraId="6F55F9ED">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color w:val="auto"/>
          <w:sz w:val="30"/>
          <w:szCs w:val="30"/>
          <w:highlight w:val="none"/>
        </w:rPr>
        <w:t>6.</w:t>
      </w:r>
      <w:r>
        <w:rPr>
          <w:rFonts w:hint="eastAsia" w:ascii="仿宋_GB2312" w:hAnsi="仿宋_GB2312" w:eastAsia="仿宋_GB2312" w:cs="仿宋_GB2312"/>
          <w:color w:val="auto"/>
          <w:sz w:val="30"/>
          <w:szCs w:val="30"/>
          <w:highlight w:val="none"/>
        </w:rPr>
        <w:t>乙方应安排投标文件中承诺的人员投入工作，并在服务过程中保持人员的相对稳定。在项目服务期间，未经甲方批准，乙方不得更换项目负责人。如果服务人员(含后续服务人员)不能胜任工作、渎职或从事其他违法活动，甲方有权提出更换要求，乙方应立即派出不低于原服务人员相应资历的人员替换并征得甲方同意。乙方在事先取得甲方的同意后可以更换其所派驻现场的人员，但应符合合同规定的资历要求。</w:t>
      </w:r>
    </w:p>
    <w:p w14:paraId="621C0B8B">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7.乙方不得将本合同规定的服务任务转包。 </w:t>
      </w:r>
    </w:p>
    <w:p w14:paraId="090AC885">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8.乙方的工作进度没有达到投标文件中承诺的进度计划时，甲方有权提出要求增加服务人员，乙方应立即安排，其费用被认为已包含在报价之中，甲方不另行支付费用。 </w:t>
      </w:r>
    </w:p>
    <w:p w14:paraId="34E6EEAC">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9.乙方在进行外业踏勘等工作时，应采取相应的安全、保卫和环境保护措施，因乙方未能采取有效措施而发生的与本项目服务活动有关的人身伤亡、罚款、索赔、损失赔偿、诉讼及其他一切责任应由乙方负责。</w:t>
      </w:r>
    </w:p>
    <w:p w14:paraId="18F7810C">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10.乙方服务过程中，提供的成果文件不应侵犯任何第三方的专利权、版权、及其他知识产权，否则由此而引起索赔或诉讼，乙方应承担全部责任，并保障甲方免于承担由此造成的一切损害和损失。 </w:t>
      </w:r>
    </w:p>
    <w:p w14:paraId="51EACDA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12.承担履行合同过程中乙方的人身和财产安全责任。</w:t>
      </w:r>
    </w:p>
    <w:p w14:paraId="736BF43D">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第六条：知识产权</w:t>
      </w:r>
    </w:p>
    <w:p w14:paraId="0BD9B788">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1.在本合同有效期内，按合同约定所完成的与本服务内容相关的新的技术成果，全部归</w:t>
      </w:r>
      <w:r>
        <w:rPr>
          <w:rFonts w:hint="eastAsia" w:ascii="仿宋_GB2312" w:hAnsi="仿宋_GB2312" w:eastAsia="仿宋_GB2312" w:cs="仿宋_GB2312"/>
          <w:color w:val="auto"/>
          <w:sz w:val="30"/>
          <w:szCs w:val="30"/>
          <w:highlight w:val="none"/>
          <w:u w:val="single"/>
        </w:rPr>
        <w:t>甲</w:t>
      </w:r>
      <w:r>
        <w:rPr>
          <w:rFonts w:hint="eastAsia" w:ascii="仿宋_GB2312" w:hAnsi="仿宋_GB2312" w:eastAsia="仿宋_GB2312" w:cs="仿宋_GB2312"/>
          <w:color w:val="auto"/>
          <w:sz w:val="30"/>
          <w:szCs w:val="30"/>
          <w:highlight w:val="none"/>
        </w:rPr>
        <w:t>方所有。</w:t>
      </w:r>
    </w:p>
    <w:p w14:paraId="61E207F3">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2.乙方就本项目工作成果，未经甲方同意，乙方不得向第三方提供或用于本合同以外的项目，否则甲方有权追究乙方的责任。 </w:t>
      </w:r>
    </w:p>
    <w:p w14:paraId="2E47E9C9">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第七条：保密规定</w:t>
      </w:r>
    </w:p>
    <w:p w14:paraId="60E11699">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双方确定因履行本合同应遵守的保密义务如下：</w:t>
      </w:r>
    </w:p>
    <w:p w14:paraId="688F5D8F">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本协议项下保密信息的保密期限自本协议生效之日起至保密信息公开之日或信息提供方许可公开之日止。双方业务合作事宜的终止、失败或者完成不影响本协议所规定的保密义务的履行。</w:t>
      </w:r>
    </w:p>
    <w:p w14:paraId="62E145F4">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1.甲方和乙方双方均不得将本合同中的内容及在本合同执行过程中获得的对方商业信息、技术秘密及其他经营管理、技术等相关信息向任何第三方泄露。本合同无论期满、解除或终止，保密义务仍然有效。双方认可，作为乙方公司的员工或涉及项目的相关人员，除应履行一般的保密义务外，就该项目所涉的任何国家秘密、商业秘密，乙方应均予以严格保密。 </w:t>
      </w:r>
    </w:p>
    <w:p w14:paraId="1260F87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2.甲方向乙方提供的所有资料均为保密资料，乙方除在履行本合同下义务时可向受雇于乙方的相关研究人员透露外，不能在任何情况下(包括本合同有效期内及之后)向第三者透露。</w:t>
      </w:r>
    </w:p>
    <w:p w14:paraId="1D55E368">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3.乙方服务人员在甲方处工作或参与项目期间，乙方违反保密规定的，虽未造成甲方、甲方关联单位经济、利益、声誉等各种损失，但给甲方正常经营活动带来不便的，甲方有权将乙方服务人员调离项目，并根据规章制度予以处罚；情节严重的，甲方有权无条件解除与乙方的合同关系，乙方应当给予甲方相应的损害赔偿。 </w:t>
      </w:r>
    </w:p>
    <w:p w14:paraId="68A28EC8">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4.乙方在甲方处工作或参与该项目期间，乙方违反保密规定的，造成甲方、甲方关联单位及经济、利益、声誉等损失的，甲方有权要求乙方赔偿甲方相应的损失并无条件与乙方 解除合同关系；构成犯罪的，甲方将上报相关部门，依法追究乙方刑事责任。 </w:t>
      </w:r>
    </w:p>
    <w:p w14:paraId="10D371AD">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5.项目完成/终止后或甲方与乙方的合同终止或解除，乙方违反保密规定的，甲方仍有权依法追究乙方全部的赔偿责任。 </w:t>
      </w:r>
    </w:p>
    <w:p w14:paraId="35B22AE8">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6.乙方违反保密义务的，应向甲方支付一万元/次的违约金，并赔偿甲方因此而遭受的损失。   </w:t>
      </w:r>
    </w:p>
    <w:p w14:paraId="447FF9BA">
      <w:pPr>
        <w:pStyle w:val="45"/>
        <w:spacing w:line="500" w:lineRule="exact"/>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第八条：违约责任</w:t>
      </w:r>
    </w:p>
    <w:p w14:paraId="73ED21E4">
      <w:pPr>
        <w:pStyle w:val="45"/>
        <w:spacing w:line="500" w:lineRule="exact"/>
        <w:ind w:firstLine="602" w:firstLineChars="200"/>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（一）甲方违约责任</w:t>
      </w:r>
    </w:p>
    <w:p w14:paraId="300E1869">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1.本项目经费为政府资金，视经费到位情况并按照国库集中支付或政府部门预算管理规定等国家相关规定办理支付，因政府资金不能按时到位导致不能及时付款的，不视为甲方违约。</w:t>
      </w:r>
    </w:p>
    <w:p w14:paraId="6CF322B4">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2.在合同履行期间，甲方要求终止或解除合同（非乙方原因），甲方除应按乙方完成的实际工作量支付费用外，还应按剩余合同价的5%向乙方支付违约金。</w:t>
      </w:r>
    </w:p>
    <w:p w14:paraId="11227843">
      <w:pPr>
        <w:pStyle w:val="45"/>
        <w:spacing w:line="500" w:lineRule="exact"/>
        <w:ind w:firstLine="602" w:firstLineChars="200"/>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（二）乙方违约责任</w:t>
      </w:r>
    </w:p>
    <w:p w14:paraId="474D649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1.乙方不得转包本合同项目，否则甲方有权解除合同并要求乙方退还所有已付费用，同时，乙方支付甲方签约合同总价5%的违约金并赔偿甲方因此遭受的全部损失。</w:t>
      </w:r>
    </w:p>
    <w:p w14:paraId="712871E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乙方的项目负责人和其他人员应与响应文件所承诺的名单一致，未经甲方同意，上述人员不应无故不到位或被替换(但因不可抗力引起的人员变动除外)；发生以上情况，甲方书面提醒后，乙方仍未整改的，乙方将被处以人民币壹万元/人次的违约金，由此引起的责任由乙方负责，甲方有权解除合同，乙方自行承担已发生的费用。</w:t>
      </w:r>
    </w:p>
    <w:p w14:paraId="06B5B14E">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3.乙方未按本合同规定完成合同工作（含提交成果文件）的，乙方须向甲方支付延期违约金，每延期一天按合同总额的1‰计算，累计总额不超过合同总价的5%。拖期超过30 天，甲方有权单方解除合同，给甲方造成损失的，乙方负责赔偿，甲方的损失包括但不限于诉讼费、保全费、保全保险费、律师费等费用。</w:t>
      </w:r>
    </w:p>
    <w:p w14:paraId="051057A4">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4.在合同履行期间，乙方无故要求终止或解除合同，乙方应退还甲方已支付的全部费用，并向甲方支付签约合同总价5%的违约金且赔偿甲方因此遭受的全部损失。</w:t>
      </w:r>
    </w:p>
    <w:p w14:paraId="60402C88">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5.乙方未按本合同规定开展施工期环境管理工作，或者甲方按照乙方提交的服务成果作出决策所造成的损失，由乙方承担，且乙方应向甲方支付签约合同总价5%的违约金并赔偿甲方损失。</w:t>
      </w:r>
    </w:p>
    <w:p w14:paraId="4840DC2F">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6.乙方在本项目的人员应当具备法律规定、行业规定的相关资质并对其工作期间的行为负责。若乙方指派人员在工作中因故意或重大过失给甲方造成损失的，由乙方承担全部法律责任。</w:t>
      </w:r>
    </w:p>
    <w:p w14:paraId="48923B85">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7.因乙方违约产生的一切法律纠纷，造成甲方所产生的包括但不限于律师费、诉讼费、仲裁费、评估鉴定费以及承担的损失、赔偿责任等，均由乙方承担。</w:t>
      </w:r>
    </w:p>
    <w:p w14:paraId="267F711E">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本合同项下的违约金和赔偿，甲方均有权从应付给乙方的款项或履约保证金中扣除，不足部分由乙方补足。前述条款约定的违约金和赔偿不足以弥补甲方损失的，乙方应继续赔偿甲方的损失，在收到甲方书面通知后三日内另行支付。</w:t>
      </w:r>
    </w:p>
    <w:p w14:paraId="51F90F81">
      <w:pPr>
        <w:pStyle w:val="11"/>
        <w:spacing w:after="0" w:line="500" w:lineRule="exact"/>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9.未经甲方书面同意，乙方将测量成果以及测量成果形成过程中所涉及的相关材料以任何方式披露给第三方的，视为乙方违约。乙方每违约一次，应当向甲方支付本合同总价款10% 的违约金，违约金不足以弥补发包人损失的，测量人应当补足。本条款具有独立性，长期有效，不随本合同解除、终止而失效。</w:t>
      </w:r>
    </w:p>
    <w:p w14:paraId="12020D20">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第九条：分包</w:t>
      </w:r>
    </w:p>
    <w:p w14:paraId="3AF1022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本项目不允许分包。</w:t>
      </w:r>
    </w:p>
    <w:p w14:paraId="4492ACC7">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第十条：不可抗力</w:t>
      </w:r>
    </w:p>
    <w:p w14:paraId="6021916D">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本合同所称不可抗力是指不能预见、不能克服、不能避免并对一方当事人造成重大影响的客观事件，如洪水、泥石流、地震、火灾、风暴等自然现象以及战争、动乱、政府行为等社会事件。</w:t>
      </w:r>
    </w:p>
    <w:p w14:paraId="6F76A6E3">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发生不可抗力事件，一方在本合同项下受不可抗力影响的义务在不可抗力造成的延误期间自动中止，其履行期限应自动延长，延长期间为中止的期间，该方无须为此承担违约责任。</w:t>
      </w:r>
    </w:p>
    <w:p w14:paraId="0AFFCEC3">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第十一条：争议的解决</w:t>
      </w:r>
    </w:p>
    <w:p w14:paraId="1C27720A">
      <w:pPr>
        <w:pStyle w:val="45"/>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本合同争议的解决方式是：</w:t>
      </w:r>
      <w:r>
        <w:rPr>
          <w:rFonts w:hint="eastAsia" w:ascii="仿宋_GB2312" w:hAnsi="仿宋_GB2312" w:eastAsia="仿宋_GB2312" w:cs="仿宋_GB2312"/>
          <w:color w:val="auto"/>
          <w:sz w:val="30"/>
          <w:szCs w:val="30"/>
          <w:highlight w:val="none"/>
          <w:lang w:eastAsia="zh-CN"/>
        </w:rPr>
        <w:t>诉讼，向发包人所在地有管辖权的人民法院提出诉讼。</w:t>
      </w:r>
    </w:p>
    <w:p w14:paraId="67E88F61">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第十二条：</w:t>
      </w:r>
      <w:r>
        <w:rPr>
          <w:rFonts w:hint="eastAsia" w:ascii="仿宋_GB2312" w:hAnsi="仿宋_GB2312" w:eastAsia="仿宋_GB2312" w:cs="仿宋_GB2312"/>
          <w:color w:val="auto"/>
          <w:sz w:val="30"/>
          <w:szCs w:val="30"/>
          <w:highlight w:val="none"/>
        </w:rPr>
        <w:t>甲乙双方应当通过正常途径开展相关业务工作，自觉遵守国家关于廉政建设的各项规定。</w:t>
      </w:r>
    </w:p>
    <w:p w14:paraId="6C791E07">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第十三条：</w:t>
      </w:r>
      <w:r>
        <w:rPr>
          <w:rFonts w:hint="eastAsia" w:ascii="仿宋_GB2312" w:hAnsi="仿宋_GB2312" w:eastAsia="仿宋_GB2312" w:cs="仿宋_GB2312"/>
          <w:color w:val="auto"/>
          <w:sz w:val="30"/>
          <w:szCs w:val="30"/>
          <w:highlight w:val="none"/>
        </w:rPr>
        <w:t>本合同未尽事宜，由甲方和乙方双方协商并签订补充协议，补充协议与本合同不一致的，以补充协议为准。。</w:t>
      </w:r>
    </w:p>
    <w:p w14:paraId="6085EB4C">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第十四条：</w:t>
      </w:r>
      <w:r>
        <w:rPr>
          <w:rFonts w:hint="eastAsia" w:ascii="仿宋_GB2312" w:hAnsi="仿宋_GB2312" w:eastAsia="仿宋_GB2312" w:cs="仿宋_GB2312"/>
          <w:color w:val="auto"/>
          <w:sz w:val="30"/>
          <w:szCs w:val="30"/>
          <w:highlight w:val="none"/>
        </w:rPr>
        <w:t>本合同一式</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份，甲乙双方各执</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份，具有同等法律效力。</w:t>
      </w:r>
    </w:p>
    <w:p w14:paraId="078C50B3">
      <w:pPr>
        <w:pStyle w:val="45"/>
        <w:spacing w:line="500" w:lineRule="exact"/>
        <w:ind w:firstLine="602"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t>第十五条：</w:t>
      </w:r>
      <w:r>
        <w:rPr>
          <w:rFonts w:hint="eastAsia" w:ascii="仿宋_GB2312" w:hAnsi="仿宋_GB2312" w:eastAsia="仿宋_GB2312" w:cs="仿宋_GB2312"/>
          <w:color w:val="auto"/>
          <w:sz w:val="30"/>
          <w:szCs w:val="30"/>
          <w:highlight w:val="none"/>
        </w:rPr>
        <w:t>本协议书在乙方提供履约担保后，由双方法定代表人或其委托代理人签字（或签章）并加盖单位公章或合同专用章后生效。乙方完成全部服务工作且合同费用结清后终止。</w:t>
      </w:r>
    </w:p>
    <w:p w14:paraId="651D9451">
      <w:pPr>
        <w:pStyle w:val="45"/>
        <w:spacing w:line="360" w:lineRule="auto"/>
        <w:ind w:firstLine="480" w:firstLineChars="200"/>
        <w:rPr>
          <w:rFonts w:ascii="宋体" w:hAnsi="宋体" w:cs="宋体"/>
          <w:color w:val="auto"/>
          <w:sz w:val="24"/>
          <w:szCs w:val="24"/>
          <w:highlight w:val="none"/>
        </w:rPr>
      </w:pPr>
    </w:p>
    <w:bookmarkEnd w:id="191"/>
    <w:bookmarkEnd w:id="192"/>
    <w:bookmarkEnd w:id="193"/>
    <w:bookmarkEnd w:id="194"/>
    <w:bookmarkEnd w:id="195"/>
    <w:bookmarkEnd w:id="196"/>
    <w:p w14:paraId="14FC157C">
      <w:pPr>
        <w:spacing w:line="360" w:lineRule="auto"/>
        <w:ind w:firstLine="420" w:firstLineChars="200"/>
        <w:rPr>
          <w:rFonts w:ascii="宋体" w:hAnsi="宋体" w:cs="宋体"/>
          <w:color w:val="auto"/>
          <w:szCs w:val="21"/>
          <w:highlight w:val="none"/>
        </w:rPr>
      </w:pPr>
    </w:p>
    <w:p w14:paraId="7DC22F4F">
      <w:pPr>
        <w:snapToGrid w:val="0"/>
        <w:spacing w:line="360" w:lineRule="auto"/>
        <w:ind w:firstLine="420" w:firstLineChars="200"/>
        <w:rPr>
          <w:rFonts w:ascii="宋体" w:hAnsi="宋体" w:cs="宋体"/>
          <w:color w:val="auto"/>
          <w:szCs w:val="21"/>
          <w:highlight w:val="none"/>
        </w:rPr>
      </w:pPr>
    </w:p>
    <w:tbl>
      <w:tblPr>
        <w:tblStyle w:val="26"/>
        <w:tblW w:w="8745" w:type="dxa"/>
        <w:jc w:val="center"/>
        <w:tblLayout w:type="autofit"/>
        <w:tblCellMar>
          <w:top w:w="0" w:type="dxa"/>
          <w:left w:w="108" w:type="dxa"/>
          <w:bottom w:w="0" w:type="dxa"/>
          <w:right w:w="108" w:type="dxa"/>
        </w:tblCellMar>
      </w:tblPr>
      <w:tblGrid>
        <w:gridCol w:w="4144"/>
        <w:gridCol w:w="240"/>
        <w:gridCol w:w="240"/>
        <w:gridCol w:w="4121"/>
      </w:tblGrid>
      <w:tr w14:paraId="66C1668B">
        <w:tblPrEx>
          <w:tblCellMar>
            <w:top w:w="0" w:type="dxa"/>
            <w:left w:w="108" w:type="dxa"/>
            <w:bottom w:w="0" w:type="dxa"/>
            <w:right w:w="108" w:type="dxa"/>
          </w:tblCellMar>
        </w:tblPrEx>
        <w:trPr>
          <w:trHeight w:val="1662" w:hRule="atLeast"/>
          <w:jc w:val="center"/>
        </w:trPr>
        <w:tc>
          <w:tcPr>
            <w:tcW w:w="4144" w:type="dxa"/>
          </w:tcPr>
          <w:p w14:paraId="14D01886">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甲方：广西壮族自治区水运发展中心（盖章）</w:t>
            </w:r>
          </w:p>
        </w:tc>
        <w:tc>
          <w:tcPr>
            <w:tcW w:w="240" w:type="dxa"/>
          </w:tcPr>
          <w:p w14:paraId="5DC4C70E">
            <w:pPr>
              <w:pStyle w:val="7"/>
              <w:spacing w:line="360" w:lineRule="auto"/>
              <w:rPr>
                <w:rFonts w:ascii="宋体" w:hAnsi="宋体" w:cs="宋体"/>
                <w:color w:val="auto"/>
                <w:szCs w:val="21"/>
                <w:highlight w:val="none"/>
              </w:rPr>
            </w:pPr>
          </w:p>
        </w:tc>
        <w:tc>
          <w:tcPr>
            <w:tcW w:w="240" w:type="dxa"/>
          </w:tcPr>
          <w:p w14:paraId="51858E75">
            <w:pPr>
              <w:pStyle w:val="7"/>
              <w:spacing w:line="360" w:lineRule="auto"/>
              <w:rPr>
                <w:rFonts w:ascii="宋体" w:hAnsi="宋体" w:cs="宋体"/>
                <w:color w:val="auto"/>
                <w:szCs w:val="21"/>
                <w:highlight w:val="none"/>
              </w:rPr>
            </w:pPr>
          </w:p>
        </w:tc>
        <w:tc>
          <w:tcPr>
            <w:tcW w:w="4121" w:type="dxa"/>
          </w:tcPr>
          <w:p w14:paraId="49BB0906">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tc>
      </w:tr>
      <w:tr w14:paraId="5204FC9D">
        <w:tblPrEx>
          <w:tblCellMar>
            <w:top w:w="0" w:type="dxa"/>
            <w:left w:w="108" w:type="dxa"/>
            <w:bottom w:w="0" w:type="dxa"/>
            <w:right w:w="108" w:type="dxa"/>
          </w:tblCellMar>
        </w:tblPrEx>
        <w:trPr>
          <w:jc w:val="center"/>
        </w:trPr>
        <w:tc>
          <w:tcPr>
            <w:tcW w:w="4144" w:type="dxa"/>
          </w:tcPr>
          <w:p w14:paraId="5AA6CCFC">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c>
          <w:tcPr>
            <w:tcW w:w="240" w:type="dxa"/>
          </w:tcPr>
          <w:p w14:paraId="38D34477">
            <w:pPr>
              <w:pStyle w:val="7"/>
              <w:spacing w:line="360" w:lineRule="auto"/>
              <w:rPr>
                <w:rFonts w:ascii="宋体" w:hAnsi="宋体" w:cs="宋体"/>
                <w:color w:val="auto"/>
                <w:szCs w:val="21"/>
                <w:highlight w:val="none"/>
              </w:rPr>
            </w:pPr>
          </w:p>
        </w:tc>
        <w:tc>
          <w:tcPr>
            <w:tcW w:w="240" w:type="dxa"/>
          </w:tcPr>
          <w:p w14:paraId="5F39E59A">
            <w:pPr>
              <w:pStyle w:val="7"/>
              <w:spacing w:line="360" w:lineRule="auto"/>
              <w:rPr>
                <w:rFonts w:ascii="宋体" w:hAnsi="宋体" w:cs="宋体"/>
                <w:color w:val="auto"/>
                <w:szCs w:val="21"/>
                <w:highlight w:val="none"/>
              </w:rPr>
            </w:pPr>
          </w:p>
        </w:tc>
        <w:tc>
          <w:tcPr>
            <w:tcW w:w="4121" w:type="dxa"/>
          </w:tcPr>
          <w:p w14:paraId="64C18BFA">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r>
      <w:tr w14:paraId="7CAFFB4B">
        <w:tblPrEx>
          <w:tblCellMar>
            <w:top w:w="0" w:type="dxa"/>
            <w:left w:w="108" w:type="dxa"/>
            <w:bottom w:w="0" w:type="dxa"/>
            <w:right w:w="108" w:type="dxa"/>
          </w:tblCellMar>
        </w:tblPrEx>
        <w:trPr>
          <w:jc w:val="center"/>
        </w:trPr>
        <w:tc>
          <w:tcPr>
            <w:tcW w:w="4144" w:type="dxa"/>
          </w:tcPr>
          <w:p w14:paraId="3FD7240A">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1F45FDB3">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c>
          <w:tcPr>
            <w:tcW w:w="240" w:type="dxa"/>
          </w:tcPr>
          <w:p w14:paraId="6230867C">
            <w:pPr>
              <w:pStyle w:val="7"/>
              <w:spacing w:line="360" w:lineRule="auto"/>
              <w:rPr>
                <w:rFonts w:ascii="宋体" w:hAnsi="宋体" w:cs="宋体"/>
                <w:color w:val="auto"/>
                <w:szCs w:val="21"/>
                <w:highlight w:val="none"/>
              </w:rPr>
            </w:pPr>
          </w:p>
        </w:tc>
        <w:tc>
          <w:tcPr>
            <w:tcW w:w="240" w:type="dxa"/>
          </w:tcPr>
          <w:p w14:paraId="74E622AC">
            <w:pPr>
              <w:pStyle w:val="7"/>
              <w:spacing w:line="360" w:lineRule="auto"/>
              <w:rPr>
                <w:rFonts w:ascii="宋体" w:hAnsi="宋体" w:cs="宋体"/>
                <w:color w:val="auto"/>
                <w:szCs w:val="21"/>
                <w:highlight w:val="none"/>
              </w:rPr>
            </w:pPr>
          </w:p>
        </w:tc>
        <w:tc>
          <w:tcPr>
            <w:tcW w:w="4121" w:type="dxa"/>
          </w:tcPr>
          <w:p w14:paraId="0357377D">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6387C447">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r>
      <w:tr w14:paraId="4EE272CC">
        <w:tblPrEx>
          <w:tblCellMar>
            <w:top w:w="0" w:type="dxa"/>
            <w:left w:w="108" w:type="dxa"/>
            <w:bottom w:w="0" w:type="dxa"/>
            <w:right w:w="108" w:type="dxa"/>
          </w:tblCellMar>
        </w:tblPrEx>
        <w:trPr>
          <w:jc w:val="center"/>
        </w:trPr>
        <w:tc>
          <w:tcPr>
            <w:tcW w:w="4144" w:type="dxa"/>
          </w:tcPr>
          <w:p w14:paraId="658B296B">
            <w:pPr>
              <w:pStyle w:val="7"/>
              <w:spacing w:line="360"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纳税识别号：</w:t>
            </w:r>
          </w:p>
        </w:tc>
        <w:tc>
          <w:tcPr>
            <w:tcW w:w="240" w:type="dxa"/>
          </w:tcPr>
          <w:p w14:paraId="57435CF2">
            <w:pPr>
              <w:pStyle w:val="7"/>
              <w:spacing w:line="360" w:lineRule="auto"/>
              <w:rPr>
                <w:rFonts w:ascii="宋体" w:hAnsi="宋体" w:cs="宋体"/>
                <w:color w:val="auto"/>
                <w:szCs w:val="21"/>
                <w:highlight w:val="none"/>
              </w:rPr>
            </w:pPr>
          </w:p>
        </w:tc>
        <w:tc>
          <w:tcPr>
            <w:tcW w:w="240" w:type="dxa"/>
          </w:tcPr>
          <w:p w14:paraId="1FEDE734">
            <w:pPr>
              <w:pStyle w:val="7"/>
              <w:spacing w:line="360" w:lineRule="auto"/>
              <w:rPr>
                <w:rFonts w:ascii="宋体" w:hAnsi="宋体" w:cs="宋体"/>
                <w:color w:val="auto"/>
                <w:szCs w:val="21"/>
                <w:highlight w:val="none"/>
              </w:rPr>
            </w:pPr>
          </w:p>
        </w:tc>
        <w:tc>
          <w:tcPr>
            <w:tcW w:w="4121" w:type="dxa"/>
          </w:tcPr>
          <w:p w14:paraId="1628F89E">
            <w:pPr>
              <w:pStyle w:val="7"/>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lang w:eastAsia="zh-CN"/>
              </w:rPr>
              <w:t>纳税识别号：</w:t>
            </w:r>
          </w:p>
        </w:tc>
      </w:tr>
      <w:tr w14:paraId="4CB32C03">
        <w:tblPrEx>
          <w:tblCellMar>
            <w:top w:w="0" w:type="dxa"/>
            <w:left w:w="108" w:type="dxa"/>
            <w:bottom w:w="0" w:type="dxa"/>
            <w:right w:w="108" w:type="dxa"/>
          </w:tblCellMar>
        </w:tblPrEx>
        <w:trPr>
          <w:jc w:val="center"/>
        </w:trPr>
        <w:tc>
          <w:tcPr>
            <w:tcW w:w="4144" w:type="dxa"/>
          </w:tcPr>
          <w:p w14:paraId="65480A71">
            <w:pPr>
              <w:pStyle w:val="7"/>
              <w:spacing w:line="360" w:lineRule="auto"/>
              <w:ind w:firstLine="0"/>
              <w:rPr>
                <w:rFonts w:ascii="宋体" w:hAnsi="宋体" w:cs="宋体"/>
                <w:color w:val="auto"/>
                <w:szCs w:val="21"/>
                <w:highlight w:val="none"/>
              </w:rPr>
            </w:pPr>
          </w:p>
        </w:tc>
        <w:tc>
          <w:tcPr>
            <w:tcW w:w="240" w:type="dxa"/>
          </w:tcPr>
          <w:p w14:paraId="7F97AA88">
            <w:pPr>
              <w:pStyle w:val="7"/>
              <w:spacing w:line="360" w:lineRule="auto"/>
              <w:rPr>
                <w:rFonts w:ascii="宋体" w:hAnsi="宋体" w:cs="宋体"/>
                <w:color w:val="auto"/>
                <w:szCs w:val="21"/>
                <w:highlight w:val="none"/>
              </w:rPr>
            </w:pPr>
          </w:p>
        </w:tc>
        <w:tc>
          <w:tcPr>
            <w:tcW w:w="240" w:type="dxa"/>
          </w:tcPr>
          <w:p w14:paraId="1808AD25">
            <w:pPr>
              <w:pStyle w:val="7"/>
              <w:spacing w:line="360" w:lineRule="auto"/>
              <w:rPr>
                <w:rFonts w:ascii="宋体" w:hAnsi="宋体" w:cs="宋体"/>
                <w:color w:val="auto"/>
                <w:szCs w:val="21"/>
                <w:highlight w:val="none"/>
              </w:rPr>
            </w:pPr>
          </w:p>
        </w:tc>
        <w:tc>
          <w:tcPr>
            <w:tcW w:w="4121" w:type="dxa"/>
          </w:tcPr>
          <w:p w14:paraId="1B2E1604">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收款单位全称：</w:t>
            </w:r>
            <w:r>
              <w:rPr>
                <w:rFonts w:hint="eastAsia" w:ascii="宋体" w:hAnsi="宋体" w:cs="宋体"/>
                <w:color w:val="auto"/>
                <w:szCs w:val="21"/>
                <w:highlight w:val="none"/>
                <w:u w:val="single"/>
              </w:rPr>
              <w:t xml:space="preserve">              </w:t>
            </w:r>
          </w:p>
        </w:tc>
      </w:tr>
      <w:tr w14:paraId="2C6EDE2E">
        <w:tblPrEx>
          <w:tblCellMar>
            <w:top w:w="0" w:type="dxa"/>
            <w:left w:w="108" w:type="dxa"/>
            <w:bottom w:w="0" w:type="dxa"/>
            <w:right w:w="108" w:type="dxa"/>
          </w:tblCellMar>
        </w:tblPrEx>
        <w:trPr>
          <w:jc w:val="center"/>
        </w:trPr>
        <w:tc>
          <w:tcPr>
            <w:tcW w:w="4144" w:type="dxa"/>
          </w:tcPr>
          <w:p w14:paraId="37A33D13">
            <w:pPr>
              <w:pStyle w:val="7"/>
              <w:spacing w:line="360" w:lineRule="auto"/>
              <w:ind w:firstLine="0"/>
              <w:rPr>
                <w:rFonts w:ascii="宋体" w:hAnsi="宋体" w:cs="宋体"/>
                <w:color w:val="auto"/>
                <w:szCs w:val="21"/>
                <w:highlight w:val="none"/>
              </w:rPr>
            </w:pPr>
          </w:p>
        </w:tc>
        <w:tc>
          <w:tcPr>
            <w:tcW w:w="240" w:type="dxa"/>
          </w:tcPr>
          <w:p w14:paraId="7620531D">
            <w:pPr>
              <w:pStyle w:val="7"/>
              <w:spacing w:line="360" w:lineRule="auto"/>
              <w:rPr>
                <w:rFonts w:ascii="宋体" w:hAnsi="宋体" w:cs="宋体"/>
                <w:color w:val="auto"/>
                <w:szCs w:val="21"/>
                <w:highlight w:val="none"/>
              </w:rPr>
            </w:pPr>
          </w:p>
        </w:tc>
        <w:tc>
          <w:tcPr>
            <w:tcW w:w="240" w:type="dxa"/>
          </w:tcPr>
          <w:p w14:paraId="1D00040C">
            <w:pPr>
              <w:pStyle w:val="7"/>
              <w:spacing w:line="360" w:lineRule="auto"/>
              <w:rPr>
                <w:rFonts w:ascii="宋体" w:hAnsi="宋体" w:cs="宋体"/>
                <w:color w:val="auto"/>
                <w:szCs w:val="21"/>
                <w:highlight w:val="none"/>
              </w:rPr>
            </w:pPr>
          </w:p>
        </w:tc>
        <w:tc>
          <w:tcPr>
            <w:tcW w:w="4121" w:type="dxa"/>
          </w:tcPr>
          <w:p w14:paraId="6B84CA70">
            <w:pPr>
              <w:pStyle w:val="7"/>
              <w:spacing w:line="360" w:lineRule="auto"/>
              <w:ind w:firstLine="0"/>
              <w:rPr>
                <w:rFonts w:ascii="宋体" w:hAnsi="宋体" w:cs="宋体"/>
                <w:color w:val="auto"/>
                <w:szCs w:val="21"/>
                <w:highlight w:val="none"/>
                <w:u w:val="single"/>
              </w:rPr>
            </w:pPr>
            <w:r>
              <w:rPr>
                <w:rFonts w:hint="eastAsia" w:ascii="宋体" w:hAnsi="宋体" w:cs="宋体"/>
                <w:color w:val="auto"/>
                <w:szCs w:val="21"/>
                <w:highlight w:val="none"/>
              </w:rPr>
              <w:t xml:space="preserve">银行账号： </w:t>
            </w:r>
            <w:r>
              <w:rPr>
                <w:rFonts w:hint="eastAsia" w:ascii="宋体" w:hAnsi="宋体" w:cs="宋体"/>
                <w:color w:val="auto"/>
                <w:szCs w:val="21"/>
                <w:highlight w:val="none"/>
                <w:u w:val="single"/>
              </w:rPr>
              <w:t xml:space="preserve">                   </w:t>
            </w:r>
          </w:p>
        </w:tc>
      </w:tr>
      <w:tr w14:paraId="688EFCB0">
        <w:tblPrEx>
          <w:tblCellMar>
            <w:top w:w="0" w:type="dxa"/>
            <w:left w:w="108" w:type="dxa"/>
            <w:bottom w:w="0" w:type="dxa"/>
            <w:right w:w="108" w:type="dxa"/>
          </w:tblCellMar>
        </w:tblPrEx>
        <w:trPr>
          <w:jc w:val="center"/>
        </w:trPr>
        <w:tc>
          <w:tcPr>
            <w:tcW w:w="4144" w:type="dxa"/>
          </w:tcPr>
          <w:p w14:paraId="4790FF5A">
            <w:pPr>
              <w:pStyle w:val="7"/>
              <w:spacing w:line="360" w:lineRule="auto"/>
              <w:ind w:firstLine="0"/>
              <w:rPr>
                <w:rFonts w:ascii="宋体" w:hAnsi="宋体" w:cs="宋体"/>
                <w:color w:val="auto"/>
                <w:szCs w:val="21"/>
                <w:highlight w:val="none"/>
              </w:rPr>
            </w:pPr>
          </w:p>
        </w:tc>
        <w:tc>
          <w:tcPr>
            <w:tcW w:w="240" w:type="dxa"/>
          </w:tcPr>
          <w:p w14:paraId="1CBB3108">
            <w:pPr>
              <w:pStyle w:val="7"/>
              <w:spacing w:line="360" w:lineRule="auto"/>
              <w:rPr>
                <w:rFonts w:ascii="宋体" w:hAnsi="宋体" w:cs="宋体"/>
                <w:color w:val="auto"/>
                <w:szCs w:val="21"/>
                <w:highlight w:val="none"/>
              </w:rPr>
            </w:pPr>
          </w:p>
        </w:tc>
        <w:tc>
          <w:tcPr>
            <w:tcW w:w="240" w:type="dxa"/>
          </w:tcPr>
          <w:p w14:paraId="77CA6F7B">
            <w:pPr>
              <w:pStyle w:val="7"/>
              <w:spacing w:line="360" w:lineRule="auto"/>
              <w:rPr>
                <w:rFonts w:ascii="宋体" w:hAnsi="宋体" w:cs="宋体"/>
                <w:color w:val="auto"/>
                <w:szCs w:val="21"/>
                <w:highlight w:val="none"/>
              </w:rPr>
            </w:pPr>
          </w:p>
        </w:tc>
        <w:tc>
          <w:tcPr>
            <w:tcW w:w="4121" w:type="dxa"/>
          </w:tcPr>
          <w:p w14:paraId="6423730D">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 xml:space="preserve">                     </w:t>
            </w:r>
          </w:p>
        </w:tc>
      </w:tr>
      <w:tr w14:paraId="3A93083B">
        <w:tblPrEx>
          <w:tblCellMar>
            <w:top w:w="0" w:type="dxa"/>
            <w:left w:w="108" w:type="dxa"/>
            <w:bottom w:w="0" w:type="dxa"/>
            <w:right w:w="108" w:type="dxa"/>
          </w:tblCellMar>
        </w:tblPrEx>
        <w:trPr>
          <w:jc w:val="center"/>
        </w:trPr>
        <w:tc>
          <w:tcPr>
            <w:tcW w:w="4144" w:type="dxa"/>
          </w:tcPr>
          <w:p w14:paraId="74AE1620">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地址：南宁市百花岭路6号</w:t>
            </w:r>
          </w:p>
        </w:tc>
        <w:tc>
          <w:tcPr>
            <w:tcW w:w="240" w:type="dxa"/>
          </w:tcPr>
          <w:p w14:paraId="56E5E21D">
            <w:pPr>
              <w:pStyle w:val="7"/>
              <w:spacing w:line="360" w:lineRule="auto"/>
              <w:rPr>
                <w:rFonts w:ascii="宋体" w:hAnsi="宋体" w:cs="宋体"/>
                <w:color w:val="auto"/>
                <w:szCs w:val="21"/>
                <w:highlight w:val="none"/>
              </w:rPr>
            </w:pPr>
          </w:p>
        </w:tc>
        <w:tc>
          <w:tcPr>
            <w:tcW w:w="240" w:type="dxa"/>
          </w:tcPr>
          <w:p w14:paraId="0EAB0772">
            <w:pPr>
              <w:pStyle w:val="7"/>
              <w:spacing w:line="360" w:lineRule="auto"/>
              <w:rPr>
                <w:rFonts w:ascii="宋体" w:hAnsi="宋体" w:cs="宋体"/>
                <w:color w:val="auto"/>
                <w:szCs w:val="21"/>
                <w:highlight w:val="none"/>
              </w:rPr>
            </w:pPr>
          </w:p>
        </w:tc>
        <w:tc>
          <w:tcPr>
            <w:tcW w:w="4121" w:type="dxa"/>
          </w:tcPr>
          <w:p w14:paraId="2F47EEDE">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tc>
      </w:tr>
      <w:tr w14:paraId="2DD167B8">
        <w:tblPrEx>
          <w:tblCellMar>
            <w:top w:w="0" w:type="dxa"/>
            <w:left w:w="108" w:type="dxa"/>
            <w:bottom w:w="0" w:type="dxa"/>
            <w:right w:w="108" w:type="dxa"/>
          </w:tblCellMar>
        </w:tblPrEx>
        <w:trPr>
          <w:jc w:val="center"/>
        </w:trPr>
        <w:tc>
          <w:tcPr>
            <w:tcW w:w="4144" w:type="dxa"/>
          </w:tcPr>
          <w:p w14:paraId="76C8028D">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0771-2115319</w:t>
            </w:r>
          </w:p>
        </w:tc>
        <w:tc>
          <w:tcPr>
            <w:tcW w:w="240" w:type="dxa"/>
          </w:tcPr>
          <w:p w14:paraId="63508CFA">
            <w:pPr>
              <w:pStyle w:val="7"/>
              <w:spacing w:line="360" w:lineRule="auto"/>
              <w:rPr>
                <w:rFonts w:ascii="宋体" w:hAnsi="宋体" w:cs="宋体"/>
                <w:color w:val="auto"/>
                <w:szCs w:val="21"/>
                <w:highlight w:val="none"/>
              </w:rPr>
            </w:pPr>
          </w:p>
        </w:tc>
        <w:tc>
          <w:tcPr>
            <w:tcW w:w="240" w:type="dxa"/>
          </w:tcPr>
          <w:p w14:paraId="060CE572">
            <w:pPr>
              <w:pStyle w:val="7"/>
              <w:spacing w:line="360" w:lineRule="auto"/>
              <w:rPr>
                <w:rFonts w:ascii="宋体" w:hAnsi="宋体" w:cs="宋体"/>
                <w:color w:val="auto"/>
                <w:szCs w:val="21"/>
                <w:highlight w:val="none"/>
              </w:rPr>
            </w:pPr>
          </w:p>
        </w:tc>
        <w:tc>
          <w:tcPr>
            <w:tcW w:w="4121" w:type="dxa"/>
          </w:tcPr>
          <w:p w14:paraId="763057A6">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tc>
      </w:tr>
      <w:tr w14:paraId="578A6F08">
        <w:tblPrEx>
          <w:tblCellMar>
            <w:top w:w="0" w:type="dxa"/>
            <w:left w:w="108" w:type="dxa"/>
            <w:bottom w:w="0" w:type="dxa"/>
            <w:right w:w="108" w:type="dxa"/>
          </w:tblCellMar>
        </w:tblPrEx>
        <w:trPr>
          <w:jc w:val="center"/>
        </w:trPr>
        <w:tc>
          <w:tcPr>
            <w:tcW w:w="4144" w:type="dxa"/>
          </w:tcPr>
          <w:p w14:paraId="71DC7CCA">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240" w:type="dxa"/>
          </w:tcPr>
          <w:p w14:paraId="79E2AFE3">
            <w:pPr>
              <w:pStyle w:val="7"/>
              <w:spacing w:line="360" w:lineRule="auto"/>
              <w:rPr>
                <w:rFonts w:ascii="宋体" w:hAnsi="宋体" w:cs="宋体"/>
                <w:color w:val="auto"/>
                <w:szCs w:val="21"/>
                <w:highlight w:val="none"/>
              </w:rPr>
            </w:pPr>
          </w:p>
        </w:tc>
        <w:tc>
          <w:tcPr>
            <w:tcW w:w="240" w:type="dxa"/>
          </w:tcPr>
          <w:p w14:paraId="5E64D732">
            <w:pPr>
              <w:pStyle w:val="7"/>
              <w:spacing w:line="360" w:lineRule="auto"/>
              <w:rPr>
                <w:rFonts w:ascii="宋体" w:hAnsi="宋体" w:cs="宋体"/>
                <w:color w:val="auto"/>
                <w:szCs w:val="21"/>
                <w:highlight w:val="none"/>
              </w:rPr>
            </w:pPr>
          </w:p>
        </w:tc>
        <w:tc>
          <w:tcPr>
            <w:tcW w:w="4121" w:type="dxa"/>
          </w:tcPr>
          <w:p w14:paraId="3FF53230">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25515D38">
      <w:pPr>
        <w:snapToGrid w:val="0"/>
        <w:spacing w:line="360" w:lineRule="auto"/>
        <w:rPr>
          <w:rFonts w:ascii="宋体" w:hAnsi="宋体" w:cs="宋体"/>
          <w:color w:val="auto"/>
          <w:szCs w:val="21"/>
          <w:highlight w:val="none"/>
        </w:rPr>
      </w:pPr>
    </w:p>
    <w:p w14:paraId="13032394">
      <w:pPr>
        <w:snapToGrid w:val="0"/>
        <w:spacing w:line="360" w:lineRule="auto"/>
        <w:rPr>
          <w:rFonts w:ascii="宋体" w:hAnsi="宋体" w:cs="宋体"/>
          <w:color w:val="auto"/>
          <w:szCs w:val="21"/>
          <w:highlight w:val="none"/>
        </w:rPr>
      </w:pPr>
    </w:p>
    <w:p w14:paraId="1640ACA0">
      <w:pPr>
        <w:snapToGrid w:val="0"/>
        <w:spacing w:line="360" w:lineRule="auto"/>
        <w:rPr>
          <w:rFonts w:ascii="宋体" w:hAnsi="宋体" w:cs="宋体"/>
          <w:bCs/>
          <w:color w:val="auto"/>
          <w:szCs w:val="21"/>
          <w:highlight w:val="none"/>
        </w:rPr>
      </w:pPr>
    </w:p>
    <w:p w14:paraId="654E2EB9">
      <w:pPr>
        <w:rPr>
          <w:color w:val="auto"/>
          <w:highlight w:val="none"/>
        </w:rPr>
      </w:pPr>
      <w:bookmarkStart w:id="203" w:name="_Toc20065"/>
    </w:p>
    <w:p w14:paraId="5DC60B43">
      <w:pPr>
        <w:rPr>
          <w:color w:val="auto"/>
          <w:highlight w:val="none"/>
        </w:rPr>
      </w:pPr>
    </w:p>
    <w:p w14:paraId="1A0F47B9">
      <w:pPr>
        <w:rPr>
          <w:color w:val="auto"/>
          <w:highlight w:val="none"/>
        </w:rPr>
      </w:pPr>
    </w:p>
    <w:p w14:paraId="6C8CED81">
      <w:pPr>
        <w:rPr>
          <w:color w:val="auto"/>
          <w:highlight w:val="none"/>
        </w:rPr>
      </w:pPr>
    </w:p>
    <w:p w14:paraId="03278ED0">
      <w:pPr>
        <w:spacing w:line="360" w:lineRule="auto"/>
        <w:jc w:val="left"/>
        <w:outlineLvl w:val="1"/>
        <w:rPr>
          <w:rFonts w:ascii="宋体" w:hAnsi="宋体" w:cs="宋体"/>
          <w:color w:val="auto"/>
          <w:szCs w:val="21"/>
          <w:highlight w:val="none"/>
        </w:rPr>
      </w:pPr>
      <w:bookmarkStart w:id="204" w:name="_Toc28491"/>
      <w:bookmarkStart w:id="205" w:name="_Toc20487"/>
      <w:bookmarkStart w:id="206" w:name="_Toc15010"/>
      <w:bookmarkStart w:id="207" w:name="_Toc26667"/>
      <w:bookmarkStart w:id="208" w:name="_Toc32217"/>
      <w:bookmarkStart w:id="209" w:name="_Toc2085"/>
      <w:bookmarkStart w:id="210" w:name="_Toc10667"/>
      <w:bookmarkStart w:id="211" w:name="_Toc5217"/>
      <w:bookmarkStart w:id="212" w:name="_Toc38903738"/>
      <w:bookmarkStart w:id="213" w:name="_Toc89866150"/>
      <w:bookmarkStart w:id="214" w:name="_Toc20040"/>
      <w:bookmarkStart w:id="215" w:name="_Toc1728"/>
      <w:bookmarkStart w:id="216" w:name="_Toc13560"/>
      <w:bookmarkStart w:id="217" w:name="_Toc26301"/>
      <w:bookmarkStart w:id="218" w:name="_Toc8597"/>
      <w:bookmarkStart w:id="219" w:name="_Toc17013"/>
      <w:r>
        <w:rPr>
          <w:rFonts w:hint="eastAsia" w:ascii="宋体" w:hAnsi="宋体" w:cs="宋体"/>
          <w:color w:val="auto"/>
          <w:szCs w:val="21"/>
          <w:highlight w:val="none"/>
          <w:lang w:eastAsia="zh-CN"/>
        </w:rPr>
        <w:t>第二节</w:t>
      </w:r>
      <w:r>
        <w:rPr>
          <w:rFonts w:hint="eastAsia" w:ascii="宋体" w:hAnsi="宋体" w:cs="宋体"/>
          <w:color w:val="auto"/>
          <w:szCs w:val="21"/>
          <w:highlight w:val="none"/>
        </w:rPr>
        <w:t xml:space="preserve">  廉政合同</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10A6719">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廉政合同</w:t>
      </w:r>
    </w:p>
    <w:p w14:paraId="4F1DA989">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 xml:space="preserve">根据《关于在交通基础设施建设中加强廉政建设的若干意见》以及有关工程建设、廉政建设的规定，为做好工程建设中的党风廉政建设，保证工程建设高效优质，保证建设资金的安全和有效使用以及投资效益， </w:t>
      </w:r>
      <w:r>
        <w:rPr>
          <w:rFonts w:hint="eastAsia" w:ascii="宋体" w:hAnsi="宋体" w:cs="宋体"/>
          <w:color w:val="auto"/>
          <w:szCs w:val="21"/>
          <w:highlight w:val="none"/>
          <w:u w:val="single"/>
        </w:rPr>
        <w:t xml:space="preserve"> 广西壮族自治区水运发展中心 </w:t>
      </w:r>
      <w:r>
        <w:rPr>
          <w:rFonts w:hint="eastAsia" w:ascii="宋体" w:hAnsi="宋体" w:cs="宋体"/>
          <w:color w:val="auto"/>
          <w:szCs w:val="21"/>
          <w:highlight w:val="none"/>
        </w:rPr>
        <w:t>（以下简称:甲方（发包人））为一方与另一方</w:t>
      </w:r>
      <w:r>
        <w:rPr>
          <w:rFonts w:hint="eastAsia" w:ascii="宋体" w:hAnsi="宋体" w:cs="宋体"/>
          <w:color w:val="auto"/>
          <w:szCs w:val="21"/>
          <w:highlight w:val="none"/>
          <w:u w:val="single"/>
        </w:rPr>
        <w:t xml:space="preserve">  全称    </w:t>
      </w:r>
      <w:r>
        <w:rPr>
          <w:rFonts w:hint="eastAsia" w:ascii="宋体" w:hAnsi="宋体" w:cs="宋体"/>
          <w:color w:val="auto"/>
          <w:szCs w:val="21"/>
          <w:highlight w:val="none"/>
        </w:rPr>
        <w:t>（以下称乙方（承包人）），特订立如下合同。</w:t>
      </w:r>
    </w:p>
    <w:p w14:paraId="04720269">
      <w:pPr>
        <w:pStyle w:val="7"/>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第一条  双方的权利和义务</w:t>
      </w:r>
    </w:p>
    <w:p w14:paraId="6DA145C7">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（一）严格遵守党和国家有关法律法规及交通运输部的有关规定。</w:t>
      </w:r>
    </w:p>
    <w:p w14:paraId="5D402FA8">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（二）严格执行</w:t>
      </w:r>
      <w:r>
        <w:rPr>
          <w:rFonts w:hint="eastAsia" w:ascii="宋体" w:hAnsi="宋体" w:cs="宋体"/>
          <w:color w:val="auto"/>
          <w:szCs w:val="21"/>
          <w:highlight w:val="none"/>
          <w:u w:val="single"/>
        </w:rPr>
        <w:t>北海港铁山港区1万至3万吨级锚地工程</w:t>
      </w:r>
      <w:r>
        <w:rPr>
          <w:rFonts w:hint="eastAsia" w:ascii="宋体" w:hAnsi="宋体" w:cs="宋体"/>
          <w:color w:val="auto"/>
          <w:szCs w:val="21"/>
          <w:highlight w:val="none"/>
          <w:u w:val="single"/>
          <w:lang w:eastAsia="zh-CN"/>
        </w:rPr>
        <w:t>交工验收测量</w:t>
      </w:r>
      <w:r>
        <w:rPr>
          <w:rFonts w:hint="eastAsia" w:ascii="宋体" w:hAnsi="宋体" w:cs="宋体"/>
          <w:color w:val="auto"/>
          <w:szCs w:val="21"/>
          <w:highlight w:val="none"/>
          <w:u w:val="single"/>
        </w:rPr>
        <w:t xml:space="preserve">服务 </w:t>
      </w:r>
      <w:r>
        <w:rPr>
          <w:rFonts w:hint="eastAsia" w:ascii="宋体" w:hAnsi="宋体" w:cs="宋体"/>
          <w:color w:val="auto"/>
          <w:szCs w:val="21"/>
          <w:highlight w:val="none"/>
        </w:rPr>
        <w:t>合同文件，自觉按合同办事。</w:t>
      </w:r>
    </w:p>
    <w:p w14:paraId="665F591D">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（三）双方的业务活动坚持公开、公正、诚信、透明的原则（除法律认定的商业秘密和合同文件另有规定之外），不得损害国家和集体利益，违反工程建设管理规章制度。</w:t>
      </w:r>
    </w:p>
    <w:p w14:paraId="7347C77F">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（四）建立健全廉政制度，开展廉政教育，设立廉政告示牌，公布举报电话，监督并认真查处违法违纪行为。</w:t>
      </w:r>
    </w:p>
    <w:p w14:paraId="2D527028">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（五）发现对方在业务活动中有违反廉政规定的行为，有及时提醒对方纠正的权利和义务。</w:t>
      </w:r>
    </w:p>
    <w:p w14:paraId="7C845A9D">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（六）发现对方严重违反本合同义务条款的行为，有向其上级有关部门举报、建议给予处理并要求告知处理结果的权利。</w:t>
      </w:r>
    </w:p>
    <w:p w14:paraId="5C604D74">
      <w:pPr>
        <w:pStyle w:val="7"/>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第二条 甲方（发包人）的义务</w:t>
      </w:r>
    </w:p>
    <w:p w14:paraId="5839F3D3">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（一）甲方（发包人）及其工作人员不得索要或接受乙方（承包人）的礼金、有价证券和贵重物品，不得让乙方（承包人）报销任何应由甲方（发包人）或个人支付的费用等。</w:t>
      </w:r>
    </w:p>
    <w:p w14:paraId="7E4B3A9B">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（二）甲方（发包人）工作人员不得参加乙方（承包人）安排的超标准宴请和娱乐活动；不得接受乙方（承包人）提供的通讯工具、交通工具和高档办公用品等。</w:t>
      </w:r>
    </w:p>
    <w:p w14:paraId="6939DEB1">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（三）甲方（发包人）及其工作人员不得要求或者接受乙方（承包人）为其住房装修、婚丧嫁娶活动、配偶子女的工作安排以及出国出境、旅游等提供方便等。</w:t>
      </w:r>
    </w:p>
    <w:p w14:paraId="4E6E181F">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不准向乙方（承包人）和相关单位介绍或为配偶、子女、亲属参与同甲方（发包人）项目工程合同有关的咨询业务等活动。不得以任何理由要求乙方（承包人）和相关单位在咨询中使用某种产品、材料和设备。</w:t>
      </w:r>
    </w:p>
    <w:p w14:paraId="43D0BA96">
      <w:pPr>
        <w:pStyle w:val="7"/>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第三条  乙方（承包人）义务</w:t>
      </w:r>
    </w:p>
    <w:p w14:paraId="7FC44908">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（一）乙方（承包人）不得以任何理由向甲方（发包人）及其工作人员行贿或馈赠礼金、有价证券、贵重礼品。</w:t>
      </w:r>
    </w:p>
    <w:p w14:paraId="7DBCE49C">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（二）乙方（承包人）不得以任何名义为甲方（发包人）及其工作人员报销应由甲方（发包人）单位或个人支付的任何费用。</w:t>
      </w:r>
    </w:p>
    <w:p w14:paraId="2C1CCE4F">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（三）乙方（承包人）不得以任何理由安排甲方（发包人）工作人员参加超标准宴请及娱乐活动。</w:t>
      </w:r>
    </w:p>
    <w:p w14:paraId="27E4E988">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（四）乙方（承包人）不得为甲方（发包人）单位和个人购置或提供通讯工具、交通工具和高档办公用品等。</w:t>
      </w:r>
    </w:p>
    <w:p w14:paraId="14A4BE8D">
      <w:pPr>
        <w:pStyle w:val="7"/>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第四条  违约责任</w:t>
      </w:r>
    </w:p>
    <w:p w14:paraId="14DECE66">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甲方（发包人）及其工作人员违反本合同第一、二条，按管理权限，依据有关规定给予党纪、政纪处分或组织处理；涉嫌犯罪的，移交司法机关追究刑事责任；给乙方（承包人）单位造成经济损失的，应予以赔偿。</w:t>
      </w:r>
    </w:p>
    <w:p w14:paraId="70A51201">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乙方（承包人）及其工作人员违反本合同第一、三条，按管理权限，依据有关规定给予党纪、政纪处分或组织处理；给甲方（发包人）单位造成经济损失的，应予以赔偿；情节严重的，甲方（发包人）建议交通工程建设主管部门给予乙方（承包人）一至三年内不得进入其主管的交通工程建设市场的处罚。</w:t>
      </w:r>
    </w:p>
    <w:p w14:paraId="1D569B09">
      <w:pPr>
        <w:pStyle w:val="7"/>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五条：双方约定：本合同由双方或双方上级单位的纪检监察机关负责监督。由甲方（发包人）或甲方（发包人）上级单位的纪检监察机关约请乙方（承包人）或乙方（承包人）上级单位纪检监察机关对本合同履行情况进行检查，提出在本合同规定范围内的裁定意见。</w:t>
      </w:r>
    </w:p>
    <w:p w14:paraId="232B9A74">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第六条  本合同自双方法定代表人或其委托代理人签字并加盖双方单位公章后、且发包人收到承包人的履约担保后生效，至本项目全部成果通过验收后终止。</w:t>
      </w:r>
    </w:p>
    <w:p w14:paraId="4328CA0B">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第七条  本合同作为</w:t>
      </w:r>
      <w:r>
        <w:rPr>
          <w:rFonts w:hint="eastAsia" w:ascii="宋体" w:hAnsi="宋体" w:cs="宋体"/>
          <w:color w:val="auto"/>
          <w:szCs w:val="21"/>
          <w:highlight w:val="none"/>
          <w:u w:val="single"/>
        </w:rPr>
        <w:t xml:space="preserve"> 北海港铁山港区1万至3万吨级锚地工程</w:t>
      </w:r>
      <w:r>
        <w:rPr>
          <w:rFonts w:hint="eastAsia" w:ascii="宋体" w:hAnsi="宋体" w:cs="宋体"/>
          <w:color w:val="auto"/>
          <w:szCs w:val="21"/>
          <w:highlight w:val="none"/>
          <w:u w:val="single"/>
          <w:lang w:eastAsia="zh-CN"/>
        </w:rPr>
        <w:t>交工验收测量</w:t>
      </w:r>
      <w:r>
        <w:rPr>
          <w:rFonts w:hint="eastAsia" w:ascii="宋体" w:hAnsi="宋体" w:cs="宋体"/>
          <w:color w:val="auto"/>
          <w:szCs w:val="21"/>
          <w:highlight w:val="none"/>
          <w:u w:val="single"/>
        </w:rPr>
        <w:t xml:space="preserve">服务 </w:t>
      </w:r>
      <w:r>
        <w:rPr>
          <w:rFonts w:hint="eastAsia" w:ascii="宋体" w:hAnsi="宋体" w:cs="宋体"/>
          <w:color w:val="auto"/>
          <w:szCs w:val="21"/>
          <w:highlight w:val="none"/>
        </w:rPr>
        <w:t>合同的附件，与咨询合同具有同等的法律效力。</w:t>
      </w:r>
    </w:p>
    <w:p w14:paraId="4506BBA0">
      <w:pPr>
        <w:pStyle w:val="7"/>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第八条  本合同陆份，双方各执叁份。</w:t>
      </w:r>
    </w:p>
    <w:p w14:paraId="393C351F">
      <w:pPr>
        <w:pStyle w:val="7"/>
        <w:snapToGrid w:val="0"/>
        <w:spacing w:line="360" w:lineRule="auto"/>
        <w:ind w:firstLine="480"/>
        <w:rPr>
          <w:rFonts w:ascii="宋体" w:hAnsi="宋体" w:cs="宋体"/>
          <w:color w:val="auto"/>
          <w:szCs w:val="21"/>
          <w:highlight w:val="none"/>
        </w:rPr>
      </w:pPr>
    </w:p>
    <w:p w14:paraId="31FC8072">
      <w:pPr>
        <w:snapToGrid w:val="0"/>
        <w:spacing w:line="360" w:lineRule="auto"/>
        <w:rPr>
          <w:rFonts w:ascii="宋体" w:hAnsi="宋体" w:cs="宋体"/>
          <w:color w:val="auto"/>
          <w:szCs w:val="21"/>
          <w:highlight w:val="none"/>
        </w:rPr>
      </w:pPr>
    </w:p>
    <w:tbl>
      <w:tblPr>
        <w:tblStyle w:val="26"/>
        <w:tblW w:w="8745" w:type="dxa"/>
        <w:jc w:val="center"/>
        <w:tblLayout w:type="autofit"/>
        <w:tblCellMar>
          <w:top w:w="0" w:type="dxa"/>
          <w:left w:w="108" w:type="dxa"/>
          <w:bottom w:w="0" w:type="dxa"/>
          <w:right w:w="108" w:type="dxa"/>
        </w:tblCellMar>
      </w:tblPr>
      <w:tblGrid>
        <w:gridCol w:w="4144"/>
        <w:gridCol w:w="240"/>
        <w:gridCol w:w="240"/>
        <w:gridCol w:w="4121"/>
      </w:tblGrid>
      <w:tr w14:paraId="1BAEFF1F">
        <w:tblPrEx>
          <w:tblCellMar>
            <w:top w:w="0" w:type="dxa"/>
            <w:left w:w="108" w:type="dxa"/>
            <w:bottom w:w="0" w:type="dxa"/>
            <w:right w:w="108" w:type="dxa"/>
          </w:tblCellMar>
        </w:tblPrEx>
        <w:trPr>
          <w:trHeight w:val="1662" w:hRule="atLeast"/>
          <w:jc w:val="center"/>
        </w:trPr>
        <w:tc>
          <w:tcPr>
            <w:tcW w:w="4144" w:type="dxa"/>
          </w:tcPr>
          <w:p w14:paraId="3A295BAA">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甲方：广西壮族自治区水运发展中心（盖章）</w:t>
            </w:r>
          </w:p>
        </w:tc>
        <w:tc>
          <w:tcPr>
            <w:tcW w:w="240" w:type="dxa"/>
          </w:tcPr>
          <w:p w14:paraId="2320D143">
            <w:pPr>
              <w:pStyle w:val="7"/>
              <w:spacing w:line="360" w:lineRule="auto"/>
              <w:rPr>
                <w:rFonts w:ascii="宋体" w:hAnsi="宋体" w:cs="宋体"/>
                <w:color w:val="auto"/>
                <w:szCs w:val="21"/>
                <w:highlight w:val="none"/>
              </w:rPr>
            </w:pPr>
          </w:p>
        </w:tc>
        <w:tc>
          <w:tcPr>
            <w:tcW w:w="240" w:type="dxa"/>
          </w:tcPr>
          <w:p w14:paraId="66EE79A8">
            <w:pPr>
              <w:pStyle w:val="7"/>
              <w:spacing w:line="360" w:lineRule="auto"/>
              <w:rPr>
                <w:rFonts w:ascii="宋体" w:hAnsi="宋体" w:cs="宋体"/>
                <w:color w:val="auto"/>
                <w:szCs w:val="21"/>
                <w:highlight w:val="none"/>
              </w:rPr>
            </w:pPr>
          </w:p>
        </w:tc>
        <w:tc>
          <w:tcPr>
            <w:tcW w:w="4121" w:type="dxa"/>
          </w:tcPr>
          <w:p w14:paraId="019C8909">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tc>
      </w:tr>
      <w:tr w14:paraId="415EB81B">
        <w:tblPrEx>
          <w:tblCellMar>
            <w:top w:w="0" w:type="dxa"/>
            <w:left w:w="108" w:type="dxa"/>
            <w:bottom w:w="0" w:type="dxa"/>
            <w:right w:w="108" w:type="dxa"/>
          </w:tblCellMar>
        </w:tblPrEx>
        <w:trPr>
          <w:jc w:val="center"/>
        </w:trPr>
        <w:tc>
          <w:tcPr>
            <w:tcW w:w="4144" w:type="dxa"/>
          </w:tcPr>
          <w:p w14:paraId="21E1A3AE">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c>
          <w:tcPr>
            <w:tcW w:w="240" w:type="dxa"/>
          </w:tcPr>
          <w:p w14:paraId="658760B9">
            <w:pPr>
              <w:pStyle w:val="7"/>
              <w:spacing w:line="360" w:lineRule="auto"/>
              <w:rPr>
                <w:rFonts w:ascii="宋体" w:hAnsi="宋体" w:cs="宋体"/>
                <w:color w:val="auto"/>
                <w:szCs w:val="21"/>
                <w:highlight w:val="none"/>
              </w:rPr>
            </w:pPr>
          </w:p>
        </w:tc>
        <w:tc>
          <w:tcPr>
            <w:tcW w:w="240" w:type="dxa"/>
          </w:tcPr>
          <w:p w14:paraId="75D6E176">
            <w:pPr>
              <w:pStyle w:val="7"/>
              <w:spacing w:line="360" w:lineRule="auto"/>
              <w:rPr>
                <w:rFonts w:ascii="宋体" w:hAnsi="宋体" w:cs="宋体"/>
                <w:color w:val="auto"/>
                <w:szCs w:val="21"/>
                <w:highlight w:val="none"/>
              </w:rPr>
            </w:pPr>
          </w:p>
        </w:tc>
        <w:tc>
          <w:tcPr>
            <w:tcW w:w="4121" w:type="dxa"/>
          </w:tcPr>
          <w:p w14:paraId="14055ED3">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r>
      <w:tr w14:paraId="0575B0C7">
        <w:tblPrEx>
          <w:tblCellMar>
            <w:top w:w="0" w:type="dxa"/>
            <w:left w:w="108" w:type="dxa"/>
            <w:bottom w:w="0" w:type="dxa"/>
            <w:right w:w="108" w:type="dxa"/>
          </w:tblCellMar>
        </w:tblPrEx>
        <w:trPr>
          <w:jc w:val="center"/>
        </w:trPr>
        <w:tc>
          <w:tcPr>
            <w:tcW w:w="4144" w:type="dxa"/>
          </w:tcPr>
          <w:p w14:paraId="58374CAE">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276E6585">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c>
          <w:tcPr>
            <w:tcW w:w="240" w:type="dxa"/>
          </w:tcPr>
          <w:p w14:paraId="18B3BD5C">
            <w:pPr>
              <w:pStyle w:val="7"/>
              <w:spacing w:line="360" w:lineRule="auto"/>
              <w:rPr>
                <w:rFonts w:ascii="宋体" w:hAnsi="宋体" w:cs="宋体"/>
                <w:color w:val="auto"/>
                <w:szCs w:val="21"/>
                <w:highlight w:val="none"/>
              </w:rPr>
            </w:pPr>
          </w:p>
        </w:tc>
        <w:tc>
          <w:tcPr>
            <w:tcW w:w="240" w:type="dxa"/>
          </w:tcPr>
          <w:p w14:paraId="65599A7F">
            <w:pPr>
              <w:pStyle w:val="7"/>
              <w:spacing w:line="360" w:lineRule="auto"/>
              <w:rPr>
                <w:rFonts w:ascii="宋体" w:hAnsi="宋体" w:cs="宋体"/>
                <w:color w:val="auto"/>
                <w:szCs w:val="21"/>
                <w:highlight w:val="none"/>
              </w:rPr>
            </w:pPr>
          </w:p>
        </w:tc>
        <w:tc>
          <w:tcPr>
            <w:tcW w:w="4121" w:type="dxa"/>
          </w:tcPr>
          <w:p w14:paraId="74016C7F">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1F7E0090">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r>
    </w:tbl>
    <w:p w14:paraId="2BCB3417">
      <w:pPr>
        <w:snapToGrid w:val="0"/>
        <w:spacing w:line="360" w:lineRule="auto"/>
        <w:rPr>
          <w:rFonts w:ascii="宋体" w:hAnsi="宋体" w:cs="宋体"/>
          <w:bCs/>
          <w:color w:val="auto"/>
          <w:szCs w:val="21"/>
          <w:highlight w:val="none"/>
        </w:rPr>
      </w:pPr>
    </w:p>
    <w:p w14:paraId="559FBF4E">
      <w:pPr>
        <w:pStyle w:val="30"/>
        <w:ind w:firstLine="3840" w:firstLineChars="16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2026年   月    日</w:t>
      </w:r>
    </w:p>
    <w:p w14:paraId="03A41956">
      <w:pP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br w:type="page"/>
      </w:r>
    </w:p>
    <w:bookmarkEnd w:id="189"/>
    <w:bookmarkEnd w:id="190"/>
    <w:p w14:paraId="5C6A9E8B">
      <w:pPr>
        <w:snapToGrid w:val="0"/>
        <w:spacing w:line="360" w:lineRule="auto"/>
        <w:jc w:val="left"/>
        <w:outlineLvl w:val="1"/>
        <w:rPr>
          <w:rFonts w:hint="eastAsia" w:ascii="宋体" w:hAnsi="宋体" w:cs="宋体"/>
          <w:b w:val="0"/>
          <w:color w:val="auto"/>
          <w:sz w:val="21"/>
          <w:szCs w:val="21"/>
          <w:highlight w:val="none"/>
        </w:rPr>
      </w:pPr>
      <w:bookmarkStart w:id="220" w:name="_Toc154050084"/>
      <w:bookmarkStart w:id="221" w:name="_Toc32497"/>
      <w:r>
        <w:rPr>
          <w:rFonts w:hint="eastAsia" w:ascii="宋体" w:hAnsi="宋体" w:cs="宋体"/>
          <w:b w:val="0"/>
          <w:color w:val="auto"/>
          <w:sz w:val="21"/>
          <w:szCs w:val="21"/>
          <w:highlight w:val="none"/>
          <w:lang w:val="en-US" w:eastAsia="zh-CN"/>
        </w:rPr>
        <w:t xml:space="preserve">第三节  </w:t>
      </w:r>
      <w:r>
        <w:rPr>
          <w:rFonts w:hint="eastAsia" w:ascii="宋体" w:hAnsi="宋体" w:cs="宋体"/>
          <w:b w:val="0"/>
          <w:color w:val="auto"/>
          <w:sz w:val="21"/>
          <w:szCs w:val="21"/>
          <w:highlight w:val="none"/>
        </w:rPr>
        <w:t>安全生产合同</w:t>
      </w:r>
      <w:bookmarkEnd w:id="220"/>
      <w:bookmarkEnd w:id="221"/>
    </w:p>
    <w:p w14:paraId="799D68C4">
      <w:pPr>
        <w:pStyle w:val="45"/>
        <w:autoSpaceDE w:val="0"/>
        <w:autoSpaceDN w:val="0"/>
        <w:adjustRightInd w:val="0"/>
        <w:snapToGrid w:val="0"/>
        <w:spacing w:line="360" w:lineRule="auto"/>
        <w:jc w:val="center"/>
        <w:rPr>
          <w:rFonts w:ascii="宋体" w:hAnsi="宋体"/>
          <w:b/>
          <w:color w:val="auto"/>
          <w:kern w:val="0"/>
          <w:sz w:val="28"/>
          <w:szCs w:val="28"/>
          <w:highlight w:val="none"/>
        </w:rPr>
      </w:pPr>
      <w:r>
        <w:rPr>
          <w:rFonts w:hint="eastAsia" w:ascii="宋体" w:hAnsi="宋体"/>
          <w:b/>
          <w:color w:val="auto"/>
          <w:kern w:val="0"/>
          <w:sz w:val="28"/>
          <w:szCs w:val="28"/>
          <w:highlight w:val="none"/>
        </w:rPr>
        <w:t>安全生产合同</w:t>
      </w:r>
    </w:p>
    <w:p w14:paraId="05CAE6B1">
      <w:pPr>
        <w:pStyle w:val="45"/>
        <w:snapToGrid w:val="0"/>
        <w:spacing w:line="300" w:lineRule="auto"/>
        <w:ind w:firstLine="480" w:firstLineChars="200"/>
        <w:rPr>
          <w:rFonts w:ascii="宋体" w:hAnsi="宋体"/>
          <w:color w:val="auto"/>
          <w:sz w:val="24"/>
          <w:szCs w:val="24"/>
          <w:highlight w:val="none"/>
        </w:rPr>
      </w:pPr>
    </w:p>
    <w:p w14:paraId="52431535">
      <w:pPr>
        <w:pStyle w:val="45"/>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为在 北海港铁山港区1万至3万吨级锚地工程</w:t>
      </w:r>
      <w:r>
        <w:rPr>
          <w:rFonts w:hint="eastAsia" w:ascii="宋体" w:hAnsi="宋体"/>
          <w:color w:val="auto"/>
          <w:sz w:val="24"/>
          <w:szCs w:val="24"/>
          <w:highlight w:val="none"/>
          <w:lang w:eastAsia="zh-CN"/>
        </w:rPr>
        <w:t>交工验收测量</w:t>
      </w:r>
      <w:r>
        <w:rPr>
          <w:rFonts w:hint="eastAsia" w:ascii="宋体" w:hAnsi="宋体"/>
          <w:color w:val="auto"/>
          <w:sz w:val="24"/>
          <w:szCs w:val="24"/>
          <w:highlight w:val="none"/>
        </w:rPr>
        <w:t>的实施过程中，切实搞好本项目的安全管理工作，发包人</w:t>
      </w:r>
      <w:r>
        <w:rPr>
          <w:rFonts w:hint="eastAsia" w:ascii="宋体" w:hAnsi="宋体"/>
          <w:color w:val="auto"/>
          <w:sz w:val="24"/>
          <w:szCs w:val="24"/>
          <w:highlight w:val="none"/>
          <w:u w:val="single"/>
        </w:rPr>
        <w:t>广西壮族自治区</w:t>
      </w:r>
      <w:r>
        <w:rPr>
          <w:rFonts w:hint="eastAsia" w:ascii="宋体" w:hAnsi="宋体"/>
          <w:color w:val="auto"/>
          <w:sz w:val="24"/>
          <w:szCs w:val="24"/>
          <w:highlight w:val="none"/>
          <w:u w:val="single"/>
          <w:lang w:eastAsia="zh-CN"/>
        </w:rPr>
        <w:t>水运</w:t>
      </w:r>
      <w:r>
        <w:rPr>
          <w:rFonts w:hint="eastAsia" w:ascii="宋体" w:hAnsi="宋体"/>
          <w:color w:val="auto"/>
          <w:sz w:val="24"/>
          <w:szCs w:val="24"/>
          <w:highlight w:val="none"/>
          <w:u w:val="single"/>
        </w:rPr>
        <w:t>发展中心</w:t>
      </w:r>
      <w:r>
        <w:rPr>
          <w:rFonts w:hint="eastAsia" w:ascii="宋体" w:hAnsi="宋体"/>
          <w:color w:val="auto"/>
          <w:sz w:val="24"/>
          <w:szCs w:val="24"/>
          <w:highlight w:val="none"/>
        </w:rPr>
        <w:t>（以下简称“甲方”）与测量人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（全称）</w:t>
      </w:r>
      <w:r>
        <w:rPr>
          <w:rFonts w:hint="eastAsia" w:ascii="宋体" w:hAnsi="宋体"/>
          <w:color w:val="auto"/>
          <w:sz w:val="24"/>
          <w:szCs w:val="24"/>
          <w:highlight w:val="none"/>
        </w:rPr>
        <w:t>（以下简称“乙方”）特此签订安全生产合同：</w:t>
      </w:r>
    </w:p>
    <w:p w14:paraId="555DC84E">
      <w:pPr>
        <w:pStyle w:val="45"/>
        <w:snapToGri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一、甲方职责</w:t>
      </w:r>
    </w:p>
    <w:p w14:paraId="0184C07C">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．严格遵守国家有关安全生产的法律法规，认真执行工程承包合同中的有关安全要求。</w:t>
      </w:r>
    </w:p>
    <w:p w14:paraId="74A9C9D6">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．按照“安全第一、预防为主、综合治理”和坚持“管生产必须管安全”的原则进行安全生产管理，做到生产与安全工作同时计划、布置、检查、总结和评比。</w:t>
      </w:r>
    </w:p>
    <w:p w14:paraId="335875BC">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．重要的安全设施必须坚持与主体工程“三同时”的原则，即：同时设计、审批，同时施工，同时验收，投入使用。</w:t>
      </w:r>
    </w:p>
    <w:p w14:paraId="6CB9B876">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．定期召开安全生产调度会，及时传达中央及地方有关安全生产的精神。</w:t>
      </w:r>
    </w:p>
    <w:p w14:paraId="1E6AF68C">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．组织对乙方施工现场安全生产检查，监督乙方及时处理发现的各项安全隐患。</w:t>
      </w:r>
    </w:p>
    <w:p w14:paraId="4DAFEA3D">
      <w:pPr>
        <w:pStyle w:val="45"/>
        <w:snapToGri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二、乙方职责</w:t>
      </w:r>
    </w:p>
    <w:p w14:paraId="17E0EA5A">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．严格遵守国家有关安全生产的法律法规及规章，认真执行工程承包合同中的有安全要求。</w:t>
      </w:r>
    </w:p>
    <w:p w14:paraId="0BC638C8">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2．达到安全管理目标：本项目“零死亡”平安工地建设目标，不发生重特大安全生产事故。</w:t>
      </w:r>
    </w:p>
    <w:p w14:paraId="0AEAD661">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06BD60F">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建立健全安全生产责任制。从派往项目实施的测量及设计（包括临时雇请的民工）的安全生产管理系统必须做到纵向到底，一环不漏；各职能部门、人员的安全生产责任制做到横向到边，人人有责。现场设置的安全机构，最少应配备至少1名专职安全员，专职负责所有员工的安全和治安保卫工作及预防事故的发生。安全机构人员，有权按有关规定发布指令，并采取保护性措施防止事故发生。</w:t>
      </w:r>
    </w:p>
    <w:p w14:paraId="49154680">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5．乙方在任何时候都应采取各种合理的预防措施，防止其员工发生任何违法、违禁、暴力或妨碍治安的行为。</w:t>
      </w:r>
    </w:p>
    <w:p w14:paraId="6EFFD888">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参加测量及设计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w:t>
      </w:r>
      <w:r>
        <w:rPr>
          <w:rFonts w:hint="eastAsia" w:ascii="宋体" w:hAnsi="宋体"/>
          <w:color w:val="auto"/>
          <w:sz w:val="24"/>
          <w:szCs w:val="24"/>
          <w:highlight w:val="none"/>
          <w:lang w:val="en-US" w:eastAsia="zh-CN"/>
        </w:rPr>
        <w:t>作业</w:t>
      </w:r>
      <w:r>
        <w:rPr>
          <w:rFonts w:ascii="宋体" w:hAnsi="宋体"/>
          <w:color w:val="auto"/>
          <w:sz w:val="24"/>
          <w:szCs w:val="24"/>
          <w:highlight w:val="none"/>
        </w:rPr>
        <w:t>现场如出现特种作业无证操作现象时，乙方必须承担管理责任。</w:t>
      </w:r>
    </w:p>
    <w:p w14:paraId="0D93B2E3">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C96E5FE">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8．操作人员上岗，必须按规定穿戴防护用品。</w:t>
      </w:r>
      <w:r>
        <w:rPr>
          <w:rFonts w:hint="eastAsia" w:ascii="宋体" w:hAnsi="宋体"/>
          <w:color w:val="auto"/>
          <w:sz w:val="24"/>
          <w:szCs w:val="24"/>
          <w:highlight w:val="none"/>
          <w:lang w:val="en-US" w:eastAsia="zh-CN"/>
        </w:rPr>
        <w:t>项目</w:t>
      </w:r>
      <w:r>
        <w:rPr>
          <w:rFonts w:ascii="宋体" w:hAnsi="宋体"/>
          <w:color w:val="auto"/>
          <w:sz w:val="24"/>
          <w:szCs w:val="24"/>
          <w:highlight w:val="none"/>
        </w:rPr>
        <w:t>负责人和安全检查员应随时检查劳动防护用品的穿戴情况，不按规定穿戴防护用品的人员不得上岗。</w:t>
      </w:r>
    </w:p>
    <w:p w14:paraId="2FFBEEB1">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9．所有</w:t>
      </w:r>
      <w:r>
        <w:rPr>
          <w:rFonts w:hint="eastAsia" w:ascii="宋体" w:hAnsi="宋体"/>
          <w:color w:val="auto"/>
          <w:sz w:val="24"/>
          <w:szCs w:val="24"/>
          <w:highlight w:val="none"/>
          <w:lang w:val="en-US" w:eastAsia="zh-CN"/>
        </w:rPr>
        <w:t>作业</w:t>
      </w:r>
      <w:r>
        <w:rPr>
          <w:rFonts w:ascii="宋体" w:hAnsi="宋体"/>
          <w:color w:val="auto"/>
          <w:sz w:val="24"/>
          <w:szCs w:val="24"/>
          <w:highlight w:val="none"/>
        </w:rPr>
        <w:t>机具设备和高空作业的设备均应定期检查，并有安全员的签字记录，保证其经常处于完好状态；不合格的机具、设备和劳动保护用品严禁使用。</w:t>
      </w:r>
    </w:p>
    <w:p w14:paraId="4938F586">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lang w:val="en-US" w:eastAsia="zh-CN"/>
        </w:rPr>
        <w:t>测量作业</w:t>
      </w:r>
      <w:r>
        <w:rPr>
          <w:rFonts w:ascii="宋体" w:hAnsi="宋体"/>
          <w:color w:val="auto"/>
          <w:sz w:val="24"/>
          <w:szCs w:val="24"/>
          <w:highlight w:val="none"/>
        </w:rPr>
        <w:t>中采用新技术、新工艺、新设备、新材料时，必须制定相应的安全技术措施，</w:t>
      </w:r>
      <w:r>
        <w:rPr>
          <w:rFonts w:hint="eastAsia" w:ascii="宋体" w:hAnsi="宋体"/>
          <w:color w:val="auto"/>
          <w:sz w:val="24"/>
          <w:szCs w:val="24"/>
          <w:highlight w:val="none"/>
          <w:lang w:val="en-US" w:eastAsia="zh-CN"/>
        </w:rPr>
        <w:t>作业</w:t>
      </w:r>
      <w:r>
        <w:rPr>
          <w:rFonts w:ascii="宋体" w:hAnsi="宋体"/>
          <w:color w:val="auto"/>
          <w:sz w:val="24"/>
          <w:szCs w:val="24"/>
          <w:highlight w:val="none"/>
        </w:rPr>
        <w:t>现场必须具有相关的安全标志牌。</w:t>
      </w:r>
    </w:p>
    <w:p w14:paraId="408E4240">
      <w:pPr>
        <w:pStyle w:val="45"/>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0B7056BC">
      <w:pPr>
        <w:pStyle w:val="45"/>
        <w:snapToGri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三、违约责任</w:t>
      </w:r>
    </w:p>
    <w:p w14:paraId="2EE7E83C">
      <w:pPr>
        <w:pStyle w:val="45"/>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如因甲方或乙方违约造成安全事故，将依法追究责任。</w:t>
      </w:r>
    </w:p>
    <w:p w14:paraId="5478E6D3">
      <w:pPr>
        <w:pStyle w:val="32"/>
        <w:ind w:firstLine="0" w:firstLineChars="0"/>
        <w:jc w:val="both"/>
        <w:rPr>
          <w:rFonts w:hint="eastAsia" w:ascii="宋体" w:hAnsi="宋体"/>
          <w:color w:val="auto"/>
          <w:sz w:val="24"/>
          <w:szCs w:val="24"/>
          <w:highlight w:val="none"/>
        </w:rPr>
      </w:pPr>
      <w:r>
        <w:rPr>
          <w:rFonts w:hint="eastAsia" w:ascii="宋体" w:hAnsi="宋体"/>
          <w:color w:val="auto"/>
          <w:sz w:val="24"/>
          <w:szCs w:val="24"/>
          <w:highlight w:val="none"/>
        </w:rPr>
        <w:t>本合同一式二十</w:t>
      </w:r>
      <w:r>
        <w:rPr>
          <w:rFonts w:ascii="宋体" w:hAnsi="宋体"/>
          <w:color w:val="auto"/>
          <w:sz w:val="24"/>
          <w:szCs w:val="24"/>
          <w:highlight w:val="none"/>
        </w:rPr>
        <w:t>份，甲方执</w:t>
      </w:r>
      <w:r>
        <w:rPr>
          <w:rFonts w:hint="eastAsia" w:ascii="宋体" w:hAnsi="宋体"/>
          <w:color w:val="auto"/>
          <w:sz w:val="24"/>
          <w:szCs w:val="24"/>
          <w:highlight w:val="none"/>
        </w:rPr>
        <w:t>十五</w:t>
      </w:r>
      <w:r>
        <w:rPr>
          <w:rFonts w:ascii="宋体" w:hAnsi="宋体"/>
          <w:color w:val="auto"/>
          <w:sz w:val="24"/>
          <w:szCs w:val="24"/>
          <w:highlight w:val="none"/>
        </w:rPr>
        <w:t>份，乙方执</w:t>
      </w:r>
      <w:r>
        <w:rPr>
          <w:rFonts w:hint="eastAsia" w:ascii="宋体" w:hAnsi="宋体"/>
          <w:color w:val="auto"/>
          <w:sz w:val="24"/>
          <w:szCs w:val="24"/>
          <w:highlight w:val="none"/>
        </w:rPr>
        <w:t>五</w:t>
      </w:r>
      <w:r>
        <w:rPr>
          <w:rFonts w:ascii="宋体" w:hAnsi="宋体"/>
          <w:color w:val="auto"/>
          <w:sz w:val="24"/>
          <w:szCs w:val="24"/>
          <w:highlight w:val="none"/>
        </w:rPr>
        <w:t>份</w:t>
      </w:r>
      <w:r>
        <w:rPr>
          <w:rFonts w:hint="eastAsia" w:ascii="宋体" w:hAnsi="宋体"/>
          <w:color w:val="auto"/>
          <w:sz w:val="24"/>
          <w:szCs w:val="24"/>
          <w:highlight w:val="none"/>
        </w:rPr>
        <w:t>。由双方法定代表人或其授权的代理人签署与加盖公章后生效，全部工程竣工验收后失效。</w:t>
      </w:r>
    </w:p>
    <w:p w14:paraId="0136FB99">
      <w:pPr>
        <w:pStyle w:val="32"/>
        <w:ind w:firstLine="0" w:firstLineChars="0"/>
        <w:jc w:val="both"/>
        <w:rPr>
          <w:rFonts w:hint="eastAsia" w:ascii="宋体" w:hAnsi="宋体"/>
          <w:color w:val="auto"/>
          <w:sz w:val="24"/>
          <w:szCs w:val="24"/>
          <w:highlight w:val="none"/>
        </w:rPr>
      </w:pPr>
    </w:p>
    <w:tbl>
      <w:tblPr>
        <w:tblStyle w:val="26"/>
        <w:tblW w:w="8745" w:type="dxa"/>
        <w:jc w:val="center"/>
        <w:tblLayout w:type="autofit"/>
        <w:tblCellMar>
          <w:top w:w="0" w:type="dxa"/>
          <w:left w:w="108" w:type="dxa"/>
          <w:bottom w:w="0" w:type="dxa"/>
          <w:right w:w="108" w:type="dxa"/>
        </w:tblCellMar>
      </w:tblPr>
      <w:tblGrid>
        <w:gridCol w:w="4144"/>
        <w:gridCol w:w="240"/>
        <w:gridCol w:w="240"/>
        <w:gridCol w:w="4121"/>
      </w:tblGrid>
      <w:tr w14:paraId="79150F38">
        <w:trPr>
          <w:trHeight w:val="1662" w:hRule="atLeast"/>
          <w:jc w:val="center"/>
        </w:trPr>
        <w:tc>
          <w:tcPr>
            <w:tcW w:w="4144" w:type="dxa"/>
          </w:tcPr>
          <w:p w14:paraId="7DDCBC6C">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甲方：广西壮族自治区水运发展中心（盖章）</w:t>
            </w:r>
          </w:p>
        </w:tc>
        <w:tc>
          <w:tcPr>
            <w:tcW w:w="240" w:type="dxa"/>
          </w:tcPr>
          <w:p w14:paraId="7FD343F6">
            <w:pPr>
              <w:pStyle w:val="7"/>
              <w:spacing w:line="360" w:lineRule="auto"/>
              <w:rPr>
                <w:rFonts w:ascii="宋体" w:hAnsi="宋体" w:cs="宋体"/>
                <w:color w:val="auto"/>
                <w:szCs w:val="21"/>
                <w:highlight w:val="none"/>
              </w:rPr>
            </w:pPr>
          </w:p>
        </w:tc>
        <w:tc>
          <w:tcPr>
            <w:tcW w:w="240" w:type="dxa"/>
          </w:tcPr>
          <w:p w14:paraId="2D347A58">
            <w:pPr>
              <w:pStyle w:val="7"/>
              <w:spacing w:line="360" w:lineRule="auto"/>
              <w:rPr>
                <w:rFonts w:ascii="宋体" w:hAnsi="宋体" w:cs="宋体"/>
                <w:color w:val="auto"/>
                <w:szCs w:val="21"/>
                <w:highlight w:val="none"/>
              </w:rPr>
            </w:pPr>
          </w:p>
        </w:tc>
        <w:tc>
          <w:tcPr>
            <w:tcW w:w="4121" w:type="dxa"/>
          </w:tcPr>
          <w:p w14:paraId="15248212">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tc>
      </w:tr>
      <w:tr w14:paraId="7D13127E">
        <w:tblPrEx>
          <w:tblCellMar>
            <w:top w:w="0" w:type="dxa"/>
            <w:left w:w="108" w:type="dxa"/>
            <w:bottom w:w="0" w:type="dxa"/>
            <w:right w:w="108" w:type="dxa"/>
          </w:tblCellMar>
        </w:tblPrEx>
        <w:trPr>
          <w:jc w:val="center"/>
        </w:trPr>
        <w:tc>
          <w:tcPr>
            <w:tcW w:w="4144" w:type="dxa"/>
          </w:tcPr>
          <w:p w14:paraId="31B63F52">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c>
          <w:tcPr>
            <w:tcW w:w="240" w:type="dxa"/>
          </w:tcPr>
          <w:p w14:paraId="14617DC7">
            <w:pPr>
              <w:pStyle w:val="7"/>
              <w:spacing w:line="360" w:lineRule="auto"/>
              <w:rPr>
                <w:rFonts w:ascii="宋体" w:hAnsi="宋体" w:cs="宋体"/>
                <w:color w:val="auto"/>
                <w:szCs w:val="21"/>
                <w:highlight w:val="none"/>
              </w:rPr>
            </w:pPr>
          </w:p>
        </w:tc>
        <w:tc>
          <w:tcPr>
            <w:tcW w:w="240" w:type="dxa"/>
          </w:tcPr>
          <w:p w14:paraId="64B6442D">
            <w:pPr>
              <w:pStyle w:val="7"/>
              <w:spacing w:line="360" w:lineRule="auto"/>
              <w:rPr>
                <w:rFonts w:ascii="宋体" w:hAnsi="宋体" w:cs="宋体"/>
                <w:color w:val="auto"/>
                <w:szCs w:val="21"/>
                <w:highlight w:val="none"/>
              </w:rPr>
            </w:pPr>
          </w:p>
        </w:tc>
        <w:tc>
          <w:tcPr>
            <w:tcW w:w="4121" w:type="dxa"/>
          </w:tcPr>
          <w:p w14:paraId="5155C433">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r>
      <w:tr w14:paraId="290B5741">
        <w:tblPrEx>
          <w:tblCellMar>
            <w:top w:w="0" w:type="dxa"/>
            <w:left w:w="108" w:type="dxa"/>
            <w:bottom w:w="0" w:type="dxa"/>
            <w:right w:w="108" w:type="dxa"/>
          </w:tblCellMar>
        </w:tblPrEx>
        <w:trPr>
          <w:jc w:val="center"/>
        </w:trPr>
        <w:tc>
          <w:tcPr>
            <w:tcW w:w="4144" w:type="dxa"/>
          </w:tcPr>
          <w:p w14:paraId="4B3DFC27">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0821AFDF">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c>
          <w:tcPr>
            <w:tcW w:w="240" w:type="dxa"/>
          </w:tcPr>
          <w:p w14:paraId="0AC2BBED">
            <w:pPr>
              <w:pStyle w:val="7"/>
              <w:spacing w:line="360" w:lineRule="auto"/>
              <w:rPr>
                <w:rFonts w:ascii="宋体" w:hAnsi="宋体" w:cs="宋体"/>
                <w:color w:val="auto"/>
                <w:szCs w:val="21"/>
                <w:highlight w:val="none"/>
              </w:rPr>
            </w:pPr>
          </w:p>
        </w:tc>
        <w:tc>
          <w:tcPr>
            <w:tcW w:w="240" w:type="dxa"/>
          </w:tcPr>
          <w:p w14:paraId="250F1FED">
            <w:pPr>
              <w:pStyle w:val="7"/>
              <w:spacing w:line="360" w:lineRule="auto"/>
              <w:rPr>
                <w:rFonts w:ascii="宋体" w:hAnsi="宋体" w:cs="宋体"/>
                <w:color w:val="auto"/>
                <w:szCs w:val="21"/>
                <w:highlight w:val="none"/>
              </w:rPr>
            </w:pPr>
          </w:p>
        </w:tc>
        <w:tc>
          <w:tcPr>
            <w:tcW w:w="4121" w:type="dxa"/>
          </w:tcPr>
          <w:p w14:paraId="18396A01">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52FA10FE">
            <w:pPr>
              <w:pStyle w:val="7"/>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r>
    </w:tbl>
    <w:p w14:paraId="1188DC5B">
      <w:pPr>
        <w:snapToGrid w:val="0"/>
        <w:spacing w:line="360" w:lineRule="auto"/>
        <w:rPr>
          <w:rFonts w:ascii="宋体" w:hAnsi="宋体" w:cs="宋体"/>
          <w:bCs/>
          <w:color w:val="auto"/>
          <w:szCs w:val="21"/>
          <w:highlight w:val="none"/>
        </w:rPr>
      </w:pPr>
    </w:p>
    <w:p w14:paraId="1EE9CDE9">
      <w:pPr>
        <w:pStyle w:val="30"/>
        <w:ind w:firstLine="3840" w:firstLineChars="1600"/>
        <w:rPr>
          <w:rFonts w:hint="eastAsia" w:ascii="宋体" w:hAnsi="宋体"/>
          <w:color w:val="auto"/>
          <w:sz w:val="24"/>
          <w:szCs w:val="24"/>
          <w:highlight w:val="none"/>
        </w:rPr>
      </w:pPr>
      <w:r>
        <w:rPr>
          <w:rFonts w:hint="eastAsia" w:ascii="宋体" w:hAnsi="宋体" w:cs="宋体"/>
          <w:bCs/>
          <w:color w:val="auto"/>
          <w:szCs w:val="21"/>
          <w:highlight w:val="none"/>
          <w:lang w:val="en-US" w:eastAsia="zh-CN"/>
        </w:rPr>
        <w:t>2026年   月    日</w:t>
      </w:r>
    </w:p>
    <w:sectPr>
      <w:footerReference r:id="rId9" w:type="first"/>
      <w:headerReference r:id="rId7" w:type="default"/>
      <w:footerReference r:id="rId8" w:type="default"/>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254C2A-A630-4C0B-8193-8FE4170AA8F3}"/>
  </w:font>
  <w:font w:name="Courier New">
    <w:panose1 w:val="02070309020205020404"/>
    <w:charset w:val="01"/>
    <w:family w:val="modern"/>
    <w:pitch w:val="default"/>
    <w:sig w:usb0="E0002EFF" w:usb1="C0007843" w:usb2="00000009" w:usb3="00000000" w:csb0="400001FF" w:csb1="FFFF0000"/>
    <w:embedRegular r:id="rId2" w:fontKey="{5178B67B-858D-45BC-82D3-2FAB3E6ECBC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18B0572B-560F-4417-BD8D-754C1D67002E}"/>
  </w:font>
  <w:font w:name="仿宋">
    <w:panose1 w:val="02010609060101010101"/>
    <w:charset w:val="86"/>
    <w:family w:val="modern"/>
    <w:pitch w:val="default"/>
    <w:sig w:usb0="800002BF" w:usb1="38CF7CFA" w:usb2="00000016" w:usb3="00000000" w:csb0="00040001" w:csb1="00000000"/>
    <w:embedRegular r:id="rId4" w:fontKey="{D917344D-3618-417E-BB87-023351B790B7}"/>
  </w:font>
  <w:font w:name="幼圆">
    <w:altName w:val="宋体"/>
    <w:panose1 w:val="020105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48831344-08F5-4867-8565-43BF4AC4D713}"/>
  </w:font>
  <w:font w:name="微软雅黑">
    <w:panose1 w:val="020B0503020204020204"/>
    <w:charset w:val="86"/>
    <w:family w:val="swiss"/>
    <w:pitch w:val="default"/>
    <w:sig w:usb0="80000287" w:usb1="2ACF3C50" w:usb2="00000016" w:usb3="00000000" w:csb0="0004001F" w:csb1="00000000"/>
    <w:embedRegular r:id="rId6" w:fontKey="{4ADEB57C-75E8-4469-98C6-9A7BEA4000DE}"/>
  </w:font>
  <w:font w:name="等线">
    <w:panose1 w:val="02010600030101010101"/>
    <w:charset w:val="86"/>
    <w:family w:val="auto"/>
    <w:pitch w:val="default"/>
    <w:sig w:usb0="A00002BF" w:usb1="38CF7CFA" w:usb2="00000016" w:usb3="00000000" w:csb0="0004000F" w:csb1="00000000"/>
    <w:embedRegular r:id="rId7" w:fontKey="{B84707F1-6240-4977-9FF7-704256AD836D}"/>
  </w:font>
  <w:font w:name="楷体_GB2312">
    <w:altName w:val="楷体"/>
    <w:panose1 w:val="02010609030101010101"/>
    <w:charset w:val="86"/>
    <w:family w:val="modern"/>
    <w:pitch w:val="default"/>
    <w:sig w:usb0="00000000" w:usb1="00000000" w:usb2="00000000" w:usb3="00000000" w:csb0="00040000" w:csb1="00000000"/>
    <w:embedRegular r:id="rId8" w:fontKey="{039EE01B-FC38-4A6A-860F-DD0EE1CA43A1}"/>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6036">
    <w:pPr>
      <w:pStyle w:val="17"/>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3FA8A92">
                          <w:pPr>
                            <w:pStyle w:val="1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NG89CvHAQAAigMAAA4AAAAAAAAAAQAgAAAAHwEAAGRycy9lMm9Eb2Mu&#10;eG1sUEsFBgAAAAAGAAYAWQEAAFgFAAAAAA==&#10;">
              <v:fill on="f" focussize="0,0"/>
              <v:stroke on="f"/>
              <v:imagedata o:title=""/>
              <o:lock v:ext="edit" aspectratio="f"/>
              <v:textbox inset="0mm,0mm,0mm,0mm" style="mso-fit-shape-to-text:t;">
                <w:txbxContent>
                  <w:p w14:paraId="33FA8A92">
                    <w:pPr>
                      <w:pStyle w:val="17"/>
                    </w:pPr>
                    <w:r>
                      <w:fldChar w:fldCharType="begin"/>
                    </w:r>
                    <w:r>
                      <w:instrText xml:space="preserve"> PAGE  \* MERGEFORMAT </w:instrText>
                    </w:r>
                    <w:r>
                      <w:fldChar w:fldCharType="separate"/>
                    </w:r>
                    <w:r>
                      <w:t>20</w:t>
                    </w:r>
                    <w:r>
                      <w:fldChar w:fldCharType="end"/>
                    </w:r>
                  </w:p>
                </w:txbxContent>
              </v:textbox>
            </v:shape>
          </w:pict>
        </mc:Fallback>
      </mc:AlternateContent>
    </w:r>
  </w:p>
  <w:p w14:paraId="4DCC858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1783">
    <w:pPr>
      <w:pStyle w:val="17"/>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1C54E178"/>
                      </w:txbxContent>
                    </wps:txbx>
                    <wps:bodyPr wrap="none" lIns="0" tIns="0" rIns="0" bIns="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FT5rQAAAAAwEAAA8AAAAAAAAAAQAgAAAAIgAAAGRycy9kb3ducmV2LnhtbFBL&#10;AQIUABQAAAAIAIdO4kBUxB8bxQEAAIsDAAAOAAAAAAAAAAEAIAAAAB8BAABkcnMvZTJvRG9jLnht&#10;bFBLBQYAAAAABgAGAFkBAABWBQAAAAA=&#10;">
              <v:fill on="f" focussize="0,0"/>
              <v:stroke on="f"/>
              <v:imagedata o:title=""/>
              <o:lock v:ext="edit" aspectratio="f"/>
              <v:textbox inset="0mm,0mm,0mm,0mm" style="mso-fit-shape-to-text:t;">
                <w:txbxContent>
                  <w:p w14:paraId="1C54E17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67EE">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62F1E39">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t87d2MYBAACLAwAADgAAAAAAAAABACAAAAAfAQAAZHJzL2Uyb0RvYy54&#10;bWxQSwUGAAAAAAYABgBZAQAAVwUAAAAA&#10;">
              <v:fill on="f" focussize="0,0"/>
              <v:stroke on="f"/>
              <v:imagedata o:title=""/>
              <o:lock v:ext="edit" aspectratio="f"/>
              <v:textbox inset="0mm,0mm,0mm,0mm" style="mso-fit-shape-to-text:t;">
                <w:txbxContent>
                  <w:p w14:paraId="462F1E39">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p w14:paraId="1B0F61C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BAD8C">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4E996FF">
                          <w:pPr>
                            <w:pStyle w:val="17"/>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04E996FF">
                    <w:pPr>
                      <w:pStyle w:val="17"/>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DC02">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E05D">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A403">
    <w:pPr>
      <w:pStyle w:val="18"/>
      <w:pBdr>
        <w:bottom w:val="none" w:color="auto" w:sz="0" w:space="0"/>
      </w:pBdr>
      <w:tabs>
        <w:tab w:val="center" w:pos="0"/>
        <w:tab w:val="left" w:pos="8306"/>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1OTAyNjUwMzAwOTUzNDY4MDgzZGQ4NmQxNDljMzUifQ=="/>
  </w:docVars>
  <w:rsids>
    <w:rsidRoot w:val="34C93999"/>
    <w:rsid w:val="001077E5"/>
    <w:rsid w:val="00120044"/>
    <w:rsid w:val="001249E5"/>
    <w:rsid w:val="001370CC"/>
    <w:rsid w:val="002074A1"/>
    <w:rsid w:val="0024633E"/>
    <w:rsid w:val="002A321A"/>
    <w:rsid w:val="002E0DBD"/>
    <w:rsid w:val="002F2BC6"/>
    <w:rsid w:val="00337FF8"/>
    <w:rsid w:val="00376890"/>
    <w:rsid w:val="00387444"/>
    <w:rsid w:val="003914E4"/>
    <w:rsid w:val="004129E9"/>
    <w:rsid w:val="00437639"/>
    <w:rsid w:val="00445134"/>
    <w:rsid w:val="004759B0"/>
    <w:rsid w:val="004A514D"/>
    <w:rsid w:val="004B2FF5"/>
    <w:rsid w:val="004C2157"/>
    <w:rsid w:val="004C23B8"/>
    <w:rsid w:val="004F44A0"/>
    <w:rsid w:val="00513C9C"/>
    <w:rsid w:val="00560754"/>
    <w:rsid w:val="005750CF"/>
    <w:rsid w:val="00644C63"/>
    <w:rsid w:val="0067215E"/>
    <w:rsid w:val="006D1841"/>
    <w:rsid w:val="006D1962"/>
    <w:rsid w:val="006F21CF"/>
    <w:rsid w:val="0074337D"/>
    <w:rsid w:val="0075157B"/>
    <w:rsid w:val="007670FA"/>
    <w:rsid w:val="00795E21"/>
    <w:rsid w:val="007C12D2"/>
    <w:rsid w:val="007C77CE"/>
    <w:rsid w:val="007D2DF6"/>
    <w:rsid w:val="007F27CB"/>
    <w:rsid w:val="007F6099"/>
    <w:rsid w:val="00833F13"/>
    <w:rsid w:val="0087406B"/>
    <w:rsid w:val="008C2733"/>
    <w:rsid w:val="008D7B67"/>
    <w:rsid w:val="00923A67"/>
    <w:rsid w:val="009545EB"/>
    <w:rsid w:val="009F2F68"/>
    <w:rsid w:val="00AF6A6D"/>
    <w:rsid w:val="00B2494B"/>
    <w:rsid w:val="00B47223"/>
    <w:rsid w:val="00B66956"/>
    <w:rsid w:val="00B74FA0"/>
    <w:rsid w:val="00B8222F"/>
    <w:rsid w:val="00BF6D0E"/>
    <w:rsid w:val="00C03FA9"/>
    <w:rsid w:val="00C26B47"/>
    <w:rsid w:val="00C30C5D"/>
    <w:rsid w:val="00C50E49"/>
    <w:rsid w:val="00C96759"/>
    <w:rsid w:val="00CC1689"/>
    <w:rsid w:val="00D028CA"/>
    <w:rsid w:val="00D3122E"/>
    <w:rsid w:val="00D45E9B"/>
    <w:rsid w:val="00D80D26"/>
    <w:rsid w:val="00D856B9"/>
    <w:rsid w:val="00DA6169"/>
    <w:rsid w:val="00DF6716"/>
    <w:rsid w:val="00E15E97"/>
    <w:rsid w:val="00E46AD2"/>
    <w:rsid w:val="00E73E52"/>
    <w:rsid w:val="00EA1794"/>
    <w:rsid w:val="00EA17BF"/>
    <w:rsid w:val="00EC3DEE"/>
    <w:rsid w:val="00F21422"/>
    <w:rsid w:val="00F21E27"/>
    <w:rsid w:val="00F464C3"/>
    <w:rsid w:val="00FD2DED"/>
    <w:rsid w:val="014868D6"/>
    <w:rsid w:val="015837E7"/>
    <w:rsid w:val="0160298A"/>
    <w:rsid w:val="019404F8"/>
    <w:rsid w:val="01B97F5E"/>
    <w:rsid w:val="02343E4F"/>
    <w:rsid w:val="023A2582"/>
    <w:rsid w:val="0241242E"/>
    <w:rsid w:val="02532161"/>
    <w:rsid w:val="02777065"/>
    <w:rsid w:val="02860B12"/>
    <w:rsid w:val="02FF20EF"/>
    <w:rsid w:val="03121CB1"/>
    <w:rsid w:val="03327053"/>
    <w:rsid w:val="038E6260"/>
    <w:rsid w:val="03AF2ECF"/>
    <w:rsid w:val="03D61BD1"/>
    <w:rsid w:val="03F86B1C"/>
    <w:rsid w:val="047932FF"/>
    <w:rsid w:val="047D34C5"/>
    <w:rsid w:val="04AF6952"/>
    <w:rsid w:val="04EA18B4"/>
    <w:rsid w:val="04F80D9E"/>
    <w:rsid w:val="05017C52"/>
    <w:rsid w:val="056C0210"/>
    <w:rsid w:val="05AC2A96"/>
    <w:rsid w:val="05CD3EB3"/>
    <w:rsid w:val="05D073C6"/>
    <w:rsid w:val="06093262"/>
    <w:rsid w:val="0650484D"/>
    <w:rsid w:val="06AB56C6"/>
    <w:rsid w:val="06B55160"/>
    <w:rsid w:val="06D22FFE"/>
    <w:rsid w:val="06DD0D61"/>
    <w:rsid w:val="06E1398D"/>
    <w:rsid w:val="06E651C4"/>
    <w:rsid w:val="06E65352"/>
    <w:rsid w:val="07124399"/>
    <w:rsid w:val="07195D48"/>
    <w:rsid w:val="074F5A1D"/>
    <w:rsid w:val="07635DC6"/>
    <w:rsid w:val="08013031"/>
    <w:rsid w:val="08640C24"/>
    <w:rsid w:val="08C77405"/>
    <w:rsid w:val="08CC2B58"/>
    <w:rsid w:val="08FB7730"/>
    <w:rsid w:val="08FC70AE"/>
    <w:rsid w:val="0925661E"/>
    <w:rsid w:val="094B3982"/>
    <w:rsid w:val="09B930B9"/>
    <w:rsid w:val="09CC40B1"/>
    <w:rsid w:val="0AC632B2"/>
    <w:rsid w:val="0AEB7501"/>
    <w:rsid w:val="0AFE6840"/>
    <w:rsid w:val="0B705B32"/>
    <w:rsid w:val="0B7F7B23"/>
    <w:rsid w:val="0C154AE6"/>
    <w:rsid w:val="0C71390F"/>
    <w:rsid w:val="0C780787"/>
    <w:rsid w:val="0CAC2B9A"/>
    <w:rsid w:val="0CFD1647"/>
    <w:rsid w:val="0D693D8C"/>
    <w:rsid w:val="0D81614B"/>
    <w:rsid w:val="0DC14423"/>
    <w:rsid w:val="0E047436"/>
    <w:rsid w:val="0E630A57"/>
    <w:rsid w:val="0EA22957"/>
    <w:rsid w:val="0EC145B8"/>
    <w:rsid w:val="0ECC18E9"/>
    <w:rsid w:val="0F2D5DBF"/>
    <w:rsid w:val="0F87169C"/>
    <w:rsid w:val="0F970593"/>
    <w:rsid w:val="10233173"/>
    <w:rsid w:val="102962AF"/>
    <w:rsid w:val="107B2FAF"/>
    <w:rsid w:val="115351DC"/>
    <w:rsid w:val="115F4EA3"/>
    <w:rsid w:val="11651569"/>
    <w:rsid w:val="11CE52C6"/>
    <w:rsid w:val="11F2064B"/>
    <w:rsid w:val="1238175F"/>
    <w:rsid w:val="12C435FB"/>
    <w:rsid w:val="12E070D3"/>
    <w:rsid w:val="13897791"/>
    <w:rsid w:val="13D50C28"/>
    <w:rsid w:val="13FF1575"/>
    <w:rsid w:val="141510EF"/>
    <w:rsid w:val="14171240"/>
    <w:rsid w:val="144D4C62"/>
    <w:rsid w:val="14F25809"/>
    <w:rsid w:val="15055A09"/>
    <w:rsid w:val="1530428B"/>
    <w:rsid w:val="153A762E"/>
    <w:rsid w:val="15D76C42"/>
    <w:rsid w:val="170A0A0F"/>
    <w:rsid w:val="172C078B"/>
    <w:rsid w:val="173819A8"/>
    <w:rsid w:val="178D2C0D"/>
    <w:rsid w:val="17F7561A"/>
    <w:rsid w:val="18517B09"/>
    <w:rsid w:val="185C36C6"/>
    <w:rsid w:val="18610CDC"/>
    <w:rsid w:val="189310B2"/>
    <w:rsid w:val="189A5F9C"/>
    <w:rsid w:val="18AE37F5"/>
    <w:rsid w:val="1930354C"/>
    <w:rsid w:val="199B6470"/>
    <w:rsid w:val="19B60738"/>
    <w:rsid w:val="19E450EA"/>
    <w:rsid w:val="1A08604A"/>
    <w:rsid w:val="1A516B2E"/>
    <w:rsid w:val="1A5D3725"/>
    <w:rsid w:val="1A7E6175"/>
    <w:rsid w:val="1AA21A2F"/>
    <w:rsid w:val="1AE00FE3"/>
    <w:rsid w:val="1AFC6F03"/>
    <w:rsid w:val="1B23068A"/>
    <w:rsid w:val="1B8A054A"/>
    <w:rsid w:val="1B997902"/>
    <w:rsid w:val="1BFA1928"/>
    <w:rsid w:val="1C01115D"/>
    <w:rsid w:val="1C7E3439"/>
    <w:rsid w:val="1C827473"/>
    <w:rsid w:val="1D216C8C"/>
    <w:rsid w:val="1D594AE3"/>
    <w:rsid w:val="1D617DC0"/>
    <w:rsid w:val="1D743260"/>
    <w:rsid w:val="1E2A6984"/>
    <w:rsid w:val="1E5B2BD0"/>
    <w:rsid w:val="1F19738B"/>
    <w:rsid w:val="1F3033A9"/>
    <w:rsid w:val="1F3507CD"/>
    <w:rsid w:val="1F9C381F"/>
    <w:rsid w:val="200077CF"/>
    <w:rsid w:val="20823EE5"/>
    <w:rsid w:val="20880961"/>
    <w:rsid w:val="2091237A"/>
    <w:rsid w:val="20992FDD"/>
    <w:rsid w:val="20BD316F"/>
    <w:rsid w:val="20BE4ACB"/>
    <w:rsid w:val="20BF7061"/>
    <w:rsid w:val="20E95A81"/>
    <w:rsid w:val="20EC5803"/>
    <w:rsid w:val="21073EBF"/>
    <w:rsid w:val="21246D4B"/>
    <w:rsid w:val="212A5BF7"/>
    <w:rsid w:val="21510141"/>
    <w:rsid w:val="217145D3"/>
    <w:rsid w:val="21837F15"/>
    <w:rsid w:val="21AE2AB8"/>
    <w:rsid w:val="21F84A0B"/>
    <w:rsid w:val="222B119F"/>
    <w:rsid w:val="22381879"/>
    <w:rsid w:val="224156DA"/>
    <w:rsid w:val="22EE13BE"/>
    <w:rsid w:val="23571659"/>
    <w:rsid w:val="236B2A0F"/>
    <w:rsid w:val="23D7424E"/>
    <w:rsid w:val="241237D2"/>
    <w:rsid w:val="242B31D9"/>
    <w:rsid w:val="24341D04"/>
    <w:rsid w:val="244D480A"/>
    <w:rsid w:val="252F258F"/>
    <w:rsid w:val="2547125A"/>
    <w:rsid w:val="263A355B"/>
    <w:rsid w:val="263D5FAD"/>
    <w:rsid w:val="266E0A9E"/>
    <w:rsid w:val="26AE0E92"/>
    <w:rsid w:val="26B714BD"/>
    <w:rsid w:val="26FE003E"/>
    <w:rsid w:val="27206206"/>
    <w:rsid w:val="272F01F7"/>
    <w:rsid w:val="274E2D73"/>
    <w:rsid w:val="27894FA0"/>
    <w:rsid w:val="27D2215A"/>
    <w:rsid w:val="27F76F67"/>
    <w:rsid w:val="281A0EA7"/>
    <w:rsid w:val="284877C3"/>
    <w:rsid w:val="28701767"/>
    <w:rsid w:val="28836A4D"/>
    <w:rsid w:val="28A144DE"/>
    <w:rsid w:val="28C606E7"/>
    <w:rsid w:val="29382AB7"/>
    <w:rsid w:val="29394A5F"/>
    <w:rsid w:val="29B82726"/>
    <w:rsid w:val="29C67536"/>
    <w:rsid w:val="29CE063C"/>
    <w:rsid w:val="2A4012A5"/>
    <w:rsid w:val="2A461AE0"/>
    <w:rsid w:val="2A576F9F"/>
    <w:rsid w:val="2A6B1426"/>
    <w:rsid w:val="2A8077CD"/>
    <w:rsid w:val="2ACA1B3C"/>
    <w:rsid w:val="2ACA39A7"/>
    <w:rsid w:val="2AEA2DB3"/>
    <w:rsid w:val="2B8D1D21"/>
    <w:rsid w:val="2BDC1346"/>
    <w:rsid w:val="2BEC4909"/>
    <w:rsid w:val="2C26606D"/>
    <w:rsid w:val="2CB25CD8"/>
    <w:rsid w:val="2CDA6E57"/>
    <w:rsid w:val="2D791E73"/>
    <w:rsid w:val="2DB87C25"/>
    <w:rsid w:val="2DDB94E8"/>
    <w:rsid w:val="2DE4019A"/>
    <w:rsid w:val="2DFA422D"/>
    <w:rsid w:val="2ED82DE9"/>
    <w:rsid w:val="2F01691D"/>
    <w:rsid w:val="2F367879"/>
    <w:rsid w:val="2F567BD9"/>
    <w:rsid w:val="2F93694C"/>
    <w:rsid w:val="2FA77026"/>
    <w:rsid w:val="2FB64A2C"/>
    <w:rsid w:val="2FBF2A34"/>
    <w:rsid w:val="30A36FF1"/>
    <w:rsid w:val="30AE74B8"/>
    <w:rsid w:val="30E57806"/>
    <w:rsid w:val="30E76319"/>
    <w:rsid w:val="30F63FC7"/>
    <w:rsid w:val="31061FC9"/>
    <w:rsid w:val="31D65C22"/>
    <w:rsid w:val="32003B98"/>
    <w:rsid w:val="32607344"/>
    <w:rsid w:val="32A77828"/>
    <w:rsid w:val="32FA5B5D"/>
    <w:rsid w:val="32FD48AE"/>
    <w:rsid w:val="330A7EFD"/>
    <w:rsid w:val="3330157F"/>
    <w:rsid w:val="33B81DE8"/>
    <w:rsid w:val="33FF67B9"/>
    <w:rsid w:val="34060480"/>
    <w:rsid w:val="34173F47"/>
    <w:rsid w:val="34A96881"/>
    <w:rsid w:val="34C93999"/>
    <w:rsid w:val="357065AB"/>
    <w:rsid w:val="35C87F34"/>
    <w:rsid w:val="35CB558F"/>
    <w:rsid w:val="35D703D8"/>
    <w:rsid w:val="35DA3CEA"/>
    <w:rsid w:val="364621C6"/>
    <w:rsid w:val="366A5AF2"/>
    <w:rsid w:val="36AC3AB1"/>
    <w:rsid w:val="36BA61CA"/>
    <w:rsid w:val="374F40A8"/>
    <w:rsid w:val="375816CF"/>
    <w:rsid w:val="375BD3A9"/>
    <w:rsid w:val="37795AC3"/>
    <w:rsid w:val="378219F7"/>
    <w:rsid w:val="37BB699A"/>
    <w:rsid w:val="381E7F4D"/>
    <w:rsid w:val="3836605E"/>
    <w:rsid w:val="385D1988"/>
    <w:rsid w:val="3861455A"/>
    <w:rsid w:val="38717B15"/>
    <w:rsid w:val="3880189C"/>
    <w:rsid w:val="38BE589B"/>
    <w:rsid w:val="38DE5291"/>
    <w:rsid w:val="38DF7CCF"/>
    <w:rsid w:val="390037A2"/>
    <w:rsid w:val="39691347"/>
    <w:rsid w:val="39986745"/>
    <w:rsid w:val="39B567E8"/>
    <w:rsid w:val="39FA28E7"/>
    <w:rsid w:val="3A1A6AE5"/>
    <w:rsid w:val="3A3C6A5B"/>
    <w:rsid w:val="3A457788"/>
    <w:rsid w:val="3A7531C3"/>
    <w:rsid w:val="3A8C522C"/>
    <w:rsid w:val="3AC73FF0"/>
    <w:rsid w:val="3AD94D93"/>
    <w:rsid w:val="3B125819"/>
    <w:rsid w:val="3B4958D4"/>
    <w:rsid w:val="3B504B55"/>
    <w:rsid w:val="3B5B73B5"/>
    <w:rsid w:val="3BAD2B18"/>
    <w:rsid w:val="3BC04D42"/>
    <w:rsid w:val="3BE70255"/>
    <w:rsid w:val="3BE90E02"/>
    <w:rsid w:val="3C3C0578"/>
    <w:rsid w:val="3C812E4B"/>
    <w:rsid w:val="3C8A3C62"/>
    <w:rsid w:val="3CB6196A"/>
    <w:rsid w:val="3CDC4C15"/>
    <w:rsid w:val="3D5C7EC0"/>
    <w:rsid w:val="3D772DA7"/>
    <w:rsid w:val="3DF704FC"/>
    <w:rsid w:val="3E110989"/>
    <w:rsid w:val="3E182556"/>
    <w:rsid w:val="3E1A3C76"/>
    <w:rsid w:val="3E3068D7"/>
    <w:rsid w:val="3EBF1848"/>
    <w:rsid w:val="3EC534C3"/>
    <w:rsid w:val="3F0C16C4"/>
    <w:rsid w:val="3F3F4625"/>
    <w:rsid w:val="3F6D4C9E"/>
    <w:rsid w:val="3F740BAA"/>
    <w:rsid w:val="3FA33136"/>
    <w:rsid w:val="3FAC745B"/>
    <w:rsid w:val="400224F5"/>
    <w:rsid w:val="403A1C8F"/>
    <w:rsid w:val="40592CD6"/>
    <w:rsid w:val="40EA5463"/>
    <w:rsid w:val="41166258"/>
    <w:rsid w:val="4139028D"/>
    <w:rsid w:val="415B5189"/>
    <w:rsid w:val="418E68AF"/>
    <w:rsid w:val="420D12B8"/>
    <w:rsid w:val="422453BF"/>
    <w:rsid w:val="424F6D01"/>
    <w:rsid w:val="429D02B3"/>
    <w:rsid w:val="43186F5D"/>
    <w:rsid w:val="431B0148"/>
    <w:rsid w:val="43ED0DC6"/>
    <w:rsid w:val="441F3676"/>
    <w:rsid w:val="442E38B7"/>
    <w:rsid w:val="444035EC"/>
    <w:rsid w:val="445552E9"/>
    <w:rsid w:val="445A1933"/>
    <w:rsid w:val="445F3710"/>
    <w:rsid w:val="44647222"/>
    <w:rsid w:val="446C50D1"/>
    <w:rsid w:val="44BF2B1E"/>
    <w:rsid w:val="44CF7374"/>
    <w:rsid w:val="451821CA"/>
    <w:rsid w:val="451D4333"/>
    <w:rsid w:val="45D1241A"/>
    <w:rsid w:val="45EC4EB1"/>
    <w:rsid w:val="46022878"/>
    <w:rsid w:val="462A00B0"/>
    <w:rsid w:val="46B53161"/>
    <w:rsid w:val="46C2653A"/>
    <w:rsid w:val="46D71FE6"/>
    <w:rsid w:val="46DD59F3"/>
    <w:rsid w:val="46F26477"/>
    <w:rsid w:val="473453C9"/>
    <w:rsid w:val="477135F2"/>
    <w:rsid w:val="4779309D"/>
    <w:rsid w:val="481D7ECC"/>
    <w:rsid w:val="485B7918"/>
    <w:rsid w:val="487A43A9"/>
    <w:rsid w:val="48A24DF2"/>
    <w:rsid w:val="48EC2473"/>
    <w:rsid w:val="4910358D"/>
    <w:rsid w:val="49325BF9"/>
    <w:rsid w:val="495B5F96"/>
    <w:rsid w:val="49601FFF"/>
    <w:rsid w:val="49FD651A"/>
    <w:rsid w:val="4A113E54"/>
    <w:rsid w:val="4A733D88"/>
    <w:rsid w:val="4A7A7858"/>
    <w:rsid w:val="4A833DDE"/>
    <w:rsid w:val="4AAD1497"/>
    <w:rsid w:val="4AF60EA8"/>
    <w:rsid w:val="4B581411"/>
    <w:rsid w:val="4B766399"/>
    <w:rsid w:val="4B9B6A46"/>
    <w:rsid w:val="4BD034A7"/>
    <w:rsid w:val="4BD126B6"/>
    <w:rsid w:val="4C37522A"/>
    <w:rsid w:val="4CAE4D4E"/>
    <w:rsid w:val="4D061CEA"/>
    <w:rsid w:val="4D2D2077"/>
    <w:rsid w:val="4D3079B0"/>
    <w:rsid w:val="4D483CFB"/>
    <w:rsid w:val="4DC766D9"/>
    <w:rsid w:val="4DC837F1"/>
    <w:rsid w:val="4DE43E38"/>
    <w:rsid w:val="4E57207E"/>
    <w:rsid w:val="4E577EB0"/>
    <w:rsid w:val="4E643CA3"/>
    <w:rsid w:val="4E827BAD"/>
    <w:rsid w:val="4E8B0801"/>
    <w:rsid w:val="4EE04458"/>
    <w:rsid w:val="4EEA0D24"/>
    <w:rsid w:val="4F26376B"/>
    <w:rsid w:val="4F906C8C"/>
    <w:rsid w:val="4FA15887"/>
    <w:rsid w:val="4FCD6243"/>
    <w:rsid w:val="4FEB6B02"/>
    <w:rsid w:val="500110B1"/>
    <w:rsid w:val="50B53E76"/>
    <w:rsid w:val="51023383"/>
    <w:rsid w:val="51220301"/>
    <w:rsid w:val="517D19DC"/>
    <w:rsid w:val="51F62284"/>
    <w:rsid w:val="52232583"/>
    <w:rsid w:val="522B77E3"/>
    <w:rsid w:val="52434B27"/>
    <w:rsid w:val="526C64D6"/>
    <w:rsid w:val="526F3A1A"/>
    <w:rsid w:val="529628F5"/>
    <w:rsid w:val="53C33EBA"/>
    <w:rsid w:val="53F649F7"/>
    <w:rsid w:val="543F741C"/>
    <w:rsid w:val="54431BBA"/>
    <w:rsid w:val="547748A2"/>
    <w:rsid w:val="54EB4952"/>
    <w:rsid w:val="551366B0"/>
    <w:rsid w:val="551E6BFD"/>
    <w:rsid w:val="55412866"/>
    <w:rsid w:val="557E5D22"/>
    <w:rsid w:val="55E55DA1"/>
    <w:rsid w:val="55F52488"/>
    <w:rsid w:val="560609F0"/>
    <w:rsid w:val="560B3A5A"/>
    <w:rsid w:val="562B7C58"/>
    <w:rsid w:val="567B37A2"/>
    <w:rsid w:val="5687029A"/>
    <w:rsid w:val="57011E43"/>
    <w:rsid w:val="5712706A"/>
    <w:rsid w:val="5758166F"/>
    <w:rsid w:val="577B4C0F"/>
    <w:rsid w:val="57C161C9"/>
    <w:rsid w:val="585F0ED5"/>
    <w:rsid w:val="587C2220"/>
    <w:rsid w:val="587D3885"/>
    <w:rsid w:val="58F0571B"/>
    <w:rsid w:val="59800714"/>
    <w:rsid w:val="59C97EB4"/>
    <w:rsid w:val="59CD1026"/>
    <w:rsid w:val="59F34F31"/>
    <w:rsid w:val="5A6D0B73"/>
    <w:rsid w:val="5B1534FD"/>
    <w:rsid w:val="5B7764D4"/>
    <w:rsid w:val="5B94358B"/>
    <w:rsid w:val="5BB9093B"/>
    <w:rsid w:val="5C213F6E"/>
    <w:rsid w:val="5C965BD2"/>
    <w:rsid w:val="5CB96961"/>
    <w:rsid w:val="5CBB20D7"/>
    <w:rsid w:val="5CCF47B2"/>
    <w:rsid w:val="5D4265D8"/>
    <w:rsid w:val="5D557CB0"/>
    <w:rsid w:val="5D73330F"/>
    <w:rsid w:val="5E601BE2"/>
    <w:rsid w:val="5EA902B4"/>
    <w:rsid w:val="5F2F6EFE"/>
    <w:rsid w:val="5F334C6A"/>
    <w:rsid w:val="5F3956A4"/>
    <w:rsid w:val="5F3A9E27"/>
    <w:rsid w:val="5F7C5450"/>
    <w:rsid w:val="600357A2"/>
    <w:rsid w:val="600734E4"/>
    <w:rsid w:val="60132BBC"/>
    <w:rsid w:val="60817B6A"/>
    <w:rsid w:val="615C0D42"/>
    <w:rsid w:val="617C2DA3"/>
    <w:rsid w:val="61893794"/>
    <w:rsid w:val="61F240B5"/>
    <w:rsid w:val="620D2688"/>
    <w:rsid w:val="625B6C51"/>
    <w:rsid w:val="62DE63D1"/>
    <w:rsid w:val="62DF24F6"/>
    <w:rsid w:val="634C54F0"/>
    <w:rsid w:val="6361115D"/>
    <w:rsid w:val="637D564F"/>
    <w:rsid w:val="638E7A78"/>
    <w:rsid w:val="6411213F"/>
    <w:rsid w:val="64151D68"/>
    <w:rsid w:val="642239BF"/>
    <w:rsid w:val="645111D2"/>
    <w:rsid w:val="6460463E"/>
    <w:rsid w:val="648B7C5E"/>
    <w:rsid w:val="64C16798"/>
    <w:rsid w:val="64CC60FB"/>
    <w:rsid w:val="64EF4547"/>
    <w:rsid w:val="64F00543"/>
    <w:rsid w:val="64F41B5D"/>
    <w:rsid w:val="6519323D"/>
    <w:rsid w:val="6526668E"/>
    <w:rsid w:val="65292C1E"/>
    <w:rsid w:val="65570F81"/>
    <w:rsid w:val="65586590"/>
    <w:rsid w:val="65701CA0"/>
    <w:rsid w:val="65A40EB0"/>
    <w:rsid w:val="65A42D3E"/>
    <w:rsid w:val="65A74E21"/>
    <w:rsid w:val="65BD23B8"/>
    <w:rsid w:val="65C06603"/>
    <w:rsid w:val="664F0A6C"/>
    <w:rsid w:val="666F5D4B"/>
    <w:rsid w:val="668533B4"/>
    <w:rsid w:val="669453A6"/>
    <w:rsid w:val="670912D2"/>
    <w:rsid w:val="670C06CC"/>
    <w:rsid w:val="67406DA3"/>
    <w:rsid w:val="68201F24"/>
    <w:rsid w:val="68303D68"/>
    <w:rsid w:val="683C3F47"/>
    <w:rsid w:val="689B6EBF"/>
    <w:rsid w:val="68A65864"/>
    <w:rsid w:val="68D1117E"/>
    <w:rsid w:val="68F86230"/>
    <w:rsid w:val="69054339"/>
    <w:rsid w:val="693C22F5"/>
    <w:rsid w:val="696F72A7"/>
    <w:rsid w:val="6A070584"/>
    <w:rsid w:val="6A2904FB"/>
    <w:rsid w:val="6A397F98"/>
    <w:rsid w:val="6A4175F2"/>
    <w:rsid w:val="6B982E39"/>
    <w:rsid w:val="6BB61B32"/>
    <w:rsid w:val="6BE31711"/>
    <w:rsid w:val="6BEA6F9E"/>
    <w:rsid w:val="6BFC1DAD"/>
    <w:rsid w:val="6C0905E4"/>
    <w:rsid w:val="6C263E70"/>
    <w:rsid w:val="6C87065C"/>
    <w:rsid w:val="6CBA151E"/>
    <w:rsid w:val="6CC44F34"/>
    <w:rsid w:val="6D447383"/>
    <w:rsid w:val="6D45389E"/>
    <w:rsid w:val="6D617FAC"/>
    <w:rsid w:val="6D773F73"/>
    <w:rsid w:val="6D8048D6"/>
    <w:rsid w:val="6D806C9D"/>
    <w:rsid w:val="6D8845E0"/>
    <w:rsid w:val="6F242BE9"/>
    <w:rsid w:val="6F763A18"/>
    <w:rsid w:val="6F9E1043"/>
    <w:rsid w:val="6FD9175B"/>
    <w:rsid w:val="6FF03E60"/>
    <w:rsid w:val="6FFC562B"/>
    <w:rsid w:val="6FFF9462"/>
    <w:rsid w:val="701F6731"/>
    <w:rsid w:val="703E3ADE"/>
    <w:rsid w:val="708A4BE7"/>
    <w:rsid w:val="7091303E"/>
    <w:rsid w:val="70A12D2E"/>
    <w:rsid w:val="70D96BE4"/>
    <w:rsid w:val="719731AA"/>
    <w:rsid w:val="7209291C"/>
    <w:rsid w:val="72437D55"/>
    <w:rsid w:val="72600832"/>
    <w:rsid w:val="72626453"/>
    <w:rsid w:val="729A188F"/>
    <w:rsid w:val="72E2003D"/>
    <w:rsid w:val="72FB5001"/>
    <w:rsid w:val="731B25F8"/>
    <w:rsid w:val="732857F3"/>
    <w:rsid w:val="73475ED1"/>
    <w:rsid w:val="736138AF"/>
    <w:rsid w:val="73813156"/>
    <w:rsid w:val="73BF31A6"/>
    <w:rsid w:val="742D5082"/>
    <w:rsid w:val="743D52CE"/>
    <w:rsid w:val="7444344F"/>
    <w:rsid w:val="7475174F"/>
    <w:rsid w:val="74842EFD"/>
    <w:rsid w:val="752217B8"/>
    <w:rsid w:val="75322959"/>
    <w:rsid w:val="75D24C43"/>
    <w:rsid w:val="75D9C1FB"/>
    <w:rsid w:val="76A80C1C"/>
    <w:rsid w:val="76FD65E3"/>
    <w:rsid w:val="77727568"/>
    <w:rsid w:val="777F385B"/>
    <w:rsid w:val="77B7D072"/>
    <w:rsid w:val="7835413B"/>
    <w:rsid w:val="78643027"/>
    <w:rsid w:val="787B1EF7"/>
    <w:rsid w:val="787F00E1"/>
    <w:rsid w:val="78FB3A2D"/>
    <w:rsid w:val="78FBE2E9"/>
    <w:rsid w:val="79751067"/>
    <w:rsid w:val="79A24980"/>
    <w:rsid w:val="79CF4A40"/>
    <w:rsid w:val="79E10F69"/>
    <w:rsid w:val="79ED83A9"/>
    <w:rsid w:val="79FA49EF"/>
    <w:rsid w:val="7A2111EE"/>
    <w:rsid w:val="7A971BA9"/>
    <w:rsid w:val="7B4406C9"/>
    <w:rsid w:val="7B8F3F36"/>
    <w:rsid w:val="7BC462D5"/>
    <w:rsid w:val="7BE424D4"/>
    <w:rsid w:val="7BE6385A"/>
    <w:rsid w:val="7BEDAB3F"/>
    <w:rsid w:val="7C406078"/>
    <w:rsid w:val="7C536688"/>
    <w:rsid w:val="7C773856"/>
    <w:rsid w:val="7CC7512F"/>
    <w:rsid w:val="7CC876FF"/>
    <w:rsid w:val="7CCE07CD"/>
    <w:rsid w:val="7CEA7384"/>
    <w:rsid w:val="7D6F7B12"/>
    <w:rsid w:val="7D9B0C98"/>
    <w:rsid w:val="7DA0340B"/>
    <w:rsid w:val="7DBF3E05"/>
    <w:rsid w:val="7DFE02F7"/>
    <w:rsid w:val="7E0006F6"/>
    <w:rsid w:val="7E066731"/>
    <w:rsid w:val="7E7A34BE"/>
    <w:rsid w:val="7E8458A8"/>
    <w:rsid w:val="7ECB2820"/>
    <w:rsid w:val="7F2802D8"/>
    <w:rsid w:val="7F6530A9"/>
    <w:rsid w:val="7F663DE1"/>
    <w:rsid w:val="7F6F6FA7"/>
    <w:rsid w:val="7FB73BE7"/>
    <w:rsid w:val="7FCA0496"/>
    <w:rsid w:val="7FDA691E"/>
    <w:rsid w:val="7FE722DE"/>
    <w:rsid w:val="7FFAE390"/>
    <w:rsid w:val="7FFDCA44"/>
    <w:rsid w:val="7FFF7199"/>
    <w:rsid w:val="8EEEE644"/>
    <w:rsid w:val="9DFE7EA4"/>
    <w:rsid w:val="B7CE34E3"/>
    <w:rsid w:val="BBEFBB2E"/>
    <w:rsid w:val="BD68E148"/>
    <w:rsid w:val="BFABC73B"/>
    <w:rsid w:val="BFBD0CF5"/>
    <w:rsid w:val="CB7B2F97"/>
    <w:rsid w:val="CBB7A07C"/>
    <w:rsid w:val="CFFC5471"/>
    <w:rsid w:val="E34D1BFE"/>
    <w:rsid w:val="EFBFA2F6"/>
    <w:rsid w:val="F8BBC25D"/>
    <w:rsid w:val="FA6F2BB0"/>
    <w:rsid w:val="FD3651C9"/>
    <w:rsid w:val="FDFB5E4E"/>
    <w:rsid w:val="FE3E1195"/>
    <w:rsid w:val="FF4FCBD6"/>
    <w:rsid w:val="FFDAD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黑体" w:hAnsi="宋体" w:eastAsia="黑体"/>
      <w:b/>
      <w:bCs/>
      <w:sz w:val="36"/>
      <w:szCs w:val="32"/>
    </w:rPr>
  </w:style>
  <w:style w:type="paragraph" w:styleId="4">
    <w:name w:val="heading 3"/>
    <w:basedOn w:val="1"/>
    <w:next w:val="1"/>
    <w:unhideWhenUsed/>
    <w:qFormat/>
    <w:uiPriority w:val="9"/>
    <w:pPr>
      <w:keepNext/>
      <w:keepLines/>
      <w:spacing w:line="600" w:lineRule="exact"/>
      <w:ind w:firstLine="643" w:firstLineChars="200"/>
      <w:outlineLvl w:val="2"/>
    </w:pPr>
    <w:rPr>
      <w:b/>
      <w:bCs/>
      <w:sz w:val="32"/>
      <w:szCs w:val="32"/>
    </w:rPr>
  </w:style>
  <w:style w:type="paragraph" w:styleId="5">
    <w:name w:val="heading 5"/>
    <w:basedOn w:val="1"/>
    <w:next w:val="1"/>
    <w:qFormat/>
    <w:uiPriority w:val="9"/>
    <w:pPr>
      <w:keepNext/>
      <w:keepLines/>
      <w:spacing w:before="280" w:after="290" w:line="376" w:lineRule="auto"/>
      <w:outlineLvl w:val="4"/>
    </w:pPr>
    <w:rPr>
      <w:b/>
      <w:bCs/>
      <w:sz w:val="28"/>
      <w:szCs w:val="28"/>
    </w:rPr>
  </w:style>
  <w:style w:type="paragraph" w:styleId="6">
    <w:name w:val="heading 6"/>
    <w:basedOn w:val="1"/>
    <w:next w:val="1"/>
    <w:qFormat/>
    <w:uiPriority w:val="0"/>
    <w:pPr>
      <w:keepNext/>
      <w:keepLines/>
      <w:spacing w:line="360" w:lineRule="auto"/>
      <w:outlineLvl w:val="5"/>
    </w:pPr>
    <w:rPr>
      <w:b/>
      <w:bCs/>
      <w:szCs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link w:val="33"/>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next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kern w:val="0"/>
      <w:sz w:val="20"/>
      <w:szCs w:val="21"/>
    </w:rPr>
  </w:style>
  <w:style w:type="paragraph" w:styleId="16">
    <w:name w:val="Balloon Text"/>
    <w:basedOn w:val="1"/>
    <w:link w:val="41"/>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qFormat/>
    <w:uiPriority w:val="0"/>
    <w:pPr>
      <w:ind w:left="200" w:hanging="200" w:hangingChars="200"/>
    </w:pPr>
    <w:rPr>
      <w:sz w:val="28"/>
    </w:rPr>
  </w:style>
  <w:style w:type="paragraph" w:styleId="21">
    <w:name w:val="table of figures"/>
    <w:basedOn w:val="1"/>
    <w:next w:val="1"/>
    <w:unhideWhenUsed/>
    <w:qFormat/>
    <w:uiPriority w:val="99"/>
    <w:pPr>
      <w:ind w:left="200" w:leftChars="200" w:hanging="200" w:hangingChars="200"/>
    </w:pPr>
  </w:style>
  <w:style w:type="paragraph" w:styleId="22">
    <w:name w:val="toc 2"/>
    <w:basedOn w:val="1"/>
    <w:next w:val="1"/>
    <w:unhideWhenUsed/>
    <w:qFormat/>
    <w:uiPriority w:val="39"/>
    <w:pPr>
      <w:tabs>
        <w:tab w:val="right" w:leader="dot" w:pos="8296"/>
      </w:tabs>
      <w:ind w:left="420" w:leftChars="200"/>
    </w:pPr>
  </w:style>
  <w:style w:type="paragraph" w:styleId="23">
    <w:name w:val="Message Header"/>
    <w:basedOn w:val="1"/>
    <w:next w:val="11"/>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sz w:val="28"/>
    </w:rPr>
  </w:style>
  <w:style w:type="paragraph" w:styleId="24">
    <w:name w:val="annotation subject"/>
    <w:basedOn w:val="9"/>
    <w:next w:val="9"/>
    <w:link w:val="34"/>
    <w:qFormat/>
    <w:uiPriority w:val="0"/>
    <w:rPr>
      <w:b/>
      <w:bCs/>
    </w:rPr>
  </w:style>
  <w:style w:type="paragraph" w:styleId="25">
    <w:name w:val="Body Text First Indent 2"/>
    <w:basedOn w:val="12"/>
    <w:next w:val="1"/>
    <w:qFormat/>
    <w:uiPriority w:val="0"/>
    <w:pPr>
      <w:tabs>
        <w:tab w:val="left" w:pos="0"/>
        <w:tab w:val="left" w:pos="420"/>
      </w:tabs>
      <w:wordWrap w:val="0"/>
      <w:topLinePunct/>
      <w:spacing w:line="360" w:lineRule="auto"/>
      <w:ind w:firstLine="480" w:firstLineChars="200"/>
    </w:pPr>
    <w:rPr>
      <w:rFonts w:ascii="幼圆" w:eastAsia="幼圆"/>
      <w:bCs/>
      <w:color w:val="000000"/>
      <w:spacing w:val="20"/>
      <w:sz w:val="24"/>
      <w:szCs w:val="24"/>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31">
    <w:name w:val="默认段落"/>
    <w:basedOn w:val="1"/>
    <w:qFormat/>
    <w:uiPriority w:val="0"/>
    <w:rPr>
      <w:rFonts w:ascii="Calibri" w:hAnsi="Calibri"/>
    </w:rPr>
  </w:style>
  <w:style w:type="paragraph" w:customStyle="1" w:styleId="32">
    <w:name w:val="Body Text First Indent1"/>
    <w:basedOn w:val="17"/>
    <w:qFormat/>
    <w:uiPriority w:val="0"/>
    <w:pPr>
      <w:spacing w:line="360" w:lineRule="auto"/>
      <w:ind w:firstLine="420" w:firstLineChars="100"/>
    </w:pPr>
  </w:style>
  <w:style w:type="character" w:customStyle="1" w:styleId="33">
    <w:name w:val="批注文字 字符"/>
    <w:link w:val="9"/>
    <w:qFormat/>
    <w:uiPriority w:val="0"/>
    <w:rPr>
      <w:kern w:val="2"/>
      <w:sz w:val="21"/>
      <w:szCs w:val="24"/>
    </w:rPr>
  </w:style>
  <w:style w:type="character" w:customStyle="1" w:styleId="34">
    <w:name w:val="批注主题 字符"/>
    <w:link w:val="24"/>
    <w:qFormat/>
    <w:uiPriority w:val="0"/>
    <w:rPr>
      <w:b/>
      <w:bCs/>
      <w:kern w:val="2"/>
      <w:sz w:val="21"/>
      <w:szCs w:val="24"/>
    </w:rPr>
  </w:style>
  <w:style w:type="paragraph" w:customStyle="1" w:styleId="35">
    <w:name w:val="表格文字"/>
    <w:basedOn w:val="1"/>
    <w:next w:val="11"/>
    <w:qFormat/>
    <w:uiPriority w:val="0"/>
    <w:pPr>
      <w:spacing w:before="25" w:after="25"/>
      <w:jc w:val="left"/>
    </w:pPr>
    <w:rPr>
      <w:bCs/>
      <w:spacing w:val="10"/>
      <w:kern w:val="0"/>
      <w:sz w:val="24"/>
      <w:szCs w:val="20"/>
    </w:rPr>
  </w:style>
  <w:style w:type="paragraph" w:customStyle="1" w:styleId="36">
    <w:name w:val="题目"/>
    <w:basedOn w:val="1"/>
    <w:qFormat/>
    <w:uiPriority w:val="0"/>
    <w:pPr>
      <w:spacing w:beforeLines="200" w:afterLines="100"/>
      <w:jc w:val="center"/>
    </w:pPr>
    <w:rPr>
      <w:rFonts w:ascii="黑体" w:eastAsia="黑体"/>
      <w:color w:val="C00000"/>
      <w:sz w:val="28"/>
      <w:szCs w:val="28"/>
    </w:rPr>
  </w:style>
  <w:style w:type="paragraph" w:styleId="37">
    <w:name w:val="List Paragraph"/>
    <w:basedOn w:val="1"/>
    <w:qFormat/>
    <w:uiPriority w:val="99"/>
    <w:pPr>
      <w:ind w:firstLine="420" w:firstLineChars="200"/>
    </w:pPr>
    <w:rPr>
      <w:snapToGrid w:val="0"/>
      <w:kern w:val="0"/>
    </w:rPr>
  </w:style>
  <w:style w:type="character" w:customStyle="1" w:styleId="38">
    <w:name w:val="font11"/>
    <w:qFormat/>
    <w:uiPriority w:val="0"/>
    <w:rPr>
      <w:rFonts w:hint="eastAsia" w:ascii="微软雅黑" w:hAnsi="微软雅黑" w:eastAsia="微软雅黑" w:cs="微软雅黑"/>
      <w:color w:val="000000"/>
      <w:sz w:val="20"/>
      <w:szCs w:val="20"/>
      <w:u w:val="none"/>
    </w:rPr>
  </w:style>
  <w:style w:type="paragraph" w:customStyle="1" w:styleId="3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正文中"/>
    <w:basedOn w:val="1"/>
    <w:next w:val="1"/>
    <w:qFormat/>
    <w:uiPriority w:val="0"/>
    <w:pPr>
      <w:spacing w:line="440" w:lineRule="exact"/>
      <w:jc w:val="center"/>
    </w:pPr>
    <w:rPr>
      <w:rFonts w:ascii="仿宋_GB2312" w:hAnsi="宋体" w:eastAsia="仿宋_GB2312"/>
      <w:sz w:val="28"/>
    </w:rPr>
  </w:style>
  <w:style w:type="character" w:customStyle="1" w:styleId="41">
    <w:name w:val="批注框文本 字符"/>
    <w:basedOn w:val="27"/>
    <w:link w:val="16"/>
    <w:qFormat/>
    <w:uiPriority w:val="0"/>
    <w:rPr>
      <w:kern w:val="2"/>
      <w:sz w:val="18"/>
      <w:szCs w:val="18"/>
    </w:rPr>
  </w:style>
  <w:style w:type="paragraph" w:customStyle="1" w:styleId="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11381</Words>
  <Characters>12079</Characters>
  <Lines>154</Lines>
  <Paragraphs>43</Paragraphs>
  <TotalTime>0</TotalTime>
  <ScaleCrop>false</ScaleCrop>
  <LinksUpToDate>false</LinksUpToDate>
  <CharactersWithSpaces>12784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2026-04-22T01:45:00Z</dcterms:created>
  <dc:creator>sugeke2</dc:creator>
  <cp:lastModifiedBy>苏</cp:lastModifiedBy>
  <cp:lastPrinted>2026-05-21T08:44:00Z</cp:lastPrinted>
  <dcterms:modified xsi:type="dcterms:W3CDTF">2026-06-15T00:10:01Z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2A3323BE81AD4A0F80F2BA50399CA723_13</vt:lpwstr>
  </property>
  <property fmtid="{D5CDD505-2E9C-101B-9397-08002B2CF9AE}" pid="4" name="KSOTemplateDocerSaveRecord">
    <vt:lpwstr>eyJoZGlkIjoiM2IyMzQ4ZmY3OTMyNjI2NDRmN2Q2MWYzOTRkZWQzMWQiLCJ1c2VySWQiOiI1MjAwOTc5MzAifQ==</vt:lpwstr>
  </property>
</Properties>
</file>