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620" w:lineRule="exact"/>
        <w:ind w:firstLine="3640" w:firstLineChars="700"/>
        <w:jc w:val="left"/>
        <w:textAlignment w:val="baseline"/>
        <w:outlineLvl w:val="0"/>
        <w:rPr>
          <w:rFonts w:hint="eastAsia" w:ascii="Times New Roman" w:hAnsi="Times New Roman" w:eastAsia="仿宋" w:cs="Times New Roman"/>
          <w:snapToGrid/>
          <w:kern w:val="2"/>
          <w:sz w:val="32"/>
          <w:szCs w:val="32"/>
          <w:highlight w:val="none"/>
          <w:lang w:val="en-US" w:eastAsia="zh-CN" w:bidi="ar-SA"/>
        </w:rPr>
      </w:pPr>
      <w:r>
        <w:rPr>
          <w:rFonts w:hint="eastAsia" w:ascii="方正小标宋_GBK" w:hAnsi="方正小标宋_GBK" w:eastAsia="方正小标宋_GBK" w:cs="方正小标宋_GBK"/>
          <w:snapToGrid/>
          <w:kern w:val="2"/>
          <w:sz w:val="52"/>
          <w:szCs w:val="52"/>
          <w:highlight w:val="none"/>
          <w:lang w:val="en-US" w:eastAsia="zh-CN" w:bidi="ar-SA"/>
        </w:rPr>
        <w:t>询价文件</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项目名称：钦州港港口管理基地项目施工合同费用调整审查服务询价采购</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0" w:firstLineChars="1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广西壮族自治区水运发展中心钦州港港口管理基地项目指挥部</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840" w:firstLineChars="1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2026年7月</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sectPr>
          <w:pgSz w:w="12240" w:h="15840"/>
          <w:pgMar w:top="2098" w:right="1587" w:bottom="1587" w:left="1587"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2200" w:firstLineChars="5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r>
        <w:rPr>
          <w:rFonts w:hint="eastAsia" w:ascii="方正小标宋_GBK" w:hAnsi="方正小标宋_GBK" w:eastAsia="方正小标宋_GBK" w:cs="方正小标宋_GBK"/>
          <w:snapToGrid/>
          <w:kern w:val="2"/>
          <w:sz w:val="44"/>
          <w:szCs w:val="44"/>
          <w:highlight w:val="none"/>
          <w:lang w:val="en-US" w:eastAsia="zh-CN" w:bidi="ar-SA"/>
        </w:rPr>
        <w:t>第一部分 询价邀请书</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我单位就以下项目进行询价采购，欢迎贵单位参加报价。</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55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一、项目名称：钦州港港口管理基地项目施工合同费用调整审查服务询价采购</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7"/>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二、服务内容及要求：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项目概况：钦州港港口管理项目位于钦州市钦州港金鼓江大桥南，陆域面积7.99公顷，计划建设工作船泊位5个，港口综合指挥中心1栋。主要建设内容为码头水工工程、疏浚工程、陆域形成、地基处理以及配套的导助航工程、给排水、环保、道路堆场、供电照明、生产辅助建筑物的相关工程，项目概算17990.42万元。</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项目施工分成两个标段实施，一标段主要施工内容为水工工程及相关配套工程，合同费用8588万元；二标段主要施工内容为房建工程及相关配套工程，合同费用4248万元。</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7"/>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（二）服务范围：</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（1）梳理施工图工程量清单、设计变更工程量清单与合同清单（初步设计）的变化与区别。</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（2）根据梳理的结果，按照施工合同相关条款约定，对发生变化的清单涉及的子目提出是否允许调整意见，核定调整价格，出具审查报告。</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（3）配合我单位做好与施工单位的谈判、上级部门的沟通汇报等相关工作。</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（三）服务标准：</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审查工作应严格执行国家及行业现行计价规范、定额标准及相关法律法规，审查结论应客观、公正、准确。审查报告须包含详细的审查依据、计算过程及结论。</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7"/>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（四）成果文件要求：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（1）出具正式造价审查报告，纸质版一式3份；</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（2）提交加盖公章的PDF电子版及可编辑的电子版文件。</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三、项目最高限价：无，供应商根据工作内容、相关收费标准及市场行情自行报价。</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8"/>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四、供应商资格条件：</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（一）符合《中华人民共和国政府采购法》第二十二条资格条件：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1"/>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1、具有独立承担民事责任的能力；</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3"/>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2、具有良好的商业信誉和健全的财务会计制度；</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3、具有履行合同所必需的设备和专业技术能力；</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4、有依法缴纳税收和社会保障资金的良好记录；</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5、参加政府采购活动2024年-2026年内，在经营活动中没有重大违法记录；</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6、法律、行政法规规定的其他条件。</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（二）拟派的项目负责人应具有本单位注册交通运输（水运工程）一级造价工程师证书。</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（三）2024年-2026年具有港航造价同类业绩。</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8"/>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五、报价文件递交时间、地点及方式</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right="107" w:firstLine="557"/>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（一）报价文件递交截止时间：2026年 8月 5日16时 00 分（北京时间）。</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default"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（二）报价文件递交地点：广西钦州市钦南区钦州港融和大街20号钦州引航服务中心4楼416室。</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（三）报价方式：指定专人递交密封报价文件，未密封或超时送达的报价文件将被拒收。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9"/>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五、联系方式</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联 系 人：黄工</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8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电   话：18177754460</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地   址： 广西钦州市钦南区钦州港融和大街20号钦州引航服务中心4楼416室。</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4160" w:firstLineChars="13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广西壮族自治区水运发展中心</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840" w:firstLineChars="1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 xml:space="preserve">钦州港港口管理基地项目指挥部 </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4800" w:firstLineChars="15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 xml:space="preserve"> 2026年 7月31日</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sectPr>
          <w:footerReference r:id="rId5" w:type="default"/>
          <w:pgSz w:w="12240" w:h="15840"/>
          <w:pgMar w:top="2098" w:right="1587" w:bottom="1587" w:left="1587" w:header="0" w:footer="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1320" w:firstLineChars="3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r>
        <w:rPr>
          <w:rFonts w:hint="eastAsia" w:ascii="方正小标宋_GBK" w:hAnsi="方正小标宋_GBK" w:eastAsia="方正小标宋_GBK" w:cs="方正小标宋_GBK"/>
          <w:snapToGrid/>
          <w:kern w:val="2"/>
          <w:sz w:val="44"/>
          <w:szCs w:val="44"/>
          <w:highlight w:val="none"/>
          <w:lang w:val="en-US" w:eastAsia="zh-CN" w:bidi="ar-SA"/>
        </w:rPr>
        <w:t>第二部分 采购项目技术和商务要求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2200" w:firstLineChars="5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56"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一、技术要求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（一）采购服务内容：对钦州港港口管理基地项目施工合同费用调整提供审查服务，并出具审查报告。</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（二）服务方案要求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1、总体安排及技术方案：技术方案先进合理，总体安排科学可行。</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0"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2、服务期保证措施：服务期保障措施有效、合理、全面、科学，内容完善、服务期安排合理。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3、工作要点分析及关键性技术问题的对策措施：对国家及地方强制性技术标准的执行进行说明，对项目的特点、难点、重点进行分析和提出处理措施，内容完善，符合项目需求。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4、最终报告具备科学性和可行性，能够达到委托人要求。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6" w:firstLine="640" w:firstLineChars="200"/>
        <w:jc w:val="left"/>
        <w:textAlignment w:val="baseline"/>
        <w:outlineLvl w:val="1"/>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二、商务要求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（一）服务标准与要求：</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1"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 服务期限：合同签订日起至约定所有项目结束为止。</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3"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 交货时间：委托人提供审查过程全部所需的工程材料后15个工作日内。</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6"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 交货方式：提交审查报告。</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 w:right="283" w:firstLine="640" w:firstLineChars="20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（二）结算方式：交货完毕，审查结果取得上级部门认可，委托人根据合同约定进行验收，凭验收书和发票直接结算，款项一次全额付清。</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sectPr>
          <w:pgSz w:w="12240" w:h="15840"/>
          <w:pgMar w:top="2098" w:right="1587" w:bottom="1587" w:left="1587" w:header="0" w:footer="0"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2640" w:firstLineChars="6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r>
        <w:rPr>
          <w:rFonts w:hint="eastAsia" w:ascii="方正小标宋_GBK" w:hAnsi="方正小标宋_GBK" w:eastAsia="方正小标宋_GBK" w:cs="方正小标宋_GBK"/>
          <w:snapToGrid/>
          <w:kern w:val="2"/>
          <w:sz w:val="44"/>
          <w:szCs w:val="44"/>
          <w:highlight w:val="none"/>
          <w:lang w:val="en-US" w:eastAsia="zh-CN" w:bidi="ar-SA"/>
        </w:rPr>
        <w:t>第三部分 报价方须知</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2640" w:firstLineChars="6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614" w:firstLineChars="900"/>
        <w:jc w:val="both"/>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一 、说 明</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（一）概述</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1"/>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1、本询价文件仅适用于本次询价采购。</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 w:firstLine="55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2、参与询价的所有各方，对在参与采购过程中获悉的国家和商业、技术秘密以及其它依法应当保密的内容，均负有保密义务，违者应对由此造成的后果承担全部法律责任。</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（二）定义</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139" w:firstLine="55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1、“采购项目 ”系指本询价文件里描述的所需采购的货物和相关服务；</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2、“采购机构 ”系指组织本次询价的广西壮族自治区水运发展中心钦州港港口管理基地项目指挥部 ；</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3、“报价方 ”系指从采购机构按规定获取询价文件，并向采购机构递交报价文件的供应商；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4、“成交供应商 ”系指经过询价评审，确定成交的报价方；</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0" w:right="278" w:firstLine="525"/>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5、“货物 ”系指成交供应商按询价文件规定，所提供的各种形态和种类的物品，包括设备、产品、备品备件、工具、手册等；</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right="43" w:firstLine="551"/>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6、“服务 ”系指成交供应商按询价文件规定，必须承担的运输、安装、调试、技术协助、培训、维修、配件供应等义务。</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（三）合格的报价方</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1"/>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1、能够遵守国家有关法律、法规和本次询价的有关规定；</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139" w:firstLine="55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2、经采购机构资格审查合格，接受邀请，并有供货能力的供应商；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3、能够承担询价报价及合同履约中应承担的全部责任与义务。（四）合格的货物和相关服务</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2" w:firstLine="56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1、报价方对所提供的货物应当享有合法的所有权，没有侵犯任何第三方的知识产权、技术秘密等权利，而且不存在任何抵押、留置、查封等产权瑕疵；</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firstLine="55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2、报价方提供的货物必须是全新的、未使用过的，货物和相关服务应当符合询价文件的要求，并且其质量完全符合国家标准或行业标准。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（五）报价委托</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1"/>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如报价方代表不是法定代表人，须持有《法定代表人授权书》（附件）。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（六）报价费用</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139" w:firstLine="55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不论询价结果如何，报价方均应自行承担与询价报价有关的全部费用。</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二、询价文件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（一）询价文件的内容</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139" w:firstLine="55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询价文件由询价邀请书、采购项目技术和商务要求、报价方须知、附件/报价文件格式等内容构成。</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8"/>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询价文件以中文编写，以纸质询价文件为准。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（二）询价文件的澄清</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2" w:firstLine="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报价方对询价文件如有疑问要求澄清，应当在报价截止时间前以书面形式通知采购机构，采购机构应当视情以适当方式予以澄清，或以书面形式答复。如有必要，在不标明问题查询来源的情况下，采购机构可将答复内容以书面形式通知所有报价方。</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（三）询价文件的修改</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5" w:right="139" w:firstLine="555"/>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1、报价截止时间前，采购机构可对已发出的询价文件进行修改。询价文件修改内容是询价文件的组成部分。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7" w:firstLine="547"/>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询价文件的修改内容可能影响报价文件编制的，采购机构应在报价截止时间前，以书面形式通知所有购买询价文件的报价方，并对报价方具有约束力。报价方在收到上述通知后，应立即以书面形式向采购机构确认。</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7" w:firstLine="547"/>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3、为使报价方有足够时间修改报价文件，采购机构可酌情推迟询价时间。</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三、报价文件编制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（一）注意事项</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7" w:firstLine="547"/>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报价方应仔细阅读询价文件，在完全了解全部内容后，依法真实编制报价文件。如果没有按照询价文件要求提交全部报价文件或者资料，没有对询价文件实质性响应，可能导致报价被否决。</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（二）报价文件的语言及计量单位</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58" w:firstLine="57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1、报价文件和来往信函均以中文书写。确有需要时，相关内容可以使用其他语言书写，但必须同时提供中文译文，不同语言文本报价文件的解释发生异议的，以中文译文为准。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9" w:right="139" w:firstLine="54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2、报价文件中所使用的计量单位，除询价文件中有特殊要求外，均采用国家法定计量单位。</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（三）报价文件组成</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（1）报价函</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（2）法定代表人身份证明及授权委托书</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（3）营业执照复印件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（4）项目负责人注册造价工程师证书复印件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（5）类似业绩证明材料</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9" w:right="139" w:firstLine="54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（6）服务方案（含工作思路、人员配备、进度计划、质量保证措施等）</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9" w:right="139" w:firstLine="54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（7）无重大违法记录声明函</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（四）报价文件的格式规定和签署</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9" w:right="139" w:firstLine="54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1、报价文件必须工整、规范、统一、清晰，采用A4 幅面纸胶装成册、标注页码。</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4" w:right="141" w:firstLine="55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2、报价方应当按照询价文件规定的统一格式填写报价文件，报价文件开始部分应当有目录，以及方便评审小组评审使用的项目索引。</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9" w:right="139" w:firstLine="54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3、报价方名称应当填写全称，同时加盖公章，公章与全称相符。</w:t>
      </w:r>
    </w:p>
    <w:p>
      <w:pPr>
        <w:keepNext w:val="0"/>
        <w:keepLines w:val="0"/>
        <w:pageBreakBefore w:val="0"/>
        <w:widowControl/>
        <w:kinsoku w:val="0"/>
        <w:wordWrap/>
        <w:overflowPunct/>
        <w:topLinePunct w:val="0"/>
        <w:autoSpaceDE w:val="0"/>
        <w:autoSpaceDN w:val="0"/>
        <w:bidi w:val="0"/>
        <w:adjustRightInd w:val="0"/>
        <w:snapToGrid w:val="0"/>
        <w:spacing w:line="620" w:lineRule="exact"/>
        <w:ind w:right="141" w:firstLine="54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4、报价文件不得随意涂改和增删。如有修改错漏之处，必须由法定代表人或授权代表签字、盖章。</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（五）报价文件有效期</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1、报价文件自报价截止时间起90日内保持有效。</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（六）报价</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7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1、所有报价均以人民币为货币单位。</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2、所有单价和总价按照报价一览表和合同格式要求填报。</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四、报价文件递交</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 w:right="190" w:firstLine="56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1、价格文件一式两份。统一装入密封袋内，封口处应当有报价方单位公章，封面上注明“项目名称、报价方名称 ”字样。</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54"/>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2、报价文件未按要求密封、标记的，采购机构有权拒收。</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五、询价评审</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 w:right="190" w:firstLine="569"/>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（一）本次采购报价方应不少于3家，报价方不足3家时，报价文件递交截止时间延长至2026年8月10日16时 00 分（北京时间），延期后仍不足三家的，采购机构将在符合资格条件的现有响应供应商中，按照询价文件规定的评审办法确定成交供应商。</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（二）评审方法</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1" w:right="2" w:firstLine="57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本次采购评审方法为最低评标价法。技术和商务评审合格的报价视为有效报价，按照报价由低到高顺序排列。报价相同的，按照服务方案优劣顺序排列，以提出最低报价的报价方作为预成交供应商。</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213" w:firstLineChars="800"/>
        <w:jc w:val="left"/>
        <w:textAlignment w:val="baseline"/>
        <w:outlineLvl w:val="1"/>
        <w:rPr>
          <w:rFonts w:hint="eastAsia" w:ascii="Times New Roman" w:hAnsi="Times New Roman" w:eastAsia="仿宋" w:cs="Times New Roman"/>
          <w:b/>
          <w:bCs/>
          <w:snapToGrid/>
          <w:kern w:val="2"/>
          <w:sz w:val="40"/>
          <w:szCs w:val="40"/>
          <w:highlight w:val="none"/>
          <w:lang w:val="en-US" w:eastAsia="zh-CN" w:bidi="ar-SA"/>
        </w:rPr>
      </w:pPr>
      <w:r>
        <w:rPr>
          <w:rFonts w:hint="eastAsia" w:ascii="Times New Roman" w:hAnsi="Times New Roman" w:eastAsia="仿宋" w:cs="Times New Roman"/>
          <w:b/>
          <w:bCs/>
          <w:snapToGrid/>
          <w:kern w:val="2"/>
          <w:sz w:val="40"/>
          <w:szCs w:val="40"/>
          <w:highlight w:val="none"/>
          <w:lang w:val="en-US" w:eastAsia="zh-CN" w:bidi="ar-SA"/>
        </w:rPr>
        <w:t>六、确定成交</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（一）确定成交供应商及通知</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1、采购机构在确定成交供应商后3 个工作日内，以书面形式向成交供应商发出《成交通知书》，未选定的单位不另行通知。</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55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2、成交单位在收到《成交通知书》后3个工作日内与我单位签订服务合同。</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sectPr>
          <w:pgSz w:w="12240" w:h="15840"/>
          <w:pgMar w:top="2098" w:right="1587" w:bottom="1587" w:left="1587" w:header="0" w:footer="0" w:gutter="0"/>
          <w:pgNumType w:fmt="decimal"/>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1760" w:firstLineChars="400"/>
        <w:jc w:val="left"/>
        <w:textAlignment w:val="baseline"/>
        <w:outlineLvl w:val="0"/>
        <w:rPr>
          <w:rFonts w:hint="eastAsia" w:ascii="方正小标宋_GBK" w:hAnsi="方正小标宋_GBK" w:eastAsia="方正小标宋_GBK" w:cs="方正小标宋_GBK"/>
          <w:snapToGrid/>
          <w:kern w:val="2"/>
          <w:sz w:val="44"/>
          <w:szCs w:val="44"/>
          <w:highlight w:val="none"/>
          <w:lang w:val="en-US" w:eastAsia="zh-CN" w:bidi="ar-SA"/>
        </w:rPr>
      </w:pPr>
      <w:r>
        <w:rPr>
          <w:rFonts w:hint="eastAsia" w:ascii="方正小标宋_GBK" w:hAnsi="方正小标宋_GBK" w:eastAsia="方正小标宋_GBK" w:cs="方正小标宋_GBK"/>
          <w:snapToGrid/>
          <w:kern w:val="2"/>
          <w:sz w:val="44"/>
          <w:szCs w:val="44"/>
          <w:highlight w:val="none"/>
          <w:lang w:val="en-US" w:eastAsia="zh-CN" w:bidi="ar-SA"/>
        </w:rPr>
        <w:t>第四部分 附件/报价文件格式</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16"/>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 1</w:t>
      </w:r>
    </w:p>
    <w:p>
      <w:pPr>
        <w:keepNext w:val="0"/>
        <w:keepLines w:val="0"/>
        <w:pageBreakBefore w:val="0"/>
        <w:widowControl/>
        <w:kinsoku w:val="0"/>
        <w:wordWrap/>
        <w:overflowPunct/>
        <w:topLinePunct w:val="0"/>
        <w:autoSpaceDE w:val="0"/>
        <w:autoSpaceDN w:val="0"/>
        <w:bidi w:val="0"/>
        <w:adjustRightInd w:val="0"/>
        <w:snapToGrid w:val="0"/>
        <w:spacing w:line="620" w:lineRule="exact"/>
        <w:ind w:firstLine="3975" w:firstLineChars="900"/>
        <w:jc w:val="left"/>
        <w:textAlignment w:val="baseline"/>
        <w:outlineLvl w:val="0"/>
        <w:rPr>
          <w:rFonts w:hint="eastAsia" w:ascii="Times New Roman" w:hAnsi="Times New Roman" w:eastAsia="仿宋" w:cs="Times New Roman"/>
          <w:b/>
          <w:bCs/>
          <w:snapToGrid/>
          <w:kern w:val="2"/>
          <w:sz w:val="44"/>
          <w:szCs w:val="44"/>
          <w:highlight w:val="none"/>
          <w:lang w:val="en-US" w:eastAsia="zh-CN" w:bidi="ar-SA"/>
        </w:rPr>
      </w:pPr>
      <w:r>
        <w:rPr>
          <w:rFonts w:hint="eastAsia" w:ascii="Times New Roman" w:hAnsi="Times New Roman" w:eastAsia="仿宋" w:cs="Times New Roman"/>
          <w:b/>
          <w:bCs/>
          <w:snapToGrid/>
          <w:kern w:val="2"/>
          <w:sz w:val="44"/>
          <w:szCs w:val="44"/>
          <w:highlight w:val="none"/>
          <w:lang w:val="en-US" w:eastAsia="zh-CN" w:bidi="ar-SA"/>
        </w:rPr>
        <w:t>报价函</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广西壮族自治区水运发展中心钦州港港口管理基地项目指挥部 ：</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我方已仔细阅读并理解了贵方发出的《[项目名称]询价文件》的全部内容，经综合考虑，我方愿意以总价人民币（大写）______________元整（¥____.00） 的价格，承担本项目全部服务内容，并作如下承诺：</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本报价为</w:t>
      </w:r>
      <w:r>
        <w:rPr>
          <w:rFonts w:hint="eastAsia" w:ascii="Times New Roman" w:hAnsi="Times New Roman" w:eastAsia="仿宋" w:cs="Times New Roman"/>
          <w:snapToGrid/>
          <w:kern w:val="2"/>
          <w:sz w:val="32"/>
          <w:szCs w:val="32"/>
          <w:highlight w:val="none"/>
          <w:u w:val="single"/>
          <w:lang w:val="en-US" w:eastAsia="zh-CN" w:bidi="ar-SA"/>
        </w:rPr>
        <w:t>总价包干</w:t>
      </w:r>
      <w:r>
        <w:rPr>
          <w:rFonts w:hint="eastAsia" w:ascii="Times New Roman" w:hAnsi="Times New Roman" w:eastAsia="仿宋" w:cs="Times New Roman"/>
          <w:snapToGrid/>
          <w:kern w:val="2"/>
          <w:sz w:val="32"/>
          <w:szCs w:val="32"/>
          <w:highlight w:val="none"/>
          <w:lang w:val="en-US" w:eastAsia="zh-CN" w:bidi="ar-SA"/>
        </w:rPr>
        <w:t>，已包含完成本项目全部服务所需的一切费用，包括但不限于人工费、差旅费、食宿费、资料费、报告编制费、管理费、税费及合理利润等。合同履行过程中，我方不会以任何理由要求追加任何费用。</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在服务期间，派出的全部工作人员的人身安全、财产安全及第三方安全责任，均由我方全权负责，并承担一切相关费用及法律责任。</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我方将严格按照询价文件要求和合同约定，配备符合资格要求的项目负责人及团队，按期保质完成审查工作并出具正式报告。</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我方保证所提供的资质、业绩等证明材料真实有效。</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报价单位（盖章）： ____________________</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法定代表人（或授权代表）签字： ____________________</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联系电话： ____________________</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31" w:right="141" w:firstLine="542"/>
        <w:jc w:val="left"/>
        <w:textAlignment w:val="baseline"/>
        <w:rPr>
          <w:rFonts w:hint="eastAsia" w:ascii="Times New Roman" w:hAnsi="Times New Roman" w:eastAsia="仿宋" w:cs="Times New Roman"/>
          <w:snapToGrid/>
          <w:kern w:val="2"/>
          <w:sz w:val="32"/>
          <w:szCs w:val="32"/>
          <w:highlight w:val="none"/>
          <w:lang w:val="en-US" w:eastAsia="zh-CN" w:bidi="ar-SA"/>
        </w:rPr>
        <w:sectPr>
          <w:pgSz w:w="12240" w:h="15840"/>
          <w:pgMar w:top="2098" w:right="1587" w:bottom="1587" w:left="1587" w:header="0" w:footer="0" w:gutter="0"/>
          <w:pgNumType w:fmt="decimal"/>
          <w:cols w:space="720" w:num="1"/>
        </w:sectPr>
      </w:pPr>
      <w:r>
        <w:rPr>
          <w:rFonts w:hint="eastAsia" w:ascii="Times New Roman" w:hAnsi="Times New Roman" w:eastAsia="仿宋" w:cs="Times New Roman"/>
          <w:snapToGrid/>
          <w:kern w:val="2"/>
          <w:sz w:val="32"/>
          <w:szCs w:val="32"/>
          <w:highlight w:val="none"/>
          <w:lang w:val="en-US" w:eastAsia="zh-CN" w:bidi="ar-SA"/>
        </w:rPr>
        <w:t>日期： ______年______月______</w:t>
      </w: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附件2：法定代表人身份证明及授权委托书</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附件3：营业执照复印件</w:t>
      </w: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pStyle w:val="2"/>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附件4：项目负责人注册造价工程师证书复印件</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附件5：类似业绩证明材料</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附件6：服务方案（含工作思路、人员配备、进度计划、质量保证措施等，格式自拟。）</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default" w:ascii="国标仿宋" w:hAnsi="国标仿宋" w:eastAsia="国标仿宋" w:cs="国标仿宋"/>
          <w:spacing w:val="-2"/>
          <w:sz w:val="28"/>
          <w:szCs w:val="28"/>
          <w:highlight w:val="none"/>
          <w:lang w:val="en-US" w:eastAsia="zh-CN"/>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国标仿宋" w:hAnsi="国标仿宋" w:eastAsia="国标仿宋" w:cs="国标仿宋"/>
          <w:spacing w:val="-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60"/>
        <w:jc w:val="left"/>
        <w:textAlignment w:val="baseline"/>
        <w:rPr>
          <w:rFonts w:hint="eastAsia" w:ascii="Times New Roman" w:hAnsi="Times New Roman" w:eastAsia="仿宋" w:cs="Times New Roman"/>
          <w:snapToGrid/>
          <w:kern w:val="2"/>
          <w:sz w:val="32"/>
          <w:szCs w:val="32"/>
          <w:highlight w:val="none"/>
          <w:lang w:val="en-US" w:eastAsia="zh-CN" w:bidi="ar-SA"/>
        </w:rPr>
      </w:pPr>
      <w:r>
        <w:rPr>
          <w:rFonts w:hint="eastAsia" w:ascii="Times New Roman" w:hAnsi="Times New Roman" w:eastAsia="仿宋" w:cs="Times New Roman"/>
          <w:snapToGrid/>
          <w:kern w:val="2"/>
          <w:sz w:val="32"/>
          <w:szCs w:val="32"/>
          <w:highlight w:val="none"/>
          <w:lang w:val="en-US" w:eastAsia="zh-CN" w:bidi="ar-SA"/>
        </w:rPr>
        <w:t>附件7：《无重大违法记录声明函》（格式自拟）</w:t>
      </w: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国标仿宋" w:hAnsi="国标仿宋" w:eastAsia="国标仿宋" w:cs="国标仿宋"/>
          <w:spacing w:val="-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国标仿宋" w:hAnsi="国标仿宋" w:eastAsia="国标仿宋" w:cs="国标仿宋"/>
          <w:spacing w:val="-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eastAsia" w:ascii="国标仿宋" w:hAnsi="国标仿宋" w:eastAsia="国标仿宋" w:cs="国标仿宋"/>
          <w:spacing w:val="-2"/>
          <w:sz w:val="28"/>
          <w:szCs w:val="28"/>
          <w:highlight w:val="none"/>
        </w:rPr>
      </w:pPr>
    </w:p>
    <w:p>
      <w:pPr>
        <w:keepNext w:val="0"/>
        <w:keepLines w:val="0"/>
        <w:pageBreakBefore w:val="0"/>
        <w:widowControl/>
        <w:kinsoku w:val="0"/>
        <w:wordWrap/>
        <w:overflowPunct/>
        <w:topLinePunct w:val="0"/>
        <w:autoSpaceDE w:val="0"/>
        <w:autoSpaceDN w:val="0"/>
        <w:bidi w:val="0"/>
        <w:adjustRightInd w:val="0"/>
        <w:snapToGrid w:val="0"/>
        <w:spacing w:line="620" w:lineRule="exact"/>
        <w:ind w:left="547"/>
        <w:jc w:val="left"/>
        <w:textAlignment w:val="baseline"/>
        <w:rPr>
          <w:rFonts w:hint="default" w:ascii="国标仿宋" w:hAnsi="国标仿宋" w:eastAsia="国标仿宋" w:cs="国标仿宋"/>
          <w:spacing w:val="-2"/>
          <w:sz w:val="28"/>
          <w:szCs w:val="28"/>
          <w:highlight w:val="none"/>
          <w:lang w:val="en-US" w:eastAsia="zh-CN"/>
        </w:rPr>
      </w:pPr>
    </w:p>
    <w:sectPr>
      <w:headerReference r:id="rId6" w:type="default"/>
      <w:pgSz w:w="12240" w:h="15840"/>
      <w:pgMar w:top="2098" w:right="1587" w:bottom="1587" w:left="1587" w:header="1406" w:footer="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国标仿宋">
    <w:panose1 w:val="02000500000000000000"/>
    <w:charset w:val="86"/>
    <w:family w:val="auto"/>
    <w:pitch w:val="default"/>
    <w:sig w:usb0="A00002BF" w:usb1="38C77CFA" w:usb2="00000016" w:usb3="00000000" w:csb0="00060007" w:csb1="00000000"/>
  </w:font>
  <w:font w:name="SimHei">
    <w:altName w:val="方正黑体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2792730</wp:posOffset>
              </wp:positionH>
              <wp:positionV relativeFrom="paragraph">
                <wp:posOffset>-722630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default" w:asciiTheme="minorAscii" w:hAnsiTheme="minorAscii"/>
                              <w:sz w:val="21"/>
                              <w:szCs w:val="24"/>
                            </w:rPr>
                          </w:pPr>
                          <w:r>
                            <w:rPr>
                              <w:rFonts w:hint="default" w:asciiTheme="minorAscii" w:hAnsiTheme="minorAscii"/>
                              <w:sz w:val="21"/>
                              <w:szCs w:val="24"/>
                            </w:rPr>
                            <w:fldChar w:fldCharType="begin"/>
                          </w:r>
                          <w:r>
                            <w:rPr>
                              <w:rFonts w:hint="default" w:asciiTheme="minorAscii" w:hAnsiTheme="minorAscii"/>
                              <w:sz w:val="21"/>
                              <w:szCs w:val="24"/>
                            </w:rPr>
                            <w:instrText xml:space="preserve"> PAGE  \* MERGEFORMAT </w:instrText>
                          </w:r>
                          <w:r>
                            <w:rPr>
                              <w:rFonts w:hint="default" w:asciiTheme="minorAscii" w:hAnsiTheme="minorAscii"/>
                              <w:sz w:val="21"/>
                              <w:szCs w:val="24"/>
                            </w:rPr>
                            <w:fldChar w:fldCharType="separate"/>
                          </w:r>
                          <w:r>
                            <w:rPr>
                              <w:rFonts w:hint="default" w:asciiTheme="minorAscii" w:hAnsiTheme="minorAscii"/>
                              <w:sz w:val="21"/>
                              <w:szCs w:val="24"/>
                            </w:rPr>
                            <w:t>2</w:t>
                          </w:r>
                          <w:r>
                            <w:rPr>
                              <w:rFonts w:hint="default" w:asciiTheme="minorAscii" w:hAnsiTheme="minorAscii"/>
                              <w:sz w:val="21"/>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9.9pt;margin-top:-56.9pt;height:144pt;width:144pt;mso-position-horizontal-relative:margin;mso-wrap-style:none;z-index:251659264;mso-width-relative:page;mso-height-relative:page;" filled="f" stroked="f" coordsize="21600,21600" o:gfxdata="UEsFBgAAAAAAAAAAAAAAAAAAAAAAAFBLAwQKAAAAAACHTuJAAAAAAAAAAAAAAAAABAAAAGRycy9Q&#10;SwMEFAAAAAgAh07iQAOxfoTXAAAADAEAAA8AAABkcnMvZG93bnJldi54bWxNj8tOwzAQRfdI/IM1&#10;SOxa5yUCIU4lKsISiYYFSzcekoAfke2m4e8ZVnR3R3N050y9W41mC/owOSsg3SbA0PZOTXYQ8N61&#10;m3tgIUqrpHYWBfxggF1zfVXLSrmzfcPlEAdGJTZUUsAY41xxHvoRjQxbN6Ol3afzRkYa/cCVl2cq&#10;N5pnSXLHjZwsXRjljPsR++/DyQjYt13nFwxef+BLm3+9PhX4vApxe5Mmj8AirvEfhj99UoeGnI7u&#10;ZFVgWkCRP5B6FLBJ05wSIWVWUjgSWxYZ8Kbml080v1BLAwQUAAAACACHTuJAa4X5+zECAABhBAAA&#10;DgAAAGRycy9lMm9Eb2MueG1srVTNjtMwEL4j8Q6W7zRpEasqaroqWxUhVexKBXF2HaeJ5D/ZbpPy&#10;APAGnLhw57n6HHzOTxctHPbAxRl7xt/M9804i9tWSXISztdG53Q6SSkRmpui1oecfvq4eTWnxAem&#10;CyaNFjk9C09vly9fLBqbiZmpjCyEIwDRPmtsTqsQbJYknldCMT8xVmg4S+MUC9i6Q1I41gBdyWSW&#10;pjdJY1xhneHCe5yueycdEN1zAE1Z1lysDT8qoUOP6oRkAZR8VVtPl121ZSl4uC9LLwKROQXT0K1I&#10;Ansf12S5YNnBMVvVfCiBPaeEJ5wUqzWSXqHWLDBydPVfUKrmznhThgk3KumJdIqAxTR9os2uYlZ0&#10;XCC1t1fR/f+D5R9OD47UBSaBEs0UGn75/u3y49fl51cyjfI01meI2lnEhfataWPocO5xGFm3pVPx&#10;Cz4Efoh7voor2kB4vDSfzecpXBy+cQOc5PG6dT68E0aRaOTUoXudqOy09aEPHUNiNm02tZQ4Z5nU&#10;pMnpzes3aXfh6gG41MgRSfTFRiu0+3ZgsDfFGcSc6SfDW76pkXzLfHhgDqOAgvFYwj2WUhokMYNF&#10;SWXcl3+dx3h0CF5KGoxWTjVeEiXyvUbnABhGw43GfjT0Ud0ZzCq6gVo6ExdckKNZOqM+4wWtYg64&#10;mObIlNMwmnehH2+8QC5Wqy7oaF19qPoLmDvLwlbvLI9ponrero4BYnYaR4F6VQbdMHldl4ZXEkf7&#10;z30X9fhnWP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A7F+hNcAAAAMAQAADwAAAAAAAAABACAA&#10;AAA4AAAAZHJzL2Rvd25yZXYueG1sUEsBAhQAFAAAAAgAh07iQGuF+fsxAgAAYQQAAA4AAAAAAAAA&#10;AQAgAAAAPAEAAGRycy9lMm9Eb2MueG1sUEsFBgAAAAAGAAYAWQEAAN8FAAAAAA==&#10;">
              <v:fill on="f" focussize="0,0"/>
              <v:stroke on="f" weight="0.5pt"/>
              <v:imagedata o:title=""/>
              <o:lock v:ext="edit" aspectratio="f"/>
              <v:textbox inset="0mm,0mm,0mm,0mm" style="mso-fit-shape-to-text:t;">
                <w:txbxContent>
                  <w:p>
                    <w:pPr>
                      <w:pStyle w:val="3"/>
                      <w:rPr>
                        <w:rFonts w:hint="default" w:asciiTheme="minorAscii" w:hAnsiTheme="minorAscii"/>
                        <w:sz w:val="21"/>
                        <w:szCs w:val="24"/>
                      </w:rPr>
                    </w:pPr>
                    <w:r>
                      <w:rPr>
                        <w:rFonts w:hint="default" w:asciiTheme="minorAscii" w:hAnsiTheme="minorAscii"/>
                        <w:sz w:val="21"/>
                        <w:szCs w:val="24"/>
                      </w:rPr>
                      <w:fldChar w:fldCharType="begin"/>
                    </w:r>
                    <w:r>
                      <w:rPr>
                        <w:rFonts w:hint="default" w:asciiTheme="minorAscii" w:hAnsiTheme="minorAscii"/>
                        <w:sz w:val="21"/>
                        <w:szCs w:val="24"/>
                      </w:rPr>
                      <w:instrText xml:space="preserve"> PAGE  \* MERGEFORMAT </w:instrText>
                    </w:r>
                    <w:r>
                      <w:rPr>
                        <w:rFonts w:hint="default" w:asciiTheme="minorAscii" w:hAnsiTheme="minorAscii"/>
                        <w:sz w:val="21"/>
                        <w:szCs w:val="24"/>
                      </w:rPr>
                      <w:fldChar w:fldCharType="separate"/>
                    </w:r>
                    <w:r>
                      <w:rPr>
                        <w:rFonts w:hint="default" w:asciiTheme="minorAscii" w:hAnsiTheme="minorAscii"/>
                        <w:sz w:val="21"/>
                        <w:szCs w:val="24"/>
                      </w:rPr>
                      <w:t>2</w:t>
                    </w:r>
                    <w:r>
                      <w:rPr>
                        <w:rFonts w:hint="default" w:asciiTheme="minorAscii" w:hAnsiTheme="minorAscii"/>
                        <w:sz w:val="21"/>
                        <w:szCs w:val="24"/>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73" w:line="225" w:lineRule="auto"/>
      <w:rPr>
        <w:rFonts w:ascii="SimHei" w:hAnsi="SimHei" w:eastAsia="SimHei" w:cs="SimHei"/>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rsids>
    <w:rsidRoot w:val="00000000"/>
    <w:rsid w:val="1FDFC5ED"/>
    <w:rsid w:val="353B7964"/>
    <w:rsid w:val="56FE2D68"/>
    <w:rsid w:val="6DB7AA95"/>
    <w:rsid w:val="7D3F78CD"/>
    <w:rsid w:val="7DED246D"/>
    <w:rsid w:val="7EB77968"/>
    <w:rsid w:val="9BFFEDE4"/>
    <w:rsid w:val="CFED7464"/>
    <w:rsid w:val="D6EFEB9E"/>
    <w:rsid w:val="F76DB6FA"/>
    <w:rsid w:val="FEF366A1"/>
    <w:rsid w:val="FF6A7881"/>
    <w:rsid w:val="FFFFFF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Hyperlink"/>
    <w:basedOn w:val="7"/>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Office_11.8.2.1128_F1E327BC-269C-435d-A152-05C5408002CA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2025-08-17T15:15:00Z</dcterms:created>
  <dc:creator>Administrator</dc:creator>
  <cp:lastModifiedBy>user2023</cp:lastModifiedBy>
  <dcterms:modified xsi:type="dcterms:W3CDTF">2026-07-31T09:35:53Z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2026-07-27T16:01:46Z</vt:filetime>
  </property>
  <property fmtid="{D5CDD505-2E9C-101B-9397-08002B2CF9AE}" pid="4" name="KSOProductBuildVer">
    <vt:lpwstr>2052-11.8.2.1128</vt:lpwstr>
  </property>
  <property fmtid="{D5CDD505-2E9C-101B-9397-08002B2CF9AE}" pid="5" name="ICV">
    <vt:lpwstr>97FBBE93FD06CA145333686A24AEF81F</vt:lpwstr>
  </property>
</Properties>
</file>