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BE8A433">
      <w:pPr>
        <w:rPr>
          <w:color w:val="auto"/>
          <w:highlight w:val="none"/>
        </w:rPr>
      </w:pPr>
    </w:p>
    <w:p w14:paraId="1F0619C3">
      <w:pPr>
        <w:adjustRightInd w:val="0"/>
        <w:snapToGrid w:val="0"/>
        <w:spacing w:before="156" w:beforeLines="50"/>
        <w:jc w:val="center"/>
        <w:rPr>
          <w:rFonts w:hint="eastAsia" w:ascii="宋体" w:hAnsi="宋体" w:cs="宋体"/>
          <w:b/>
          <w:bCs/>
          <w:color w:val="auto"/>
          <w:sz w:val="32"/>
          <w:szCs w:val="32"/>
          <w:highlight w:val="none"/>
        </w:rPr>
      </w:pPr>
    </w:p>
    <w:p w14:paraId="36AE9468">
      <w:pPr>
        <w:snapToGrid w:val="0"/>
        <w:spacing w:before="156" w:beforeLines="50" w:line="360" w:lineRule="auto"/>
        <w:jc w:val="center"/>
        <w:rPr>
          <w:rFonts w:hint="eastAsia" w:ascii="宋体" w:hAnsi="宋体" w:cs="宋体"/>
          <w:b/>
          <w:bCs/>
          <w:color w:val="auto"/>
          <w:sz w:val="36"/>
          <w:szCs w:val="36"/>
          <w:highlight w:val="none"/>
        </w:rPr>
      </w:pPr>
      <w:r>
        <w:rPr>
          <w:rFonts w:hint="eastAsia" w:ascii="宋体" w:hAnsi="宋体" w:cs="宋体"/>
          <w:b/>
          <w:bCs/>
          <w:color w:val="auto"/>
          <w:sz w:val="36"/>
          <w:szCs w:val="36"/>
          <w:highlight w:val="none"/>
        </w:rPr>
        <w:t>红水河（曹渡河口至桥巩）三级航道工程</w:t>
      </w:r>
    </w:p>
    <w:p w14:paraId="5A96AC45">
      <w:pPr>
        <w:snapToGrid w:val="0"/>
        <w:spacing w:before="156" w:beforeLines="50" w:line="360" w:lineRule="auto"/>
        <w:jc w:val="center"/>
        <w:rPr>
          <w:rFonts w:ascii="黑体" w:hAnsi="黑体" w:eastAsia="黑体" w:cs="黑体"/>
          <w:color w:val="auto"/>
          <w:sz w:val="72"/>
          <w:szCs w:val="72"/>
          <w:highlight w:val="none"/>
        </w:rPr>
      </w:pPr>
      <w:r>
        <w:rPr>
          <w:rFonts w:hint="eastAsia" w:ascii="宋体" w:hAnsi="宋体" w:cs="宋体"/>
          <w:b/>
          <w:bCs/>
          <w:color w:val="auto"/>
          <w:sz w:val="36"/>
          <w:szCs w:val="36"/>
          <w:highlight w:val="none"/>
          <w:lang w:eastAsia="zh-CN"/>
        </w:rPr>
        <w:t>对广西忻城乐滩国家湿地公园生态影响评价服务</w:t>
      </w:r>
    </w:p>
    <w:p w14:paraId="4D4EA5EE">
      <w:pPr>
        <w:snapToGrid w:val="0"/>
        <w:spacing w:before="156" w:beforeLines="50" w:line="360" w:lineRule="auto"/>
        <w:jc w:val="center"/>
        <w:rPr>
          <w:rFonts w:ascii="黑体" w:hAnsi="黑体" w:eastAsia="黑体" w:cs="黑体"/>
          <w:color w:val="auto"/>
          <w:sz w:val="72"/>
          <w:szCs w:val="72"/>
          <w:highlight w:val="none"/>
        </w:rPr>
      </w:pPr>
    </w:p>
    <w:p w14:paraId="289D5190">
      <w:pPr>
        <w:snapToGrid w:val="0"/>
        <w:spacing w:before="156" w:beforeLines="50" w:line="360" w:lineRule="auto"/>
        <w:jc w:val="center"/>
        <w:rPr>
          <w:rFonts w:ascii="黑体" w:hAnsi="黑体" w:eastAsia="黑体" w:cs="黑体"/>
          <w:color w:val="auto"/>
          <w:sz w:val="72"/>
          <w:szCs w:val="72"/>
          <w:highlight w:val="none"/>
        </w:rPr>
      </w:pPr>
      <w:r>
        <w:rPr>
          <w:rFonts w:hint="eastAsia" w:ascii="黑体" w:hAnsi="黑体" w:eastAsia="黑体" w:cs="黑体"/>
          <w:color w:val="auto"/>
          <w:sz w:val="72"/>
          <w:szCs w:val="72"/>
          <w:highlight w:val="none"/>
        </w:rPr>
        <w:t>采购方案</w:t>
      </w:r>
    </w:p>
    <w:p w14:paraId="53AB89DE">
      <w:pPr>
        <w:snapToGrid w:val="0"/>
        <w:spacing w:before="156" w:beforeLines="50" w:line="360" w:lineRule="auto"/>
        <w:jc w:val="center"/>
        <w:rPr>
          <w:rFonts w:ascii="黑体" w:hAnsi="黑体" w:eastAsia="黑体" w:cs="黑体"/>
          <w:color w:val="auto"/>
          <w:sz w:val="72"/>
          <w:szCs w:val="72"/>
          <w:highlight w:val="none"/>
        </w:rPr>
      </w:pPr>
    </w:p>
    <w:p w14:paraId="0D03CC46">
      <w:pPr>
        <w:spacing w:line="360" w:lineRule="auto"/>
        <w:jc w:val="center"/>
        <w:rPr>
          <w:rFonts w:ascii="宋体" w:hAnsi="宋体"/>
          <w:b/>
          <w:color w:val="auto"/>
          <w:sz w:val="32"/>
          <w:szCs w:val="32"/>
          <w:highlight w:val="none"/>
        </w:rPr>
      </w:pPr>
    </w:p>
    <w:p w14:paraId="2DD41416">
      <w:pPr>
        <w:spacing w:line="480" w:lineRule="auto"/>
        <w:jc w:val="center"/>
        <w:rPr>
          <w:rFonts w:ascii="宋体" w:hAnsi="宋体"/>
          <w:b/>
          <w:color w:val="auto"/>
          <w:sz w:val="32"/>
          <w:szCs w:val="32"/>
          <w:highlight w:val="none"/>
        </w:rPr>
      </w:pPr>
    </w:p>
    <w:p w14:paraId="3827504A">
      <w:pPr>
        <w:pStyle w:val="34"/>
        <w:rPr>
          <w:rFonts w:ascii="宋体" w:hAnsi="宋体"/>
          <w:b/>
          <w:color w:val="auto"/>
          <w:sz w:val="32"/>
          <w:szCs w:val="32"/>
          <w:highlight w:val="none"/>
        </w:rPr>
      </w:pPr>
    </w:p>
    <w:p w14:paraId="356C16B1">
      <w:pPr>
        <w:spacing w:line="480" w:lineRule="auto"/>
        <w:ind w:firstLine="1285" w:firstLineChars="400"/>
        <w:rPr>
          <w:rFonts w:ascii="仿宋_GB2312" w:hAnsi="宋体" w:eastAsia="仿宋_GB2312"/>
          <w:b/>
          <w:color w:val="auto"/>
          <w:sz w:val="32"/>
          <w:szCs w:val="32"/>
          <w:highlight w:val="none"/>
        </w:rPr>
      </w:pPr>
    </w:p>
    <w:p w14:paraId="148A3539">
      <w:pPr>
        <w:spacing w:line="480" w:lineRule="auto"/>
        <w:ind w:firstLine="1285" w:firstLineChars="400"/>
        <w:rPr>
          <w:rFonts w:ascii="仿宋_GB2312" w:hAnsi="宋体" w:eastAsia="仿宋_GB2312"/>
          <w:b/>
          <w:color w:val="auto"/>
          <w:sz w:val="32"/>
          <w:szCs w:val="32"/>
          <w:highlight w:val="none"/>
        </w:rPr>
      </w:pPr>
    </w:p>
    <w:p w14:paraId="6537B3F7">
      <w:pPr>
        <w:spacing w:line="480" w:lineRule="auto"/>
        <w:ind w:firstLine="1285" w:firstLineChars="400"/>
        <w:rPr>
          <w:rFonts w:ascii="仿宋_GB2312" w:hAnsi="宋体" w:eastAsia="仿宋_GB2312"/>
          <w:b/>
          <w:color w:val="auto"/>
          <w:sz w:val="32"/>
          <w:szCs w:val="32"/>
          <w:highlight w:val="none"/>
        </w:rPr>
      </w:pPr>
    </w:p>
    <w:p w14:paraId="6DDB2092">
      <w:pPr>
        <w:spacing w:line="480" w:lineRule="auto"/>
        <w:ind w:firstLine="1285" w:firstLineChars="400"/>
        <w:rPr>
          <w:rFonts w:ascii="仿宋_GB2312" w:hAnsi="宋体" w:eastAsia="仿宋_GB2312"/>
          <w:b/>
          <w:color w:val="auto"/>
          <w:sz w:val="32"/>
          <w:szCs w:val="32"/>
          <w:highlight w:val="none"/>
        </w:rPr>
      </w:pPr>
    </w:p>
    <w:p w14:paraId="4C0F2C09">
      <w:pPr>
        <w:spacing w:line="360" w:lineRule="auto"/>
        <w:jc w:val="center"/>
        <w:rPr>
          <w:rFonts w:hint="eastAsia" w:ascii="宋体" w:hAnsi="宋体" w:eastAsia="宋体" w:cs="宋体"/>
          <w:b/>
          <w:color w:val="auto"/>
          <w:sz w:val="32"/>
          <w:szCs w:val="32"/>
          <w:highlight w:val="none"/>
          <w:lang w:eastAsia="zh-CN"/>
        </w:rPr>
      </w:pPr>
      <w:r>
        <w:rPr>
          <w:rFonts w:hint="eastAsia" w:ascii="宋体" w:hAnsi="宋体" w:cs="宋体"/>
          <w:b/>
          <w:color w:val="auto"/>
          <w:sz w:val="32"/>
          <w:szCs w:val="32"/>
          <w:highlight w:val="none"/>
        </w:rPr>
        <w:t>采购人：</w:t>
      </w:r>
      <w:bookmarkStart w:id="0" w:name="OLE_LINK2"/>
      <w:r>
        <w:rPr>
          <w:rFonts w:hint="eastAsia" w:ascii="宋体" w:hAnsi="宋体" w:cs="宋体"/>
          <w:b/>
          <w:color w:val="auto"/>
          <w:sz w:val="32"/>
          <w:szCs w:val="32"/>
          <w:highlight w:val="none"/>
          <w:lang w:eastAsia="zh-CN"/>
        </w:rPr>
        <w:t>广西壮族自治区水运发展中心</w:t>
      </w:r>
    </w:p>
    <w:bookmarkEnd w:id="0"/>
    <w:p w14:paraId="5C44BAE5">
      <w:pPr>
        <w:spacing w:line="360" w:lineRule="auto"/>
        <w:jc w:val="center"/>
        <w:rPr>
          <w:rFonts w:ascii="宋体" w:hAnsi="宋体" w:cs="宋体"/>
          <w:b/>
          <w:color w:val="auto"/>
          <w:sz w:val="32"/>
          <w:szCs w:val="32"/>
          <w:highlight w:val="none"/>
        </w:rPr>
      </w:pPr>
      <w:r>
        <w:rPr>
          <w:rFonts w:hint="eastAsia" w:ascii="宋体" w:hAnsi="宋体" w:cs="宋体"/>
          <w:b/>
          <w:bCs/>
          <w:color w:val="auto"/>
          <w:w w:val="95"/>
          <w:sz w:val="32"/>
          <w:szCs w:val="32"/>
          <w:highlight w:val="none"/>
        </w:rPr>
        <w:t>2026年</w:t>
      </w:r>
      <w:r>
        <w:rPr>
          <w:rFonts w:hint="eastAsia" w:ascii="宋体" w:hAnsi="宋体" w:cs="宋体"/>
          <w:b/>
          <w:bCs/>
          <w:color w:val="auto"/>
          <w:w w:val="95"/>
          <w:sz w:val="32"/>
          <w:szCs w:val="32"/>
          <w:highlight w:val="none"/>
          <w:lang w:val="en-US" w:eastAsia="zh-CN"/>
        </w:rPr>
        <w:t>8</w:t>
      </w:r>
      <w:r>
        <w:rPr>
          <w:rFonts w:hint="eastAsia" w:ascii="宋体" w:hAnsi="宋体" w:cs="宋体"/>
          <w:b/>
          <w:bCs/>
          <w:color w:val="auto"/>
          <w:w w:val="95"/>
          <w:sz w:val="32"/>
          <w:szCs w:val="32"/>
          <w:highlight w:val="none"/>
        </w:rPr>
        <w:t>月</w:t>
      </w:r>
    </w:p>
    <w:p w14:paraId="35F6D071">
      <w:pPr>
        <w:rPr>
          <w:rFonts w:ascii="宋体" w:hAnsi="宋体" w:cs="宋体"/>
          <w:b/>
          <w:bCs/>
          <w:color w:val="auto"/>
          <w:kern w:val="0"/>
          <w:sz w:val="32"/>
          <w:szCs w:val="32"/>
          <w:highlight w:val="none"/>
        </w:rPr>
      </w:pPr>
      <w:r>
        <w:rPr>
          <w:rFonts w:ascii="宋体" w:hAnsi="宋体" w:cs="宋体"/>
          <w:b/>
          <w:bCs/>
          <w:color w:val="auto"/>
          <w:kern w:val="0"/>
          <w:sz w:val="32"/>
          <w:szCs w:val="32"/>
          <w:highlight w:val="none"/>
        </w:rPr>
        <w:br w:type="page"/>
      </w:r>
    </w:p>
    <w:p w14:paraId="009A4C46">
      <w:pPr>
        <w:pStyle w:val="21"/>
        <w:tabs>
          <w:tab w:val="right" w:leader="dot" w:pos="8931"/>
          <w:tab w:val="clear" w:pos="8296"/>
        </w:tabs>
        <w:adjustRightInd w:val="0"/>
        <w:snapToGrid w:val="0"/>
        <w:spacing w:line="264" w:lineRule="auto"/>
        <w:ind w:left="0" w:leftChars="0"/>
        <w:rPr>
          <w:rFonts w:ascii="宋体" w:hAnsi="宋体"/>
          <w:b/>
          <w:color w:val="auto"/>
          <w:sz w:val="32"/>
          <w:szCs w:val="32"/>
          <w:highlight w:val="none"/>
        </w:rPr>
      </w:pPr>
    </w:p>
    <w:sdt>
      <w:sdtPr>
        <w:rPr>
          <w:rFonts w:ascii="宋体" w:hAnsi="宋体"/>
          <w:color w:val="auto"/>
          <w:highlight w:val="none"/>
        </w:rPr>
        <w:id w:val="147480604"/>
        <w15:color w:val="DBDBDB"/>
        <w:docPartObj>
          <w:docPartGallery w:val="Table of Contents"/>
          <w:docPartUnique/>
        </w:docPartObj>
      </w:sdtPr>
      <w:sdtEndPr>
        <w:rPr>
          <w:rFonts w:hint="eastAsia" w:ascii="宋体" w:hAnsi="宋体"/>
          <w:color w:val="auto"/>
          <w:szCs w:val="32"/>
          <w:highlight w:val="none"/>
        </w:rPr>
      </w:sdtEndPr>
      <w:sdtContent>
        <w:p w14:paraId="2BF94CBE">
          <w:pPr>
            <w:jc w:val="center"/>
            <w:rPr>
              <w:color w:val="auto"/>
              <w:sz w:val="44"/>
              <w:szCs w:val="44"/>
              <w:highlight w:val="none"/>
            </w:rPr>
          </w:pPr>
          <w:r>
            <w:rPr>
              <w:rFonts w:ascii="宋体" w:hAnsi="宋体"/>
              <w:b/>
              <w:bCs/>
              <w:color w:val="auto"/>
              <w:sz w:val="44"/>
              <w:szCs w:val="44"/>
              <w:highlight w:val="none"/>
            </w:rPr>
            <w:t>目</w:t>
          </w:r>
          <w:r>
            <w:rPr>
              <w:rFonts w:hint="eastAsia" w:ascii="宋体" w:hAnsi="宋体"/>
              <w:b/>
              <w:bCs/>
              <w:color w:val="auto"/>
              <w:sz w:val="44"/>
              <w:szCs w:val="44"/>
              <w:highlight w:val="none"/>
            </w:rPr>
            <w:t xml:space="preserve"> </w:t>
          </w:r>
          <w:r>
            <w:rPr>
              <w:rFonts w:ascii="宋体" w:hAnsi="宋体"/>
              <w:b/>
              <w:bCs/>
              <w:color w:val="auto"/>
              <w:sz w:val="44"/>
              <w:szCs w:val="44"/>
              <w:highlight w:val="none"/>
            </w:rPr>
            <w:t>录</w:t>
          </w:r>
        </w:p>
        <w:p w14:paraId="0A129447">
          <w:pPr>
            <w:pStyle w:val="19"/>
            <w:tabs>
              <w:tab w:val="right" w:leader="dot" w:pos="8879"/>
            </w:tabs>
          </w:pPr>
          <w:r>
            <w:fldChar w:fldCharType="begin"/>
          </w:r>
          <w:r>
            <w:instrText xml:space="preserve">TOC \o "1-2" \h \u </w:instrText>
          </w:r>
          <w:r>
            <w:fldChar w:fldCharType="separate"/>
          </w:r>
          <w:r>
            <w:fldChar w:fldCharType="begin"/>
          </w:r>
          <w:r>
            <w:instrText xml:space="preserve"> HYPERLINK \l _Toc31410 </w:instrText>
          </w:r>
          <w:r>
            <w:fldChar w:fldCharType="separate"/>
          </w:r>
          <w:r>
            <w:rPr>
              <w:rFonts w:hint="eastAsia"/>
              <w:szCs w:val="28"/>
              <w:highlight w:val="none"/>
            </w:rPr>
            <w:t>第一章 采购公告</w:t>
          </w:r>
          <w:r>
            <w:tab/>
          </w:r>
          <w:r>
            <w:fldChar w:fldCharType="begin"/>
          </w:r>
          <w:r>
            <w:instrText xml:space="preserve"> PAGEREF _Toc31410 \h </w:instrText>
          </w:r>
          <w:r>
            <w:fldChar w:fldCharType="separate"/>
          </w:r>
          <w:r>
            <w:t>2</w:t>
          </w:r>
          <w:r>
            <w:fldChar w:fldCharType="end"/>
          </w:r>
          <w:r>
            <w:fldChar w:fldCharType="end"/>
          </w:r>
        </w:p>
        <w:p w14:paraId="49B7A34C">
          <w:pPr>
            <w:pStyle w:val="19"/>
            <w:tabs>
              <w:tab w:val="right" w:leader="dot" w:pos="8879"/>
            </w:tabs>
          </w:pPr>
          <w:r>
            <w:fldChar w:fldCharType="begin"/>
          </w:r>
          <w:r>
            <w:instrText xml:space="preserve"> HYPERLINK \l _Toc3768 </w:instrText>
          </w:r>
          <w:r>
            <w:fldChar w:fldCharType="separate"/>
          </w:r>
          <w:r>
            <w:rPr>
              <w:rFonts w:hint="eastAsia"/>
              <w:szCs w:val="28"/>
              <w:highlight w:val="none"/>
            </w:rPr>
            <w:t>第二章 供应商须知</w:t>
          </w:r>
          <w:r>
            <w:tab/>
          </w:r>
          <w:r>
            <w:fldChar w:fldCharType="begin"/>
          </w:r>
          <w:r>
            <w:instrText xml:space="preserve"> PAGEREF _Toc3768 \h </w:instrText>
          </w:r>
          <w:r>
            <w:fldChar w:fldCharType="separate"/>
          </w:r>
          <w:r>
            <w:t>4</w:t>
          </w:r>
          <w:r>
            <w:fldChar w:fldCharType="end"/>
          </w:r>
          <w:r>
            <w:fldChar w:fldCharType="end"/>
          </w:r>
        </w:p>
        <w:p w14:paraId="42C7AE13">
          <w:pPr>
            <w:pStyle w:val="19"/>
            <w:tabs>
              <w:tab w:val="right" w:leader="dot" w:pos="8879"/>
            </w:tabs>
          </w:pPr>
          <w:r>
            <w:fldChar w:fldCharType="begin"/>
          </w:r>
          <w:r>
            <w:instrText xml:space="preserve"> HYPERLINK \l _Toc11112 </w:instrText>
          </w:r>
          <w:r>
            <w:fldChar w:fldCharType="separate"/>
          </w:r>
          <w:r>
            <w:rPr>
              <w:rFonts w:hint="eastAsia"/>
              <w:szCs w:val="28"/>
              <w:highlight w:val="none"/>
            </w:rPr>
            <w:t>第三章 采购需求</w:t>
          </w:r>
          <w:r>
            <w:tab/>
          </w:r>
          <w:r>
            <w:fldChar w:fldCharType="begin"/>
          </w:r>
          <w:r>
            <w:instrText xml:space="preserve"> PAGEREF _Toc11112 \h </w:instrText>
          </w:r>
          <w:r>
            <w:fldChar w:fldCharType="separate"/>
          </w:r>
          <w:r>
            <w:t>5</w:t>
          </w:r>
          <w:r>
            <w:fldChar w:fldCharType="end"/>
          </w:r>
          <w:r>
            <w:fldChar w:fldCharType="end"/>
          </w:r>
        </w:p>
        <w:p w14:paraId="70904DF5">
          <w:pPr>
            <w:pStyle w:val="21"/>
            <w:tabs>
              <w:tab w:val="right" w:leader="dot" w:pos="8879"/>
              <w:tab w:val="clear" w:pos="8296"/>
            </w:tabs>
          </w:pPr>
          <w:r>
            <w:fldChar w:fldCharType="begin"/>
          </w:r>
          <w:r>
            <w:instrText xml:space="preserve"> HYPERLINK \l _Toc8575 </w:instrText>
          </w:r>
          <w:r>
            <w:fldChar w:fldCharType="separate"/>
          </w:r>
          <w:r>
            <w:rPr>
              <w:rFonts w:hint="eastAsia" w:ascii="宋体" w:hAnsi="宋体" w:cs="宋体"/>
              <w:bCs/>
              <w:szCs w:val="21"/>
              <w:highlight w:val="none"/>
              <w:lang w:bidi="ar"/>
            </w:rPr>
            <w:t>一、项目概况</w:t>
          </w:r>
          <w:r>
            <w:tab/>
          </w:r>
          <w:r>
            <w:fldChar w:fldCharType="begin"/>
          </w:r>
          <w:r>
            <w:instrText xml:space="preserve"> PAGEREF _Toc8575 \h </w:instrText>
          </w:r>
          <w:r>
            <w:fldChar w:fldCharType="separate"/>
          </w:r>
          <w:r>
            <w:t>5</w:t>
          </w:r>
          <w:r>
            <w:fldChar w:fldCharType="end"/>
          </w:r>
          <w:r>
            <w:fldChar w:fldCharType="end"/>
          </w:r>
        </w:p>
        <w:p w14:paraId="2589A72D">
          <w:pPr>
            <w:pStyle w:val="21"/>
            <w:tabs>
              <w:tab w:val="right" w:leader="dot" w:pos="8879"/>
              <w:tab w:val="clear" w:pos="8296"/>
            </w:tabs>
          </w:pPr>
          <w:r>
            <w:fldChar w:fldCharType="begin"/>
          </w:r>
          <w:r>
            <w:instrText xml:space="preserve"> HYPERLINK \l _Toc6004 </w:instrText>
          </w:r>
          <w:r>
            <w:fldChar w:fldCharType="separate"/>
          </w:r>
          <w:r>
            <w:rPr>
              <w:rFonts w:hint="eastAsia" w:ascii="宋体" w:hAnsi="宋体" w:cs="宋体"/>
              <w:bCs/>
              <w:szCs w:val="21"/>
              <w:highlight w:val="none"/>
              <w:lang w:bidi="ar"/>
            </w:rPr>
            <w:t>二、采购内容</w:t>
          </w:r>
          <w:r>
            <w:tab/>
          </w:r>
          <w:r>
            <w:fldChar w:fldCharType="begin"/>
          </w:r>
          <w:r>
            <w:instrText xml:space="preserve"> PAGEREF _Toc6004 \h </w:instrText>
          </w:r>
          <w:r>
            <w:fldChar w:fldCharType="separate"/>
          </w:r>
          <w:r>
            <w:t>5</w:t>
          </w:r>
          <w:r>
            <w:fldChar w:fldCharType="end"/>
          </w:r>
          <w:r>
            <w:fldChar w:fldCharType="end"/>
          </w:r>
        </w:p>
        <w:p w14:paraId="0574A27F">
          <w:pPr>
            <w:pStyle w:val="21"/>
            <w:tabs>
              <w:tab w:val="right" w:leader="dot" w:pos="8879"/>
              <w:tab w:val="clear" w:pos="8296"/>
            </w:tabs>
          </w:pPr>
          <w:r>
            <w:fldChar w:fldCharType="begin"/>
          </w:r>
          <w:r>
            <w:instrText xml:space="preserve"> HYPERLINK \l _Toc14040 </w:instrText>
          </w:r>
          <w:r>
            <w:fldChar w:fldCharType="separate"/>
          </w:r>
          <w:r>
            <w:rPr>
              <w:rFonts w:hint="eastAsia" w:ascii="宋体" w:hAnsi="宋体" w:cs="宋体"/>
              <w:bCs/>
              <w:szCs w:val="21"/>
              <w:highlight w:val="none"/>
              <w:lang w:bidi="ar"/>
            </w:rPr>
            <w:t>三、技术要求</w:t>
          </w:r>
          <w:r>
            <w:tab/>
          </w:r>
          <w:r>
            <w:fldChar w:fldCharType="begin"/>
          </w:r>
          <w:r>
            <w:instrText xml:space="preserve"> PAGEREF _Toc14040 \h </w:instrText>
          </w:r>
          <w:r>
            <w:fldChar w:fldCharType="separate"/>
          </w:r>
          <w:r>
            <w:t>5</w:t>
          </w:r>
          <w:r>
            <w:fldChar w:fldCharType="end"/>
          </w:r>
          <w:r>
            <w:fldChar w:fldCharType="end"/>
          </w:r>
        </w:p>
        <w:p w14:paraId="15678F29">
          <w:pPr>
            <w:pStyle w:val="21"/>
            <w:tabs>
              <w:tab w:val="right" w:leader="dot" w:pos="8879"/>
              <w:tab w:val="clear" w:pos="8296"/>
            </w:tabs>
          </w:pPr>
          <w:r>
            <w:fldChar w:fldCharType="begin"/>
          </w:r>
          <w:r>
            <w:instrText xml:space="preserve"> HYPERLINK \l _Toc30484 </w:instrText>
          </w:r>
          <w:r>
            <w:fldChar w:fldCharType="separate"/>
          </w:r>
          <w:r>
            <w:rPr>
              <w:rFonts w:hint="eastAsia" w:ascii="宋体" w:hAnsi="宋体" w:cs="宋体"/>
              <w:bCs/>
              <w:szCs w:val="21"/>
              <w:highlight w:val="none"/>
              <w:lang w:bidi="ar"/>
            </w:rPr>
            <w:t>四、商务要求</w:t>
          </w:r>
          <w:r>
            <w:tab/>
          </w:r>
          <w:r>
            <w:fldChar w:fldCharType="begin"/>
          </w:r>
          <w:r>
            <w:instrText xml:space="preserve"> PAGEREF _Toc30484 \h </w:instrText>
          </w:r>
          <w:r>
            <w:fldChar w:fldCharType="separate"/>
          </w:r>
          <w:r>
            <w:t>5</w:t>
          </w:r>
          <w:r>
            <w:fldChar w:fldCharType="end"/>
          </w:r>
          <w:r>
            <w:fldChar w:fldCharType="end"/>
          </w:r>
        </w:p>
        <w:p w14:paraId="4A34EA0B">
          <w:pPr>
            <w:pStyle w:val="19"/>
            <w:tabs>
              <w:tab w:val="right" w:leader="dot" w:pos="8879"/>
            </w:tabs>
          </w:pPr>
          <w:r>
            <w:fldChar w:fldCharType="begin"/>
          </w:r>
          <w:r>
            <w:instrText xml:space="preserve"> HYPERLINK \l _Toc13465 </w:instrText>
          </w:r>
          <w:r>
            <w:fldChar w:fldCharType="separate"/>
          </w:r>
          <w:r>
            <w:rPr>
              <w:rFonts w:hint="eastAsia"/>
              <w:szCs w:val="28"/>
              <w:highlight w:val="none"/>
            </w:rPr>
            <w:t>第四章  评审办法</w:t>
          </w:r>
          <w:r>
            <w:tab/>
          </w:r>
          <w:r>
            <w:fldChar w:fldCharType="begin"/>
          </w:r>
          <w:r>
            <w:instrText xml:space="preserve"> PAGEREF _Toc13465 \h </w:instrText>
          </w:r>
          <w:r>
            <w:fldChar w:fldCharType="separate"/>
          </w:r>
          <w:r>
            <w:t>8</w:t>
          </w:r>
          <w:r>
            <w:fldChar w:fldCharType="end"/>
          </w:r>
          <w:r>
            <w:fldChar w:fldCharType="end"/>
          </w:r>
        </w:p>
        <w:p w14:paraId="115D32D5">
          <w:pPr>
            <w:pStyle w:val="21"/>
            <w:tabs>
              <w:tab w:val="right" w:leader="dot" w:pos="8879"/>
              <w:tab w:val="clear" w:pos="8296"/>
            </w:tabs>
          </w:pPr>
          <w:r>
            <w:fldChar w:fldCharType="begin"/>
          </w:r>
          <w:r>
            <w:instrText xml:space="preserve"> HYPERLINK \l _Toc13582 </w:instrText>
          </w:r>
          <w:r>
            <w:fldChar w:fldCharType="separate"/>
          </w:r>
          <w:r>
            <w:rPr>
              <w:rFonts w:hint="eastAsia" w:ascii="宋体" w:hAnsi="宋体"/>
              <w:highlight w:val="none"/>
            </w:rPr>
            <w:t>第一节  评审程序和评审方法</w:t>
          </w:r>
          <w:r>
            <w:tab/>
          </w:r>
          <w:r>
            <w:fldChar w:fldCharType="begin"/>
          </w:r>
          <w:r>
            <w:instrText xml:space="preserve"> PAGEREF _Toc13582 \h </w:instrText>
          </w:r>
          <w:r>
            <w:fldChar w:fldCharType="separate"/>
          </w:r>
          <w:r>
            <w:t>8</w:t>
          </w:r>
          <w:r>
            <w:fldChar w:fldCharType="end"/>
          </w:r>
          <w:r>
            <w:fldChar w:fldCharType="end"/>
          </w:r>
        </w:p>
        <w:p w14:paraId="692EE79B">
          <w:pPr>
            <w:pStyle w:val="21"/>
            <w:tabs>
              <w:tab w:val="right" w:leader="dot" w:pos="8879"/>
              <w:tab w:val="clear" w:pos="8296"/>
            </w:tabs>
          </w:pPr>
          <w:r>
            <w:fldChar w:fldCharType="begin"/>
          </w:r>
          <w:r>
            <w:instrText xml:space="preserve"> HYPERLINK \l _Toc11665 </w:instrText>
          </w:r>
          <w:r>
            <w:fldChar w:fldCharType="separate"/>
          </w:r>
          <w:r>
            <w:rPr>
              <w:rFonts w:hint="eastAsia" w:ascii="宋体" w:hAnsi="宋体"/>
              <w:highlight w:val="none"/>
            </w:rPr>
            <w:t>第二节  评审标准</w:t>
          </w:r>
          <w:r>
            <w:tab/>
          </w:r>
          <w:r>
            <w:fldChar w:fldCharType="begin"/>
          </w:r>
          <w:r>
            <w:instrText xml:space="preserve"> PAGEREF _Toc11665 \h </w:instrText>
          </w:r>
          <w:r>
            <w:fldChar w:fldCharType="separate"/>
          </w:r>
          <w:r>
            <w:t>11</w:t>
          </w:r>
          <w:r>
            <w:fldChar w:fldCharType="end"/>
          </w:r>
          <w:r>
            <w:fldChar w:fldCharType="end"/>
          </w:r>
        </w:p>
        <w:p w14:paraId="5F26FC69">
          <w:pPr>
            <w:pStyle w:val="19"/>
            <w:tabs>
              <w:tab w:val="right" w:leader="dot" w:pos="8879"/>
            </w:tabs>
          </w:pPr>
          <w:r>
            <w:fldChar w:fldCharType="begin"/>
          </w:r>
          <w:r>
            <w:instrText xml:space="preserve"> HYPERLINK \l _Toc10128 </w:instrText>
          </w:r>
          <w:r>
            <w:fldChar w:fldCharType="separate"/>
          </w:r>
          <w:r>
            <w:rPr>
              <w:rFonts w:hint="eastAsia"/>
              <w:szCs w:val="28"/>
              <w:highlight w:val="none"/>
            </w:rPr>
            <w:t>第五章 响应文件格式</w:t>
          </w:r>
          <w:r>
            <w:tab/>
          </w:r>
          <w:r>
            <w:fldChar w:fldCharType="begin"/>
          </w:r>
          <w:r>
            <w:instrText xml:space="preserve"> PAGEREF _Toc10128 \h </w:instrText>
          </w:r>
          <w:r>
            <w:fldChar w:fldCharType="separate"/>
          </w:r>
          <w:r>
            <w:t>12</w:t>
          </w:r>
          <w:r>
            <w:fldChar w:fldCharType="end"/>
          </w:r>
          <w:r>
            <w:fldChar w:fldCharType="end"/>
          </w:r>
        </w:p>
        <w:p w14:paraId="318AA5A4">
          <w:pPr>
            <w:pStyle w:val="21"/>
            <w:tabs>
              <w:tab w:val="right" w:leader="dot" w:pos="8879"/>
              <w:tab w:val="clear" w:pos="8296"/>
            </w:tabs>
          </w:pPr>
          <w:r>
            <w:fldChar w:fldCharType="begin"/>
          </w:r>
          <w:r>
            <w:instrText xml:space="preserve"> HYPERLINK \l _Toc23403 </w:instrText>
          </w:r>
          <w:r>
            <w:fldChar w:fldCharType="separate"/>
          </w:r>
          <w:r>
            <w:rPr>
              <w:rFonts w:hint="eastAsia" w:ascii="宋体" w:hAnsi="宋体"/>
              <w:bCs/>
              <w:szCs w:val="36"/>
              <w:highlight w:val="none"/>
            </w:rPr>
            <w:t>目录</w:t>
          </w:r>
          <w:r>
            <w:tab/>
          </w:r>
          <w:r>
            <w:fldChar w:fldCharType="begin"/>
          </w:r>
          <w:r>
            <w:instrText xml:space="preserve"> PAGEREF _Toc23403 \h </w:instrText>
          </w:r>
          <w:r>
            <w:fldChar w:fldCharType="separate"/>
          </w:r>
          <w:r>
            <w:t>14</w:t>
          </w:r>
          <w:r>
            <w:fldChar w:fldCharType="end"/>
          </w:r>
          <w:r>
            <w:fldChar w:fldCharType="end"/>
          </w:r>
        </w:p>
        <w:p w14:paraId="5FBF1405">
          <w:pPr>
            <w:pStyle w:val="21"/>
            <w:tabs>
              <w:tab w:val="right" w:leader="dot" w:pos="8879"/>
              <w:tab w:val="clear" w:pos="8296"/>
            </w:tabs>
          </w:pPr>
          <w:r>
            <w:fldChar w:fldCharType="begin"/>
          </w:r>
          <w:r>
            <w:instrText xml:space="preserve"> HYPERLINK \l _Toc13574 </w:instrText>
          </w:r>
          <w:r>
            <w:fldChar w:fldCharType="separate"/>
          </w:r>
          <w:r>
            <w:rPr>
              <w:rFonts w:hint="eastAsia" w:ascii="黑体" w:hAnsi="黑体" w:eastAsia="黑体" w:cs="黑体"/>
              <w:szCs w:val="36"/>
              <w:highlight w:val="none"/>
            </w:rPr>
            <w:t>一、投标函</w:t>
          </w:r>
          <w:r>
            <w:tab/>
          </w:r>
          <w:r>
            <w:fldChar w:fldCharType="begin"/>
          </w:r>
          <w:r>
            <w:instrText xml:space="preserve"> PAGEREF _Toc13574 \h </w:instrText>
          </w:r>
          <w:r>
            <w:fldChar w:fldCharType="separate"/>
          </w:r>
          <w:r>
            <w:t>15</w:t>
          </w:r>
          <w:r>
            <w:fldChar w:fldCharType="end"/>
          </w:r>
          <w:r>
            <w:fldChar w:fldCharType="end"/>
          </w:r>
        </w:p>
        <w:p w14:paraId="4CA73272">
          <w:pPr>
            <w:pStyle w:val="21"/>
            <w:tabs>
              <w:tab w:val="right" w:leader="dot" w:pos="8879"/>
              <w:tab w:val="clear" w:pos="8296"/>
            </w:tabs>
          </w:pPr>
          <w:r>
            <w:fldChar w:fldCharType="begin"/>
          </w:r>
          <w:r>
            <w:instrText xml:space="preserve"> HYPERLINK \l _Toc30881 </w:instrText>
          </w:r>
          <w:r>
            <w:fldChar w:fldCharType="separate"/>
          </w:r>
          <w:r>
            <w:rPr>
              <w:rFonts w:hint="eastAsia" w:ascii="黑体" w:hAnsi="黑体" w:eastAsia="黑体" w:cs="黑体"/>
              <w:szCs w:val="36"/>
              <w:highlight w:val="none"/>
            </w:rPr>
            <w:t>二、法定代表人身份证明</w:t>
          </w:r>
          <w:r>
            <w:tab/>
          </w:r>
          <w:r>
            <w:fldChar w:fldCharType="begin"/>
          </w:r>
          <w:r>
            <w:instrText xml:space="preserve"> PAGEREF _Toc30881 \h </w:instrText>
          </w:r>
          <w:r>
            <w:fldChar w:fldCharType="separate"/>
          </w:r>
          <w:r>
            <w:t>16</w:t>
          </w:r>
          <w:r>
            <w:fldChar w:fldCharType="end"/>
          </w:r>
          <w:r>
            <w:fldChar w:fldCharType="end"/>
          </w:r>
        </w:p>
        <w:p w14:paraId="613FF28C">
          <w:pPr>
            <w:pStyle w:val="21"/>
            <w:tabs>
              <w:tab w:val="right" w:leader="dot" w:pos="8879"/>
              <w:tab w:val="clear" w:pos="8296"/>
            </w:tabs>
          </w:pPr>
          <w:r>
            <w:fldChar w:fldCharType="begin"/>
          </w:r>
          <w:r>
            <w:instrText xml:space="preserve"> HYPERLINK \l _Toc27830 </w:instrText>
          </w:r>
          <w:r>
            <w:fldChar w:fldCharType="separate"/>
          </w:r>
          <w:r>
            <w:rPr>
              <w:rFonts w:hint="eastAsia" w:ascii="黑体" w:hAnsi="黑体" w:eastAsia="黑体" w:cs="黑体"/>
              <w:szCs w:val="36"/>
              <w:highlight w:val="none"/>
            </w:rPr>
            <w:t>二、授权委托书</w:t>
          </w:r>
          <w:r>
            <w:tab/>
          </w:r>
          <w:r>
            <w:fldChar w:fldCharType="begin"/>
          </w:r>
          <w:r>
            <w:instrText xml:space="preserve"> PAGEREF _Toc27830 \h </w:instrText>
          </w:r>
          <w:r>
            <w:fldChar w:fldCharType="separate"/>
          </w:r>
          <w:r>
            <w:t>17</w:t>
          </w:r>
          <w:r>
            <w:fldChar w:fldCharType="end"/>
          </w:r>
          <w:r>
            <w:fldChar w:fldCharType="end"/>
          </w:r>
        </w:p>
        <w:p w14:paraId="656B2666">
          <w:pPr>
            <w:pStyle w:val="21"/>
            <w:tabs>
              <w:tab w:val="right" w:leader="dot" w:pos="8879"/>
              <w:tab w:val="clear" w:pos="8296"/>
            </w:tabs>
          </w:pPr>
          <w:r>
            <w:fldChar w:fldCharType="begin"/>
          </w:r>
          <w:r>
            <w:instrText xml:space="preserve"> HYPERLINK \l _Toc825 </w:instrText>
          </w:r>
          <w:r>
            <w:fldChar w:fldCharType="separate"/>
          </w:r>
          <w:r>
            <w:rPr>
              <w:rFonts w:hint="eastAsia" w:ascii="黑体" w:hAnsi="黑体" w:eastAsia="黑体" w:cs="黑体"/>
              <w:szCs w:val="36"/>
              <w:highlight w:val="none"/>
              <w:lang w:eastAsia="zh-CN"/>
            </w:rPr>
            <w:t>三</w:t>
          </w:r>
          <w:r>
            <w:rPr>
              <w:rFonts w:hint="eastAsia" w:ascii="黑体" w:hAnsi="黑体" w:eastAsia="黑体" w:cs="黑体"/>
              <w:szCs w:val="36"/>
              <w:highlight w:val="none"/>
            </w:rPr>
            <w:t>、报价清单</w:t>
          </w:r>
          <w:r>
            <w:tab/>
          </w:r>
          <w:r>
            <w:fldChar w:fldCharType="begin"/>
          </w:r>
          <w:r>
            <w:instrText xml:space="preserve"> PAGEREF _Toc825 \h </w:instrText>
          </w:r>
          <w:r>
            <w:fldChar w:fldCharType="separate"/>
          </w:r>
          <w:r>
            <w:t>18</w:t>
          </w:r>
          <w:r>
            <w:fldChar w:fldCharType="end"/>
          </w:r>
          <w:r>
            <w:fldChar w:fldCharType="end"/>
          </w:r>
        </w:p>
        <w:p w14:paraId="5FB02CFF">
          <w:pPr>
            <w:pStyle w:val="21"/>
            <w:tabs>
              <w:tab w:val="right" w:leader="dot" w:pos="8879"/>
              <w:tab w:val="clear" w:pos="8296"/>
            </w:tabs>
          </w:pPr>
          <w:r>
            <w:fldChar w:fldCharType="begin"/>
          </w:r>
          <w:r>
            <w:instrText xml:space="preserve"> HYPERLINK \l _Toc6429 </w:instrText>
          </w:r>
          <w:r>
            <w:fldChar w:fldCharType="separate"/>
          </w:r>
          <w:r>
            <w:rPr>
              <w:rFonts w:hint="eastAsia" w:ascii="黑体" w:hAnsi="黑体" w:eastAsia="黑体" w:cs="黑体"/>
              <w:szCs w:val="36"/>
              <w:highlight w:val="none"/>
              <w:lang w:eastAsia="zh-CN"/>
            </w:rPr>
            <w:t>四</w:t>
          </w:r>
          <w:r>
            <w:rPr>
              <w:rFonts w:hint="eastAsia" w:ascii="黑体" w:hAnsi="黑体" w:eastAsia="黑体" w:cs="黑体"/>
              <w:szCs w:val="36"/>
              <w:highlight w:val="none"/>
            </w:rPr>
            <w:t>、资格审查资料</w:t>
          </w:r>
          <w:r>
            <w:tab/>
          </w:r>
          <w:r>
            <w:fldChar w:fldCharType="begin"/>
          </w:r>
          <w:r>
            <w:instrText xml:space="preserve"> PAGEREF _Toc6429 \h </w:instrText>
          </w:r>
          <w:r>
            <w:fldChar w:fldCharType="separate"/>
          </w:r>
          <w:r>
            <w:t>20</w:t>
          </w:r>
          <w:r>
            <w:fldChar w:fldCharType="end"/>
          </w:r>
          <w:r>
            <w:fldChar w:fldCharType="end"/>
          </w:r>
        </w:p>
        <w:p w14:paraId="0AA22E74">
          <w:pPr>
            <w:pStyle w:val="21"/>
            <w:tabs>
              <w:tab w:val="right" w:leader="dot" w:pos="8879"/>
              <w:tab w:val="clear" w:pos="8296"/>
            </w:tabs>
          </w:pPr>
          <w:r>
            <w:fldChar w:fldCharType="begin"/>
          </w:r>
          <w:r>
            <w:instrText xml:space="preserve"> HYPERLINK \l _Toc30230 </w:instrText>
          </w:r>
          <w:r>
            <w:fldChar w:fldCharType="separate"/>
          </w:r>
          <w:r>
            <w:rPr>
              <w:rFonts w:hint="eastAsia" w:ascii="黑体" w:hAnsi="黑体" w:eastAsia="黑体" w:cs="黑体"/>
              <w:szCs w:val="36"/>
              <w:highlight w:val="none"/>
              <w:lang w:eastAsia="zh-CN"/>
            </w:rPr>
            <w:t>五</w:t>
          </w:r>
          <w:r>
            <w:rPr>
              <w:rFonts w:hint="eastAsia" w:ascii="黑体" w:hAnsi="黑体" w:eastAsia="黑体" w:cs="黑体"/>
              <w:szCs w:val="36"/>
              <w:highlight w:val="none"/>
            </w:rPr>
            <w:t>、</w:t>
          </w:r>
          <w:r>
            <w:rPr>
              <w:rFonts w:hint="eastAsia" w:ascii="黑体" w:hAnsi="黑体" w:eastAsia="黑体" w:cs="黑体"/>
              <w:szCs w:val="36"/>
              <w:highlight w:val="none"/>
              <w:lang w:eastAsia="zh-CN"/>
            </w:rPr>
            <w:t>评价</w:t>
          </w:r>
          <w:r>
            <w:rPr>
              <w:rFonts w:hint="eastAsia" w:ascii="黑体" w:hAnsi="黑体" w:eastAsia="黑体" w:cs="黑体"/>
              <w:szCs w:val="36"/>
              <w:highlight w:val="none"/>
            </w:rPr>
            <w:t>方案</w:t>
          </w:r>
          <w:r>
            <w:tab/>
          </w:r>
          <w:r>
            <w:fldChar w:fldCharType="begin"/>
          </w:r>
          <w:r>
            <w:instrText xml:space="preserve"> PAGEREF _Toc30230 \h </w:instrText>
          </w:r>
          <w:r>
            <w:fldChar w:fldCharType="separate"/>
          </w:r>
          <w:r>
            <w:t>25</w:t>
          </w:r>
          <w:r>
            <w:fldChar w:fldCharType="end"/>
          </w:r>
          <w:r>
            <w:fldChar w:fldCharType="end"/>
          </w:r>
        </w:p>
        <w:p w14:paraId="01638FCF">
          <w:pPr>
            <w:pStyle w:val="21"/>
            <w:tabs>
              <w:tab w:val="right" w:leader="dot" w:pos="8879"/>
              <w:tab w:val="clear" w:pos="8296"/>
            </w:tabs>
          </w:pPr>
          <w:r>
            <w:fldChar w:fldCharType="begin"/>
          </w:r>
          <w:r>
            <w:instrText xml:space="preserve"> HYPERLINK \l _Toc17002 </w:instrText>
          </w:r>
          <w:r>
            <w:fldChar w:fldCharType="separate"/>
          </w:r>
          <w:r>
            <w:rPr>
              <w:rFonts w:hint="eastAsia" w:ascii="黑体" w:hAnsi="黑体" w:eastAsia="黑体" w:cs="黑体"/>
              <w:szCs w:val="36"/>
              <w:highlight w:val="none"/>
              <w:lang w:eastAsia="zh-CN"/>
            </w:rPr>
            <w:t>六</w:t>
          </w:r>
          <w:r>
            <w:rPr>
              <w:rFonts w:hint="eastAsia" w:ascii="黑体" w:hAnsi="黑体" w:eastAsia="黑体" w:cs="黑体"/>
              <w:szCs w:val="36"/>
              <w:highlight w:val="none"/>
            </w:rPr>
            <w:t>、</w:t>
          </w:r>
          <w:r>
            <w:rPr>
              <w:rFonts w:hint="eastAsia" w:ascii="黑体" w:hAnsi="黑体" w:eastAsia="黑体" w:cs="黑体"/>
              <w:szCs w:val="36"/>
              <w:highlight w:val="none"/>
              <w:lang w:eastAsia="zh-CN"/>
            </w:rPr>
            <w:t>质保期服务计划</w:t>
          </w:r>
          <w:r>
            <w:tab/>
          </w:r>
          <w:r>
            <w:fldChar w:fldCharType="begin"/>
          </w:r>
          <w:r>
            <w:instrText xml:space="preserve"> PAGEREF _Toc17002 \h </w:instrText>
          </w:r>
          <w:r>
            <w:fldChar w:fldCharType="separate"/>
          </w:r>
          <w:r>
            <w:t>26</w:t>
          </w:r>
          <w:r>
            <w:fldChar w:fldCharType="end"/>
          </w:r>
          <w:r>
            <w:fldChar w:fldCharType="end"/>
          </w:r>
        </w:p>
        <w:p w14:paraId="47FF473D">
          <w:pPr>
            <w:pStyle w:val="21"/>
            <w:tabs>
              <w:tab w:val="right" w:leader="dot" w:pos="8879"/>
              <w:tab w:val="clear" w:pos="8296"/>
            </w:tabs>
          </w:pPr>
          <w:r>
            <w:fldChar w:fldCharType="begin"/>
          </w:r>
          <w:r>
            <w:instrText xml:space="preserve"> HYPERLINK \l _Toc13860 </w:instrText>
          </w:r>
          <w:r>
            <w:fldChar w:fldCharType="separate"/>
          </w:r>
          <w:r>
            <w:rPr>
              <w:rFonts w:hint="eastAsia" w:ascii="黑体" w:hAnsi="黑体" w:eastAsia="黑体" w:cs="黑体"/>
              <w:szCs w:val="36"/>
              <w:highlight w:val="none"/>
              <w:lang w:eastAsia="zh-CN"/>
            </w:rPr>
            <w:t>七</w:t>
          </w:r>
          <w:r>
            <w:rPr>
              <w:rFonts w:hint="eastAsia" w:ascii="黑体" w:hAnsi="黑体" w:eastAsia="黑体" w:cs="黑体"/>
              <w:szCs w:val="36"/>
              <w:highlight w:val="none"/>
            </w:rPr>
            <w:t>、其他资料</w:t>
          </w:r>
          <w:r>
            <w:tab/>
          </w:r>
          <w:r>
            <w:fldChar w:fldCharType="begin"/>
          </w:r>
          <w:r>
            <w:instrText xml:space="preserve"> PAGEREF _Toc13860 \h </w:instrText>
          </w:r>
          <w:r>
            <w:fldChar w:fldCharType="separate"/>
          </w:r>
          <w:r>
            <w:t>27</w:t>
          </w:r>
          <w:r>
            <w:fldChar w:fldCharType="end"/>
          </w:r>
          <w:r>
            <w:fldChar w:fldCharType="end"/>
          </w:r>
        </w:p>
        <w:p w14:paraId="44920087">
          <w:pPr>
            <w:pStyle w:val="19"/>
            <w:tabs>
              <w:tab w:val="right" w:leader="dot" w:pos="8879"/>
            </w:tabs>
          </w:pPr>
          <w:r>
            <w:fldChar w:fldCharType="begin"/>
          </w:r>
          <w:r>
            <w:instrText xml:space="preserve"> HYPERLINK \l _Toc2434 </w:instrText>
          </w:r>
          <w:r>
            <w:fldChar w:fldCharType="separate"/>
          </w:r>
          <w:r>
            <w:rPr>
              <w:rFonts w:hint="eastAsia"/>
              <w:highlight w:val="none"/>
            </w:rPr>
            <w:t>第六章 合同条款</w:t>
          </w:r>
          <w:r>
            <w:tab/>
          </w:r>
          <w:r>
            <w:fldChar w:fldCharType="begin"/>
          </w:r>
          <w:r>
            <w:instrText xml:space="preserve"> PAGEREF _Toc2434 \h </w:instrText>
          </w:r>
          <w:r>
            <w:fldChar w:fldCharType="separate"/>
          </w:r>
          <w:r>
            <w:t>28</w:t>
          </w:r>
          <w:r>
            <w:fldChar w:fldCharType="end"/>
          </w:r>
          <w:r>
            <w:fldChar w:fldCharType="end"/>
          </w:r>
        </w:p>
        <w:p w14:paraId="206828CC">
          <w:pPr>
            <w:pStyle w:val="21"/>
            <w:tabs>
              <w:tab w:val="right" w:leader="dot" w:pos="8879"/>
              <w:tab w:val="clear" w:pos="8296"/>
            </w:tabs>
          </w:pPr>
          <w:r>
            <w:fldChar w:fldCharType="begin"/>
          </w:r>
          <w:r>
            <w:instrText xml:space="preserve"> HYPERLINK \l _Toc6579 </w:instrText>
          </w:r>
          <w:r>
            <w:fldChar w:fldCharType="separate"/>
          </w:r>
          <w:r>
            <w:rPr>
              <w:rFonts w:hint="eastAsia" w:ascii="黑体" w:hAnsi="宋体" w:eastAsia="黑体"/>
              <w:szCs w:val="32"/>
            </w:rPr>
            <w:t>合同协议书</w:t>
          </w:r>
          <w:r>
            <w:tab/>
          </w:r>
          <w:r>
            <w:fldChar w:fldCharType="begin"/>
          </w:r>
          <w:r>
            <w:instrText xml:space="preserve"> PAGEREF _Toc6579 \h </w:instrText>
          </w:r>
          <w:r>
            <w:fldChar w:fldCharType="separate"/>
          </w:r>
          <w:r>
            <w:t>29</w:t>
          </w:r>
          <w:r>
            <w:fldChar w:fldCharType="end"/>
          </w:r>
          <w:r>
            <w:fldChar w:fldCharType="end"/>
          </w:r>
        </w:p>
        <w:p w14:paraId="00AAC970">
          <w:pPr>
            <w:pStyle w:val="21"/>
            <w:tabs>
              <w:tab w:val="right" w:leader="dot" w:pos="8879"/>
              <w:tab w:val="clear" w:pos="8296"/>
            </w:tabs>
          </w:pPr>
          <w:r>
            <w:fldChar w:fldCharType="begin"/>
          </w:r>
          <w:r>
            <w:instrText xml:space="preserve"> HYPERLINK \l _Toc18546 </w:instrText>
          </w:r>
          <w:r>
            <w:fldChar w:fldCharType="separate"/>
          </w:r>
          <w:r>
            <w:rPr>
              <w:rFonts w:hint="eastAsia" w:ascii="宋体" w:hAnsi="宋体" w:eastAsia="宋体" w:cs="宋体"/>
              <w:szCs w:val="24"/>
              <w:lang w:eastAsia="zh-CN"/>
            </w:rPr>
            <w:t>附件</w:t>
          </w:r>
          <w:r>
            <w:rPr>
              <w:rFonts w:hint="eastAsia" w:ascii="宋体" w:hAnsi="宋体" w:eastAsia="宋体" w:cs="宋体"/>
              <w:szCs w:val="24"/>
              <w:lang w:val="en-US" w:eastAsia="zh-CN"/>
            </w:rPr>
            <w:t xml:space="preserve"> </w:t>
          </w:r>
          <w:r>
            <w:rPr>
              <w:rFonts w:hint="eastAsia" w:ascii="宋体" w:hAnsi="宋体" w:eastAsia="宋体" w:cs="宋体"/>
              <w:szCs w:val="24"/>
            </w:rPr>
            <w:t>廉政合同</w:t>
          </w:r>
          <w:r>
            <w:tab/>
          </w:r>
          <w:r>
            <w:fldChar w:fldCharType="begin"/>
          </w:r>
          <w:r>
            <w:instrText xml:space="preserve"> PAGEREF _Toc18546 \h </w:instrText>
          </w:r>
          <w:r>
            <w:fldChar w:fldCharType="separate"/>
          </w:r>
          <w:r>
            <w:t>38</w:t>
          </w:r>
          <w:r>
            <w:fldChar w:fldCharType="end"/>
          </w:r>
          <w:r>
            <w:fldChar w:fldCharType="end"/>
          </w:r>
        </w:p>
        <w:p w14:paraId="02FD6BB1">
          <w:pPr>
            <w:spacing w:line="400" w:lineRule="exact"/>
            <w:rPr>
              <w:rFonts w:ascii="宋体" w:hAnsi="宋体"/>
              <w:color w:val="auto"/>
              <w:szCs w:val="32"/>
              <w:highlight w:val="none"/>
            </w:rPr>
          </w:pPr>
          <w:r>
            <w:fldChar w:fldCharType="end"/>
          </w:r>
        </w:p>
      </w:sdtContent>
    </w:sdt>
    <w:p w14:paraId="138E17D0">
      <w:pPr>
        <w:spacing w:line="400" w:lineRule="exact"/>
        <w:rPr>
          <w:rFonts w:ascii="宋体" w:hAnsi="宋体"/>
          <w:color w:val="auto"/>
          <w:szCs w:val="32"/>
          <w:highlight w:val="none"/>
        </w:rPr>
      </w:pPr>
      <w:bookmarkStart w:id="381" w:name="_GoBack"/>
      <w:bookmarkEnd w:id="381"/>
    </w:p>
    <w:p w14:paraId="7407658C">
      <w:pPr>
        <w:spacing w:line="400" w:lineRule="exact"/>
        <w:rPr>
          <w:rFonts w:ascii="宋体" w:hAnsi="宋体"/>
          <w:b/>
          <w:color w:val="auto"/>
          <w:sz w:val="32"/>
          <w:szCs w:val="32"/>
          <w:highlight w:val="none"/>
        </w:rPr>
      </w:pPr>
    </w:p>
    <w:p w14:paraId="5FD8F8D7">
      <w:pPr>
        <w:spacing w:line="400" w:lineRule="exact"/>
        <w:rPr>
          <w:rFonts w:ascii="宋体" w:hAnsi="宋体"/>
          <w:b/>
          <w:color w:val="auto"/>
          <w:sz w:val="32"/>
          <w:szCs w:val="32"/>
          <w:highlight w:val="none"/>
        </w:rPr>
        <w:sectPr>
          <w:headerReference r:id="rId4" w:type="first"/>
          <w:footerReference r:id="rId6" w:type="first"/>
          <w:headerReference r:id="rId3" w:type="default"/>
          <w:footerReference r:id="rId5" w:type="default"/>
          <w:pgSz w:w="11906" w:h="16838"/>
          <w:pgMar w:top="1440" w:right="1440" w:bottom="1440" w:left="1587" w:header="851" w:footer="992" w:gutter="0"/>
          <w:pgNumType w:start="0"/>
          <w:cols w:space="720" w:num="1"/>
          <w:titlePg/>
          <w:docGrid w:type="lines" w:linePitch="312" w:charSpace="0"/>
        </w:sectPr>
      </w:pPr>
    </w:p>
    <w:p w14:paraId="7EE74ED9">
      <w:pPr>
        <w:pStyle w:val="2"/>
        <w:spacing w:before="0" w:after="0" w:line="360" w:lineRule="auto"/>
        <w:jc w:val="center"/>
        <w:rPr>
          <w:color w:val="auto"/>
          <w:sz w:val="28"/>
          <w:szCs w:val="28"/>
          <w:highlight w:val="none"/>
        </w:rPr>
      </w:pPr>
      <w:bookmarkStart w:id="1" w:name="_Toc27769"/>
      <w:bookmarkStart w:id="2" w:name="_Toc25608"/>
      <w:bookmarkStart w:id="3" w:name="_Toc27074"/>
      <w:bookmarkStart w:id="4" w:name="_Toc21847"/>
      <w:bookmarkStart w:id="5" w:name="_Toc20493"/>
      <w:bookmarkStart w:id="6" w:name="_Toc31196"/>
      <w:bookmarkStart w:id="7" w:name="_Toc8362"/>
      <w:bookmarkStart w:id="8" w:name="_Toc24940"/>
      <w:bookmarkStart w:id="9" w:name="_Toc29222"/>
      <w:bookmarkStart w:id="10" w:name="_Toc4332"/>
      <w:bookmarkStart w:id="11" w:name="_Toc6645"/>
      <w:bookmarkStart w:id="12" w:name="_Toc12098"/>
      <w:bookmarkStart w:id="13" w:name="_Toc22753"/>
      <w:bookmarkStart w:id="14" w:name="_Toc31467"/>
      <w:bookmarkStart w:id="15" w:name="_Toc21624"/>
      <w:bookmarkStart w:id="16" w:name="_Toc29459"/>
      <w:bookmarkStart w:id="17" w:name="_Toc31410"/>
      <w:r>
        <w:rPr>
          <w:rFonts w:hint="eastAsia"/>
          <w:color w:val="auto"/>
          <w:sz w:val="28"/>
          <w:szCs w:val="28"/>
          <w:highlight w:val="none"/>
        </w:rPr>
        <w:t>第一章 采购</w:t>
      </w:r>
      <w:bookmarkEnd w:id="1"/>
      <w:bookmarkEnd w:id="2"/>
      <w:bookmarkEnd w:id="3"/>
      <w:r>
        <w:rPr>
          <w:rFonts w:hint="eastAsia"/>
          <w:color w:val="auto"/>
          <w:sz w:val="28"/>
          <w:szCs w:val="28"/>
          <w:highlight w:val="none"/>
        </w:rPr>
        <w:t>公告</w:t>
      </w:r>
      <w:bookmarkEnd w:id="4"/>
      <w:bookmarkEnd w:id="5"/>
      <w:bookmarkEnd w:id="6"/>
      <w:bookmarkEnd w:id="7"/>
      <w:bookmarkEnd w:id="8"/>
      <w:bookmarkEnd w:id="9"/>
      <w:bookmarkEnd w:id="10"/>
      <w:bookmarkEnd w:id="11"/>
      <w:bookmarkEnd w:id="12"/>
      <w:bookmarkEnd w:id="13"/>
      <w:bookmarkEnd w:id="14"/>
      <w:bookmarkEnd w:id="15"/>
      <w:bookmarkEnd w:id="16"/>
      <w:bookmarkEnd w:id="17"/>
    </w:p>
    <w:p w14:paraId="5C7C3E83">
      <w:pPr>
        <w:spacing w:line="360" w:lineRule="auto"/>
        <w:ind w:firstLine="482" w:firstLineChars="200"/>
        <w:rPr>
          <w:rFonts w:ascii="黑体" w:hAnsi="黑体" w:eastAsia="黑体"/>
          <w:b/>
          <w:color w:val="auto"/>
          <w:sz w:val="24"/>
          <w:highlight w:val="none"/>
        </w:rPr>
      </w:pPr>
      <w:bookmarkStart w:id="18" w:name="_Toc35393798"/>
      <w:bookmarkStart w:id="19" w:name="_Toc71365905"/>
      <w:bookmarkStart w:id="20" w:name="_Toc28359089"/>
      <w:bookmarkStart w:id="21" w:name="_Hlk37430271"/>
      <w:bookmarkStart w:id="22" w:name="_Toc35393629"/>
      <w:bookmarkStart w:id="23" w:name="_Toc44229878"/>
      <w:bookmarkStart w:id="24" w:name="_Toc28359012"/>
    </w:p>
    <w:bookmarkEnd w:id="18"/>
    <w:bookmarkEnd w:id="19"/>
    <w:bookmarkEnd w:id="20"/>
    <w:bookmarkEnd w:id="21"/>
    <w:bookmarkEnd w:id="22"/>
    <w:bookmarkEnd w:id="23"/>
    <w:bookmarkEnd w:id="24"/>
    <w:p w14:paraId="6BC8BEB5">
      <w:pPr>
        <w:spacing w:line="360" w:lineRule="auto"/>
        <w:ind w:firstLine="422" w:firstLineChars="200"/>
        <w:rPr>
          <w:rFonts w:ascii="黑体" w:hAnsi="黑体" w:eastAsia="黑体"/>
          <w:b/>
          <w:color w:val="auto"/>
          <w:sz w:val="21"/>
          <w:szCs w:val="21"/>
          <w:highlight w:val="none"/>
        </w:rPr>
      </w:pPr>
      <w:r>
        <w:rPr>
          <w:rFonts w:hint="eastAsia" w:ascii="黑体" w:hAnsi="黑体" w:eastAsia="黑体"/>
          <w:b/>
          <w:color w:val="auto"/>
          <w:sz w:val="21"/>
          <w:szCs w:val="21"/>
          <w:highlight w:val="none"/>
        </w:rPr>
        <w:t>一、项目基本情况</w:t>
      </w:r>
    </w:p>
    <w:p w14:paraId="6DA939BB">
      <w:pPr>
        <w:spacing w:line="360" w:lineRule="auto"/>
        <w:ind w:firstLine="420" w:firstLineChars="200"/>
        <w:rPr>
          <w:rFonts w:ascii="宋体" w:hAnsi="宋体" w:cs="宋体"/>
          <w:bCs/>
          <w:color w:val="auto"/>
          <w:sz w:val="21"/>
          <w:szCs w:val="21"/>
          <w:highlight w:val="none"/>
        </w:rPr>
      </w:pPr>
      <w:r>
        <w:rPr>
          <w:rFonts w:hint="eastAsia" w:ascii="宋体" w:hAnsi="宋体" w:cs="宋体"/>
          <w:bCs/>
          <w:color w:val="auto"/>
          <w:sz w:val="21"/>
          <w:szCs w:val="21"/>
          <w:highlight w:val="none"/>
        </w:rPr>
        <w:t>1.采购项目名称：红水河（曹渡河口至桥巩）三级航道</w:t>
      </w:r>
      <w:r>
        <w:rPr>
          <w:rFonts w:hint="eastAsia" w:ascii="宋体" w:hAnsi="宋体" w:cs="宋体"/>
          <w:bCs/>
          <w:color w:val="auto"/>
          <w:sz w:val="21"/>
          <w:szCs w:val="21"/>
          <w:highlight w:val="none"/>
          <w:lang w:eastAsia="zh-CN"/>
        </w:rPr>
        <w:t>工程对广西忻城乐滩国家湿地公园生态影响评价服务</w:t>
      </w:r>
    </w:p>
    <w:p w14:paraId="4DC36C8C">
      <w:pPr>
        <w:spacing w:line="360" w:lineRule="auto"/>
        <w:ind w:firstLine="420" w:firstLineChars="200"/>
        <w:rPr>
          <w:rFonts w:hint="eastAsia" w:ascii="宋体" w:hAnsi="宋体" w:eastAsia="宋体" w:cs="宋体"/>
          <w:bCs/>
          <w:color w:val="auto"/>
          <w:sz w:val="21"/>
          <w:szCs w:val="21"/>
          <w:highlight w:val="none"/>
          <w:lang w:eastAsia="zh-CN"/>
        </w:rPr>
      </w:pPr>
      <w:r>
        <w:rPr>
          <w:rFonts w:hint="eastAsia" w:ascii="宋体" w:hAnsi="宋体" w:cs="宋体"/>
          <w:bCs/>
          <w:color w:val="auto"/>
          <w:sz w:val="21"/>
          <w:szCs w:val="21"/>
          <w:highlight w:val="none"/>
        </w:rPr>
        <w:t>2.项目地点：</w:t>
      </w:r>
      <w:r>
        <w:rPr>
          <w:rFonts w:hint="eastAsia" w:ascii="宋体" w:hAnsi="宋体" w:cs="宋体"/>
          <w:bCs/>
          <w:color w:val="auto"/>
          <w:sz w:val="21"/>
          <w:szCs w:val="21"/>
          <w:highlight w:val="none"/>
          <w:lang w:eastAsia="zh-CN"/>
        </w:rPr>
        <w:t>红水河（曹渡河口至桥巩）河段</w:t>
      </w:r>
    </w:p>
    <w:p w14:paraId="133F3696">
      <w:pPr>
        <w:spacing w:line="360" w:lineRule="auto"/>
        <w:ind w:firstLine="420" w:firstLineChars="200"/>
        <w:rPr>
          <w:rFonts w:ascii="宋体" w:hAnsi="宋体" w:cs="宋体"/>
          <w:bCs/>
          <w:color w:val="auto"/>
          <w:sz w:val="21"/>
          <w:szCs w:val="21"/>
          <w:highlight w:val="none"/>
        </w:rPr>
      </w:pPr>
      <w:r>
        <w:rPr>
          <w:rFonts w:hint="eastAsia" w:ascii="宋体" w:hAnsi="宋体" w:cs="宋体"/>
          <w:bCs/>
          <w:color w:val="auto"/>
          <w:sz w:val="21"/>
          <w:szCs w:val="21"/>
          <w:highlight w:val="none"/>
        </w:rPr>
        <w:t>3.项目概况：</w:t>
      </w:r>
      <w:bookmarkStart w:id="25" w:name="OLE_LINK5"/>
    </w:p>
    <w:bookmarkEnd w:id="25"/>
    <w:p w14:paraId="69A8EEBC">
      <w:pPr>
        <w:spacing w:line="360" w:lineRule="auto"/>
        <w:ind w:firstLine="420" w:firstLineChars="200"/>
        <w:jc w:val="left"/>
        <w:rPr>
          <w:rFonts w:hint="eastAsia" w:ascii="宋体" w:hAnsi="宋体" w:cs="宋体"/>
          <w:bCs/>
          <w:color w:val="auto"/>
          <w:sz w:val="21"/>
          <w:szCs w:val="21"/>
          <w:highlight w:val="none"/>
        </w:rPr>
      </w:pPr>
      <w:r>
        <w:rPr>
          <w:rFonts w:hint="eastAsia" w:ascii="宋体" w:hAnsi="宋体" w:cs="宋体"/>
          <w:bCs/>
          <w:color w:val="auto"/>
          <w:szCs w:val="21"/>
          <w:highlight w:val="none"/>
        </w:rPr>
        <w:t>开展广西忻城乐滩国家湿地公园生物多样性现状调查、分析红水河（曹渡河口至桥巩）三级航道</w:t>
      </w:r>
      <w:r>
        <w:rPr>
          <w:rFonts w:hint="eastAsia" w:ascii="宋体" w:hAnsi="宋体" w:cs="宋体"/>
          <w:bCs/>
          <w:color w:val="auto"/>
          <w:szCs w:val="21"/>
          <w:highlight w:val="none"/>
          <w:lang w:eastAsia="zh-CN"/>
        </w:rPr>
        <w:t>工程</w:t>
      </w:r>
      <w:r>
        <w:rPr>
          <w:rFonts w:hint="eastAsia" w:ascii="宋体" w:hAnsi="宋体" w:cs="宋体"/>
          <w:bCs/>
          <w:color w:val="auto"/>
          <w:szCs w:val="21"/>
          <w:highlight w:val="none"/>
        </w:rPr>
        <w:t>对湿地公园的影响预测、提出减缓影响的措施等，编制《红水河（曹渡河口至桥巩）三级航道工程对广西忻城乐滩国家湿地公园生态影响评价报告》</w:t>
      </w:r>
    </w:p>
    <w:p w14:paraId="1A2D988C">
      <w:pPr>
        <w:spacing w:line="360" w:lineRule="auto"/>
        <w:ind w:firstLine="420" w:firstLineChars="200"/>
        <w:jc w:val="left"/>
        <w:rPr>
          <w:rFonts w:ascii="仿宋_GB2312" w:hAnsi="仿宋" w:eastAsia="仿宋_GB2312" w:cs="宋体"/>
          <w:bCs/>
          <w:color w:val="auto"/>
          <w:kern w:val="0"/>
          <w:sz w:val="21"/>
          <w:szCs w:val="21"/>
          <w:highlight w:val="none"/>
        </w:rPr>
      </w:pPr>
      <w:r>
        <w:rPr>
          <w:rFonts w:hint="eastAsia" w:ascii="宋体" w:hAnsi="宋体" w:cs="宋体"/>
          <w:bCs/>
          <w:color w:val="auto"/>
          <w:sz w:val="21"/>
          <w:szCs w:val="21"/>
          <w:highlight w:val="none"/>
        </w:rPr>
        <w:t>4.采购最高限价：</w:t>
      </w:r>
      <w:r>
        <w:rPr>
          <w:rFonts w:hint="eastAsia" w:ascii="宋体" w:hAnsi="宋体" w:cs="宋体"/>
          <w:bCs/>
          <w:color w:val="auto"/>
          <w:sz w:val="21"/>
          <w:szCs w:val="21"/>
          <w:highlight w:val="none"/>
          <w:lang w:val="en-US" w:eastAsia="zh-CN"/>
        </w:rPr>
        <w:t>35</w:t>
      </w:r>
      <w:r>
        <w:rPr>
          <w:rFonts w:hint="eastAsia" w:ascii="宋体" w:hAnsi="宋体" w:cs="宋体"/>
          <w:bCs/>
          <w:color w:val="auto"/>
          <w:sz w:val="21"/>
          <w:szCs w:val="21"/>
          <w:highlight w:val="none"/>
        </w:rPr>
        <w:t>万元，报价超过</w:t>
      </w:r>
      <w:r>
        <w:rPr>
          <w:rFonts w:hint="eastAsia" w:ascii="宋体" w:hAnsi="宋体" w:cs="宋体"/>
          <w:bCs/>
          <w:color w:val="auto"/>
          <w:sz w:val="21"/>
          <w:szCs w:val="21"/>
          <w:highlight w:val="none"/>
          <w:lang w:eastAsia="zh-CN"/>
        </w:rPr>
        <w:t>最高限价</w:t>
      </w:r>
      <w:r>
        <w:rPr>
          <w:rFonts w:hint="eastAsia" w:ascii="宋体" w:hAnsi="宋体" w:cs="宋体"/>
          <w:bCs/>
          <w:color w:val="auto"/>
          <w:sz w:val="21"/>
          <w:szCs w:val="21"/>
          <w:highlight w:val="none"/>
        </w:rPr>
        <w:t>的响应文件为无效。</w:t>
      </w:r>
    </w:p>
    <w:p w14:paraId="35694049">
      <w:pPr>
        <w:spacing w:line="360" w:lineRule="auto"/>
        <w:ind w:firstLine="420" w:firstLineChars="200"/>
        <w:rPr>
          <w:rFonts w:ascii="宋体" w:hAnsi="宋体" w:cs="宋体"/>
          <w:bCs/>
          <w:color w:val="auto"/>
          <w:sz w:val="21"/>
          <w:szCs w:val="21"/>
          <w:highlight w:val="none"/>
        </w:rPr>
      </w:pPr>
      <w:r>
        <w:rPr>
          <w:rFonts w:hint="eastAsia" w:ascii="宋体" w:hAnsi="宋体" w:cs="宋体"/>
          <w:bCs/>
          <w:color w:val="auto"/>
          <w:sz w:val="21"/>
          <w:szCs w:val="21"/>
          <w:highlight w:val="none"/>
          <w:lang w:val="en-US" w:eastAsia="zh-CN"/>
        </w:rPr>
        <w:t>5</w:t>
      </w:r>
      <w:r>
        <w:rPr>
          <w:rFonts w:hint="eastAsia" w:ascii="宋体" w:hAnsi="宋体" w:cs="宋体"/>
          <w:bCs/>
          <w:color w:val="auto"/>
          <w:sz w:val="21"/>
          <w:szCs w:val="21"/>
          <w:highlight w:val="none"/>
        </w:rPr>
        <w:t>.采购方式：自行采购。</w:t>
      </w:r>
    </w:p>
    <w:p w14:paraId="5BC2BAB2">
      <w:pPr>
        <w:spacing w:line="360" w:lineRule="auto"/>
        <w:ind w:firstLine="420" w:firstLineChars="200"/>
        <w:rPr>
          <w:rFonts w:ascii="宋体" w:hAnsi="宋体" w:cs="宋体"/>
          <w:bCs/>
          <w:color w:val="auto"/>
          <w:sz w:val="21"/>
          <w:szCs w:val="21"/>
          <w:highlight w:val="none"/>
        </w:rPr>
      </w:pPr>
      <w:r>
        <w:rPr>
          <w:rFonts w:hint="eastAsia" w:ascii="宋体" w:hAnsi="宋体" w:cs="宋体"/>
          <w:bCs/>
          <w:color w:val="auto"/>
          <w:sz w:val="21"/>
          <w:szCs w:val="21"/>
          <w:highlight w:val="none"/>
          <w:lang w:val="en-US" w:eastAsia="zh-CN"/>
        </w:rPr>
        <w:t>6</w:t>
      </w:r>
      <w:r>
        <w:rPr>
          <w:rFonts w:hint="eastAsia" w:ascii="宋体" w:hAnsi="宋体" w:cs="宋体"/>
          <w:bCs/>
          <w:color w:val="auto"/>
          <w:sz w:val="21"/>
          <w:szCs w:val="21"/>
          <w:highlight w:val="none"/>
        </w:rPr>
        <w:t xml:space="preserve">.采购需求： </w:t>
      </w:r>
    </w:p>
    <w:tbl>
      <w:tblPr>
        <w:tblStyle w:val="25"/>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57" w:type="dxa"/>
          <w:left w:w="108" w:type="dxa"/>
          <w:bottom w:w="57" w:type="dxa"/>
          <w:right w:w="108" w:type="dxa"/>
        </w:tblCellMar>
      </w:tblPr>
      <w:tblGrid>
        <w:gridCol w:w="776"/>
        <w:gridCol w:w="1746"/>
        <w:gridCol w:w="849"/>
        <w:gridCol w:w="5384"/>
      </w:tblGrid>
      <w:tr w14:paraId="4A0E0A2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57" w:type="dxa"/>
            <w:left w:w="108" w:type="dxa"/>
            <w:bottom w:w="57" w:type="dxa"/>
            <w:right w:w="108" w:type="dxa"/>
          </w:tblCellMar>
        </w:tblPrEx>
        <w:trPr>
          <w:cantSplit/>
          <w:jc w:val="center"/>
        </w:trPr>
        <w:tc>
          <w:tcPr>
            <w:tcW w:w="776" w:type="dxa"/>
            <w:tcBorders>
              <w:top w:val="single" w:color="auto" w:sz="4" w:space="0"/>
              <w:left w:val="single" w:color="auto" w:sz="4" w:space="0"/>
              <w:bottom w:val="single" w:color="auto" w:sz="4" w:space="0"/>
              <w:right w:val="single" w:color="auto" w:sz="4" w:space="0"/>
            </w:tcBorders>
            <w:vAlign w:val="center"/>
          </w:tcPr>
          <w:p w14:paraId="787FAD46">
            <w:pPr>
              <w:adjustRightInd w:val="0"/>
              <w:snapToGrid w:val="0"/>
              <w:jc w:val="center"/>
              <w:rPr>
                <w:rFonts w:ascii="宋体" w:hAnsi="宋体"/>
                <w:color w:val="auto"/>
                <w:sz w:val="21"/>
                <w:szCs w:val="21"/>
                <w:highlight w:val="none"/>
              </w:rPr>
            </w:pPr>
            <w:r>
              <w:rPr>
                <w:rFonts w:hint="eastAsia" w:ascii="宋体" w:hAnsi="宋体"/>
                <w:color w:val="auto"/>
                <w:sz w:val="21"/>
                <w:szCs w:val="21"/>
                <w:highlight w:val="none"/>
              </w:rPr>
              <w:t>序号</w:t>
            </w:r>
          </w:p>
        </w:tc>
        <w:tc>
          <w:tcPr>
            <w:tcW w:w="1746" w:type="dxa"/>
            <w:tcBorders>
              <w:top w:val="single" w:color="auto" w:sz="4" w:space="0"/>
              <w:left w:val="single" w:color="auto" w:sz="4" w:space="0"/>
              <w:bottom w:val="single" w:color="auto" w:sz="4" w:space="0"/>
              <w:right w:val="single" w:color="auto" w:sz="4" w:space="0"/>
            </w:tcBorders>
            <w:vAlign w:val="center"/>
          </w:tcPr>
          <w:p w14:paraId="7476B381">
            <w:pPr>
              <w:adjustRightInd w:val="0"/>
              <w:snapToGrid w:val="0"/>
              <w:jc w:val="center"/>
              <w:rPr>
                <w:rFonts w:ascii="宋体" w:hAnsi="宋体"/>
                <w:color w:val="auto"/>
                <w:sz w:val="21"/>
                <w:szCs w:val="21"/>
                <w:highlight w:val="none"/>
              </w:rPr>
            </w:pPr>
            <w:r>
              <w:rPr>
                <w:rFonts w:hint="eastAsia" w:ascii="宋体" w:hAnsi="宋体"/>
                <w:color w:val="auto"/>
                <w:sz w:val="21"/>
                <w:szCs w:val="21"/>
                <w:highlight w:val="none"/>
              </w:rPr>
              <w:t>标的名称</w:t>
            </w:r>
          </w:p>
        </w:tc>
        <w:tc>
          <w:tcPr>
            <w:tcW w:w="849" w:type="dxa"/>
            <w:tcBorders>
              <w:top w:val="single" w:color="auto" w:sz="4" w:space="0"/>
              <w:left w:val="single" w:color="auto" w:sz="4" w:space="0"/>
              <w:bottom w:val="single" w:color="auto" w:sz="4" w:space="0"/>
              <w:right w:val="single" w:color="auto" w:sz="4" w:space="0"/>
            </w:tcBorders>
            <w:vAlign w:val="center"/>
          </w:tcPr>
          <w:p w14:paraId="064C3ACF">
            <w:pPr>
              <w:adjustRightInd w:val="0"/>
              <w:snapToGrid w:val="0"/>
              <w:jc w:val="center"/>
              <w:rPr>
                <w:rFonts w:ascii="宋体" w:hAnsi="宋体"/>
                <w:color w:val="auto"/>
                <w:sz w:val="21"/>
                <w:szCs w:val="21"/>
                <w:highlight w:val="none"/>
              </w:rPr>
            </w:pPr>
            <w:r>
              <w:rPr>
                <w:rFonts w:hint="eastAsia" w:ascii="宋体" w:hAnsi="宋体"/>
                <w:color w:val="auto"/>
                <w:sz w:val="21"/>
                <w:szCs w:val="21"/>
                <w:highlight w:val="none"/>
              </w:rPr>
              <w:t>数量及</w:t>
            </w:r>
          </w:p>
          <w:p w14:paraId="2046C785">
            <w:pPr>
              <w:adjustRightInd w:val="0"/>
              <w:snapToGrid w:val="0"/>
              <w:jc w:val="center"/>
              <w:rPr>
                <w:rFonts w:ascii="宋体" w:hAnsi="宋体"/>
                <w:color w:val="auto"/>
                <w:sz w:val="21"/>
                <w:szCs w:val="21"/>
                <w:highlight w:val="none"/>
              </w:rPr>
            </w:pPr>
            <w:r>
              <w:rPr>
                <w:rFonts w:hint="eastAsia" w:ascii="宋体" w:hAnsi="宋体"/>
                <w:color w:val="auto"/>
                <w:sz w:val="21"/>
                <w:szCs w:val="21"/>
                <w:highlight w:val="none"/>
              </w:rPr>
              <w:t>单位</w:t>
            </w:r>
          </w:p>
        </w:tc>
        <w:tc>
          <w:tcPr>
            <w:tcW w:w="5384" w:type="dxa"/>
            <w:tcBorders>
              <w:top w:val="single" w:color="auto" w:sz="4" w:space="0"/>
              <w:left w:val="single" w:color="auto" w:sz="4" w:space="0"/>
              <w:bottom w:val="single" w:color="auto" w:sz="4" w:space="0"/>
              <w:right w:val="single" w:color="auto" w:sz="4" w:space="0"/>
            </w:tcBorders>
            <w:vAlign w:val="center"/>
          </w:tcPr>
          <w:p w14:paraId="054D5668">
            <w:pPr>
              <w:adjustRightInd w:val="0"/>
              <w:snapToGrid w:val="0"/>
              <w:jc w:val="center"/>
              <w:rPr>
                <w:rFonts w:ascii="宋体" w:hAnsi="宋体"/>
                <w:color w:val="auto"/>
                <w:sz w:val="21"/>
                <w:szCs w:val="21"/>
                <w:highlight w:val="none"/>
              </w:rPr>
            </w:pPr>
            <w:r>
              <w:rPr>
                <w:rFonts w:hint="eastAsia" w:ascii="宋体" w:hAnsi="宋体"/>
                <w:color w:val="auto"/>
                <w:sz w:val="21"/>
                <w:szCs w:val="21"/>
                <w:highlight w:val="none"/>
              </w:rPr>
              <w:t>简要服务要求或者技术需求</w:t>
            </w:r>
          </w:p>
        </w:tc>
      </w:tr>
      <w:tr w14:paraId="4EFA5E6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57" w:type="dxa"/>
            <w:left w:w="108" w:type="dxa"/>
            <w:bottom w:w="57" w:type="dxa"/>
            <w:right w:w="108" w:type="dxa"/>
          </w:tblCellMar>
        </w:tblPrEx>
        <w:trPr>
          <w:cantSplit/>
          <w:jc w:val="center"/>
        </w:trPr>
        <w:tc>
          <w:tcPr>
            <w:tcW w:w="776" w:type="dxa"/>
            <w:tcBorders>
              <w:top w:val="single" w:color="auto" w:sz="4" w:space="0"/>
              <w:left w:val="single" w:color="auto" w:sz="4" w:space="0"/>
              <w:bottom w:val="single" w:color="auto" w:sz="4" w:space="0"/>
              <w:right w:val="single" w:color="auto" w:sz="4" w:space="0"/>
            </w:tcBorders>
            <w:vAlign w:val="center"/>
          </w:tcPr>
          <w:p w14:paraId="0699683B">
            <w:pPr>
              <w:snapToGrid w:val="0"/>
              <w:spacing w:line="360" w:lineRule="auto"/>
              <w:jc w:val="center"/>
              <w:rPr>
                <w:rFonts w:ascii="宋体" w:hAnsi="宋体"/>
                <w:color w:val="auto"/>
                <w:sz w:val="21"/>
                <w:szCs w:val="21"/>
                <w:highlight w:val="none"/>
              </w:rPr>
            </w:pPr>
            <w:r>
              <w:rPr>
                <w:rFonts w:hint="eastAsia" w:ascii="宋体" w:hAnsi="宋体"/>
                <w:color w:val="auto"/>
                <w:sz w:val="21"/>
                <w:szCs w:val="21"/>
                <w:highlight w:val="none"/>
              </w:rPr>
              <w:t>1</w:t>
            </w:r>
          </w:p>
        </w:tc>
        <w:tc>
          <w:tcPr>
            <w:tcW w:w="1746" w:type="dxa"/>
            <w:tcBorders>
              <w:top w:val="single" w:color="auto" w:sz="4" w:space="0"/>
              <w:left w:val="single" w:color="auto" w:sz="4" w:space="0"/>
              <w:bottom w:val="single" w:color="auto" w:sz="4" w:space="0"/>
              <w:right w:val="single" w:color="auto" w:sz="4" w:space="0"/>
            </w:tcBorders>
            <w:vAlign w:val="center"/>
          </w:tcPr>
          <w:p w14:paraId="0843B70F">
            <w:pPr>
              <w:spacing w:line="360" w:lineRule="auto"/>
              <w:ind w:firstLine="420" w:firstLineChars="200"/>
              <w:rPr>
                <w:rFonts w:ascii="宋体" w:hAnsi="宋体"/>
                <w:color w:val="auto"/>
                <w:sz w:val="21"/>
                <w:szCs w:val="21"/>
                <w:highlight w:val="none"/>
              </w:rPr>
            </w:pPr>
            <w:r>
              <w:rPr>
                <w:rFonts w:hint="eastAsia" w:ascii="宋体" w:hAnsi="宋体" w:cs="宋体"/>
                <w:bCs/>
                <w:color w:val="auto"/>
                <w:sz w:val="21"/>
                <w:szCs w:val="21"/>
                <w:highlight w:val="none"/>
              </w:rPr>
              <w:t>红水河（曹渡河口至桥巩）三级航道</w:t>
            </w:r>
            <w:r>
              <w:rPr>
                <w:rFonts w:hint="eastAsia" w:ascii="宋体" w:hAnsi="宋体" w:cs="宋体"/>
                <w:bCs/>
                <w:color w:val="auto"/>
                <w:sz w:val="21"/>
                <w:szCs w:val="21"/>
                <w:highlight w:val="none"/>
                <w:lang w:eastAsia="zh-CN"/>
              </w:rPr>
              <w:t>工程对广西忻城乐滩国家湿地公园生态影响评价服务</w:t>
            </w:r>
          </w:p>
        </w:tc>
        <w:tc>
          <w:tcPr>
            <w:tcW w:w="849" w:type="dxa"/>
            <w:tcBorders>
              <w:top w:val="single" w:color="auto" w:sz="4" w:space="0"/>
              <w:left w:val="single" w:color="auto" w:sz="4" w:space="0"/>
              <w:bottom w:val="single" w:color="auto" w:sz="4" w:space="0"/>
              <w:right w:val="single" w:color="auto" w:sz="4" w:space="0"/>
            </w:tcBorders>
            <w:vAlign w:val="center"/>
          </w:tcPr>
          <w:p w14:paraId="66D2F492">
            <w:pPr>
              <w:keepNext/>
              <w:snapToGrid w:val="0"/>
              <w:spacing w:line="360" w:lineRule="auto"/>
              <w:jc w:val="center"/>
              <w:rPr>
                <w:rFonts w:ascii="宋体" w:hAnsi="宋体"/>
                <w:color w:val="auto"/>
                <w:sz w:val="21"/>
                <w:szCs w:val="21"/>
                <w:highlight w:val="none"/>
              </w:rPr>
            </w:pPr>
            <w:r>
              <w:rPr>
                <w:rFonts w:hint="eastAsia" w:ascii="宋体" w:hAnsi="宋体"/>
                <w:color w:val="auto"/>
                <w:sz w:val="21"/>
                <w:szCs w:val="21"/>
                <w:highlight w:val="none"/>
              </w:rPr>
              <w:t>1项</w:t>
            </w:r>
          </w:p>
        </w:tc>
        <w:tc>
          <w:tcPr>
            <w:tcW w:w="5384" w:type="dxa"/>
            <w:tcBorders>
              <w:top w:val="single" w:color="auto" w:sz="4" w:space="0"/>
              <w:left w:val="single" w:color="auto" w:sz="4" w:space="0"/>
              <w:bottom w:val="single" w:color="auto" w:sz="4" w:space="0"/>
              <w:right w:val="single" w:color="auto" w:sz="4" w:space="0"/>
            </w:tcBorders>
            <w:vAlign w:val="center"/>
          </w:tcPr>
          <w:p w14:paraId="314C0392">
            <w:pPr>
              <w:pStyle w:val="6"/>
              <w:ind w:firstLine="420" w:firstLineChars="200"/>
              <w:rPr>
                <w:rFonts w:hint="default" w:ascii="宋体" w:hAnsi="宋体" w:eastAsia="宋体"/>
                <w:b w:val="0"/>
                <w:bCs w:val="0"/>
                <w:color w:val="auto"/>
                <w:sz w:val="21"/>
                <w:szCs w:val="21"/>
                <w:highlight w:val="none"/>
                <w:lang w:val="en-US" w:eastAsia="zh-CN"/>
              </w:rPr>
            </w:pPr>
            <w:r>
              <w:rPr>
                <w:rFonts w:hint="eastAsia" w:ascii="宋体" w:hAnsi="宋体"/>
                <w:b w:val="0"/>
                <w:bCs w:val="0"/>
                <w:color w:val="auto"/>
                <w:sz w:val="21"/>
                <w:szCs w:val="21"/>
                <w:highlight w:val="none"/>
                <w:lang w:val="en-US" w:eastAsia="zh-CN"/>
              </w:rPr>
              <w:t>开展广西忻城乐滩国家湿地公园生物多样性现状调查、分析红水河（曹渡河口至桥巩）三级航道工程对湿地公园的影响预测、提出减缓影响的措施等，编制《红水河（曹渡河口至桥巩）三级航道工程对广西忻城乐滩国家湿地公园生态影响评价报告》。</w:t>
            </w:r>
          </w:p>
          <w:p w14:paraId="67B26BCF">
            <w:pPr>
              <w:pStyle w:val="6"/>
              <w:ind w:firstLine="420" w:firstLineChars="200"/>
              <w:rPr>
                <w:color w:val="auto"/>
                <w:sz w:val="21"/>
                <w:szCs w:val="21"/>
                <w:highlight w:val="none"/>
              </w:rPr>
            </w:pPr>
            <w:r>
              <w:rPr>
                <w:rFonts w:hint="eastAsia"/>
                <w:b w:val="0"/>
                <w:bCs w:val="0"/>
                <w:color w:val="auto"/>
                <w:sz w:val="21"/>
                <w:szCs w:val="21"/>
                <w:highlight w:val="none"/>
              </w:rPr>
              <w:t>详见</w:t>
            </w:r>
            <w:r>
              <w:rPr>
                <w:rFonts w:hint="eastAsia"/>
                <w:b w:val="0"/>
                <w:bCs w:val="0"/>
                <w:color w:val="auto"/>
                <w:sz w:val="21"/>
                <w:szCs w:val="21"/>
                <w:highlight w:val="none"/>
                <w:lang w:eastAsia="zh-CN"/>
              </w:rPr>
              <w:t>采购文件第三章</w:t>
            </w:r>
            <w:r>
              <w:rPr>
                <w:rFonts w:hint="eastAsia"/>
                <w:b w:val="0"/>
                <w:bCs w:val="0"/>
                <w:color w:val="auto"/>
                <w:sz w:val="21"/>
                <w:szCs w:val="21"/>
                <w:highlight w:val="none"/>
              </w:rPr>
              <w:t>采购需求</w:t>
            </w:r>
            <w:r>
              <w:rPr>
                <w:rFonts w:hint="eastAsia" w:ascii="宋体" w:hAnsi="宋体"/>
                <w:b w:val="0"/>
                <w:bCs w:val="0"/>
                <w:color w:val="auto"/>
                <w:sz w:val="21"/>
                <w:szCs w:val="21"/>
                <w:highlight w:val="none"/>
              </w:rPr>
              <w:t>。</w:t>
            </w:r>
          </w:p>
        </w:tc>
      </w:tr>
    </w:tbl>
    <w:p w14:paraId="475C4B6F">
      <w:pPr>
        <w:spacing w:line="360" w:lineRule="auto"/>
        <w:ind w:firstLine="420" w:firstLineChars="200"/>
        <w:rPr>
          <w:rFonts w:ascii="宋体" w:hAnsi="宋体" w:cs="宋体"/>
          <w:bCs/>
          <w:color w:val="auto"/>
          <w:sz w:val="21"/>
          <w:szCs w:val="21"/>
          <w:highlight w:val="none"/>
        </w:rPr>
      </w:pPr>
      <w:r>
        <w:rPr>
          <w:rFonts w:hint="eastAsia" w:ascii="宋体" w:hAnsi="宋体" w:cs="宋体"/>
          <w:bCs/>
          <w:color w:val="auto"/>
          <w:sz w:val="21"/>
          <w:szCs w:val="21"/>
          <w:highlight w:val="none"/>
          <w:lang w:val="en-US" w:eastAsia="zh-CN"/>
        </w:rPr>
        <w:t>7</w:t>
      </w:r>
      <w:r>
        <w:rPr>
          <w:rFonts w:hint="eastAsia" w:ascii="宋体" w:hAnsi="宋体" w:cs="宋体"/>
          <w:bCs/>
          <w:color w:val="auto"/>
          <w:sz w:val="21"/>
          <w:szCs w:val="21"/>
          <w:highlight w:val="none"/>
        </w:rPr>
        <w:t>.合同履行期限：</w:t>
      </w:r>
    </w:p>
    <w:p w14:paraId="72308102">
      <w:pPr>
        <w:spacing w:line="360" w:lineRule="auto"/>
        <w:ind w:firstLine="420" w:firstLineChars="200"/>
        <w:rPr>
          <w:rFonts w:hint="eastAsia" w:ascii="宋体" w:hAnsi="宋体" w:eastAsia="宋体" w:cs="宋体"/>
          <w:bCs/>
          <w:color w:val="auto"/>
          <w:sz w:val="21"/>
          <w:szCs w:val="21"/>
          <w:highlight w:val="none"/>
          <w:lang w:eastAsia="zh-CN"/>
        </w:rPr>
      </w:pPr>
      <w:r>
        <w:rPr>
          <w:rFonts w:hint="eastAsia" w:ascii="宋体" w:hAnsi="宋体" w:cs="宋体"/>
          <w:bCs/>
          <w:color w:val="auto"/>
          <w:sz w:val="21"/>
          <w:szCs w:val="21"/>
          <w:highlight w:val="none"/>
        </w:rPr>
        <w:t>工期：</w:t>
      </w:r>
      <w:r>
        <w:rPr>
          <w:rFonts w:hint="eastAsia" w:ascii="宋体" w:hAnsi="宋体" w:cs="宋体"/>
          <w:bCs/>
          <w:color w:val="auto"/>
          <w:sz w:val="21"/>
          <w:szCs w:val="21"/>
          <w:highlight w:val="none"/>
          <w:lang w:val="en-US" w:eastAsia="zh-CN"/>
        </w:rPr>
        <w:t>90日历天</w:t>
      </w:r>
      <w:r>
        <w:rPr>
          <w:rFonts w:hint="eastAsia" w:ascii="宋体" w:hAnsi="宋体" w:cs="宋体"/>
          <w:color w:val="auto"/>
          <w:sz w:val="21"/>
          <w:szCs w:val="21"/>
          <w:highlight w:val="none"/>
          <w:lang w:bidi="ar"/>
        </w:rPr>
        <w:t>。</w:t>
      </w:r>
      <w:r>
        <w:rPr>
          <w:rFonts w:hint="eastAsia" w:ascii="宋体" w:hAnsi="宋体" w:cs="宋体"/>
          <w:color w:val="auto"/>
          <w:sz w:val="21"/>
          <w:szCs w:val="21"/>
          <w:highlight w:val="none"/>
          <w:lang w:eastAsia="zh-CN" w:bidi="ar"/>
        </w:rPr>
        <w:t>具体如下：</w:t>
      </w:r>
    </w:p>
    <w:p w14:paraId="3E4ACB8E">
      <w:pPr>
        <w:spacing w:line="360" w:lineRule="auto"/>
        <w:ind w:firstLine="420" w:firstLineChars="200"/>
        <w:rPr>
          <w:rFonts w:hint="eastAsia" w:ascii="宋体" w:hAnsi="宋体" w:eastAsia="宋体" w:cs="宋体"/>
          <w:bCs/>
          <w:color w:val="auto"/>
          <w:sz w:val="21"/>
          <w:szCs w:val="21"/>
          <w:highlight w:val="none"/>
          <w:lang w:eastAsia="zh-CN"/>
        </w:rPr>
      </w:pPr>
      <w:r>
        <w:rPr>
          <w:rFonts w:hint="eastAsia" w:ascii="宋体" w:hAnsi="宋体" w:cs="宋体"/>
          <w:bCs/>
          <w:color w:val="auto"/>
          <w:sz w:val="21"/>
          <w:szCs w:val="21"/>
          <w:highlight w:val="none"/>
          <w:lang w:eastAsia="zh-CN"/>
        </w:rPr>
        <w:t>（</w:t>
      </w:r>
      <w:r>
        <w:rPr>
          <w:rFonts w:hint="eastAsia" w:ascii="宋体" w:hAnsi="宋体" w:cs="宋体"/>
          <w:bCs/>
          <w:color w:val="auto"/>
          <w:sz w:val="21"/>
          <w:szCs w:val="21"/>
          <w:highlight w:val="none"/>
          <w:lang w:val="en-US" w:eastAsia="zh-CN"/>
        </w:rPr>
        <w:t>1</w:t>
      </w:r>
      <w:r>
        <w:rPr>
          <w:rFonts w:hint="eastAsia" w:ascii="宋体" w:hAnsi="宋体" w:cs="宋体"/>
          <w:bCs/>
          <w:color w:val="auto"/>
          <w:sz w:val="21"/>
          <w:szCs w:val="21"/>
          <w:highlight w:val="none"/>
          <w:lang w:eastAsia="zh-CN"/>
        </w:rPr>
        <w:t>）</w:t>
      </w:r>
      <w:r>
        <w:rPr>
          <w:rFonts w:hint="eastAsia" w:ascii="宋体" w:hAnsi="宋体" w:cs="宋体"/>
          <w:bCs/>
          <w:color w:val="auto"/>
          <w:szCs w:val="21"/>
          <w:highlight w:val="none"/>
        </w:rPr>
        <w:t>合同签订后</w:t>
      </w:r>
      <w:r>
        <w:rPr>
          <w:rFonts w:hint="eastAsia" w:ascii="宋体" w:hAnsi="宋体" w:cs="宋体"/>
          <w:bCs/>
          <w:color w:val="auto"/>
          <w:szCs w:val="21"/>
          <w:highlight w:val="none"/>
          <w:lang w:val="en-US" w:eastAsia="zh-CN"/>
        </w:rPr>
        <w:t>75</w:t>
      </w:r>
      <w:r>
        <w:rPr>
          <w:rFonts w:hint="eastAsia" w:ascii="宋体" w:hAnsi="宋体" w:cs="宋体"/>
          <w:bCs/>
          <w:color w:val="auto"/>
          <w:szCs w:val="21"/>
          <w:highlight w:val="none"/>
        </w:rPr>
        <w:t>日历天内</w:t>
      </w:r>
      <w:r>
        <w:rPr>
          <w:rFonts w:hint="eastAsia" w:ascii="宋体" w:hAnsi="宋体" w:cs="宋体"/>
          <w:bCs/>
          <w:color w:val="auto"/>
          <w:szCs w:val="21"/>
          <w:highlight w:val="none"/>
          <w:lang w:eastAsia="zh-CN"/>
        </w:rPr>
        <w:t>，提交影响评价</w:t>
      </w:r>
      <w:r>
        <w:rPr>
          <w:rFonts w:hint="eastAsia" w:ascii="宋体" w:hAnsi="宋体" w:cs="宋体"/>
          <w:bCs/>
          <w:color w:val="auto"/>
          <w:szCs w:val="21"/>
          <w:highlight w:val="none"/>
        </w:rPr>
        <w:t>报告送审稿</w:t>
      </w:r>
      <w:r>
        <w:rPr>
          <w:rFonts w:hint="eastAsia" w:ascii="宋体" w:hAnsi="宋体" w:cs="宋体"/>
          <w:bCs/>
          <w:color w:val="auto"/>
          <w:szCs w:val="21"/>
          <w:highlight w:val="none"/>
          <w:lang w:eastAsia="zh-CN"/>
        </w:rPr>
        <w:t>。</w:t>
      </w:r>
    </w:p>
    <w:p w14:paraId="62FA9C35">
      <w:pPr>
        <w:spacing w:line="360" w:lineRule="auto"/>
        <w:ind w:firstLine="420" w:firstLineChars="200"/>
        <w:rPr>
          <w:rFonts w:hint="eastAsia" w:ascii="宋体" w:hAnsi="宋体" w:eastAsia="宋体" w:cs="宋体"/>
          <w:bCs/>
          <w:color w:val="auto"/>
          <w:sz w:val="21"/>
          <w:szCs w:val="21"/>
          <w:highlight w:val="none"/>
          <w:lang w:eastAsia="zh-CN"/>
        </w:rPr>
      </w:pPr>
      <w:r>
        <w:rPr>
          <w:rFonts w:hint="eastAsia" w:ascii="宋体" w:hAnsi="宋体" w:cs="宋体"/>
          <w:bCs/>
          <w:color w:val="auto"/>
          <w:sz w:val="21"/>
          <w:szCs w:val="21"/>
          <w:highlight w:val="none"/>
          <w:lang w:eastAsia="zh-CN"/>
        </w:rPr>
        <w:t>（</w:t>
      </w:r>
      <w:r>
        <w:rPr>
          <w:rFonts w:hint="eastAsia" w:ascii="宋体" w:hAnsi="宋体" w:cs="宋体"/>
          <w:bCs/>
          <w:color w:val="auto"/>
          <w:sz w:val="21"/>
          <w:szCs w:val="21"/>
          <w:highlight w:val="none"/>
          <w:lang w:val="en-US" w:eastAsia="zh-CN"/>
        </w:rPr>
        <w:t>2</w:t>
      </w:r>
      <w:r>
        <w:rPr>
          <w:rFonts w:hint="eastAsia" w:ascii="宋体" w:hAnsi="宋体" w:cs="宋体"/>
          <w:bCs/>
          <w:color w:val="auto"/>
          <w:sz w:val="21"/>
          <w:szCs w:val="21"/>
          <w:highlight w:val="none"/>
          <w:lang w:eastAsia="zh-CN"/>
        </w:rPr>
        <w:t>）报告评审</w:t>
      </w:r>
      <w:r>
        <w:rPr>
          <w:rFonts w:hint="eastAsia" w:ascii="宋体" w:hAnsi="宋体" w:cs="宋体"/>
          <w:bCs/>
          <w:color w:val="auto"/>
          <w:szCs w:val="21"/>
          <w:highlight w:val="none"/>
        </w:rPr>
        <w:t>会后15日历天内</w:t>
      </w:r>
      <w:r>
        <w:rPr>
          <w:rFonts w:hint="eastAsia" w:ascii="宋体" w:hAnsi="宋体" w:cs="宋体"/>
          <w:bCs/>
          <w:color w:val="auto"/>
          <w:szCs w:val="21"/>
          <w:highlight w:val="none"/>
          <w:lang w:eastAsia="zh-CN"/>
        </w:rPr>
        <w:t>，提交</w:t>
      </w:r>
      <w:r>
        <w:rPr>
          <w:rFonts w:hint="eastAsia" w:ascii="宋体" w:hAnsi="宋体" w:cs="宋体"/>
          <w:bCs/>
          <w:color w:val="auto"/>
          <w:szCs w:val="21"/>
          <w:highlight w:val="none"/>
        </w:rPr>
        <w:t>报告</w:t>
      </w:r>
      <w:r>
        <w:rPr>
          <w:rFonts w:hint="eastAsia" w:ascii="宋体" w:hAnsi="宋体" w:cs="宋体"/>
          <w:bCs/>
          <w:color w:val="auto"/>
          <w:szCs w:val="21"/>
          <w:highlight w:val="none"/>
          <w:lang w:eastAsia="zh-CN"/>
        </w:rPr>
        <w:t>报批</w:t>
      </w:r>
      <w:r>
        <w:rPr>
          <w:rFonts w:hint="eastAsia" w:ascii="宋体" w:hAnsi="宋体" w:cs="宋体"/>
          <w:bCs/>
          <w:color w:val="auto"/>
          <w:szCs w:val="21"/>
          <w:highlight w:val="none"/>
        </w:rPr>
        <w:t>稿</w:t>
      </w:r>
      <w:r>
        <w:rPr>
          <w:rFonts w:hint="eastAsia" w:ascii="宋体" w:hAnsi="宋体" w:cs="宋体"/>
          <w:bCs/>
          <w:color w:val="auto"/>
          <w:szCs w:val="21"/>
          <w:highlight w:val="none"/>
          <w:lang w:eastAsia="zh-CN"/>
        </w:rPr>
        <w:t>。</w:t>
      </w:r>
    </w:p>
    <w:p w14:paraId="7DA62F44">
      <w:pPr>
        <w:spacing w:line="360" w:lineRule="auto"/>
        <w:ind w:firstLine="420" w:firstLineChars="200"/>
        <w:rPr>
          <w:rFonts w:hint="default" w:ascii="宋体" w:hAnsi="宋体" w:eastAsia="宋体" w:cs="宋体"/>
          <w:bCs/>
          <w:color w:val="auto"/>
          <w:sz w:val="21"/>
          <w:szCs w:val="21"/>
          <w:highlight w:val="none"/>
          <w:lang w:val="en-US" w:eastAsia="zh-CN"/>
        </w:rPr>
      </w:pPr>
      <w:r>
        <w:rPr>
          <w:rFonts w:hint="eastAsia" w:ascii="宋体" w:hAnsi="宋体" w:cs="宋体"/>
          <w:bCs/>
          <w:color w:val="auto"/>
          <w:sz w:val="21"/>
          <w:szCs w:val="21"/>
          <w:highlight w:val="none"/>
          <w:lang w:eastAsia="zh-CN"/>
        </w:rPr>
        <w:t>成果评审验收时间另行计算，不计入总工期。</w:t>
      </w:r>
    </w:p>
    <w:p w14:paraId="5F624F58">
      <w:pPr>
        <w:spacing w:line="360" w:lineRule="auto"/>
        <w:ind w:firstLine="420" w:firstLineChars="200"/>
        <w:rPr>
          <w:rFonts w:ascii="宋体" w:hAnsi="宋体" w:cs="宋体"/>
          <w:bCs/>
          <w:color w:val="auto"/>
          <w:sz w:val="21"/>
          <w:szCs w:val="21"/>
          <w:highlight w:val="none"/>
        </w:rPr>
      </w:pPr>
      <w:r>
        <w:rPr>
          <w:rFonts w:hint="eastAsia" w:ascii="宋体" w:hAnsi="宋体" w:cs="宋体"/>
          <w:bCs/>
          <w:color w:val="auto"/>
          <w:sz w:val="21"/>
          <w:szCs w:val="21"/>
          <w:highlight w:val="none"/>
          <w:lang w:val="en-US" w:eastAsia="zh-CN"/>
        </w:rPr>
        <w:t>8</w:t>
      </w:r>
      <w:r>
        <w:rPr>
          <w:rFonts w:hint="eastAsia" w:ascii="宋体" w:hAnsi="宋体" w:cs="宋体"/>
          <w:bCs/>
          <w:color w:val="auto"/>
          <w:sz w:val="21"/>
          <w:szCs w:val="21"/>
          <w:highlight w:val="none"/>
        </w:rPr>
        <w:t>.本次采购</w:t>
      </w:r>
      <w:r>
        <w:rPr>
          <w:rFonts w:hint="eastAsia" w:ascii="宋体" w:hAnsi="宋体" w:cs="宋体"/>
          <w:bCs/>
          <w:color w:val="auto"/>
          <w:sz w:val="21"/>
          <w:szCs w:val="21"/>
          <w:highlight w:val="none"/>
          <w:lang w:eastAsia="zh-CN"/>
        </w:rPr>
        <w:t>不</w:t>
      </w:r>
      <w:r>
        <w:rPr>
          <w:rFonts w:hint="eastAsia" w:ascii="宋体" w:hAnsi="宋体" w:cs="宋体"/>
          <w:bCs/>
          <w:color w:val="auto"/>
          <w:sz w:val="21"/>
          <w:szCs w:val="21"/>
          <w:highlight w:val="none"/>
        </w:rPr>
        <w:t>接受联合体投标。</w:t>
      </w:r>
    </w:p>
    <w:p w14:paraId="1305A220">
      <w:pPr>
        <w:spacing w:line="360" w:lineRule="auto"/>
        <w:ind w:firstLine="422" w:firstLineChars="200"/>
        <w:rPr>
          <w:rFonts w:ascii="黑体" w:hAnsi="黑体" w:eastAsia="黑体"/>
          <w:b/>
          <w:color w:val="auto"/>
          <w:sz w:val="21"/>
          <w:szCs w:val="21"/>
          <w:highlight w:val="none"/>
        </w:rPr>
      </w:pPr>
      <w:r>
        <w:rPr>
          <w:rFonts w:hint="eastAsia" w:ascii="黑体" w:hAnsi="黑体" w:eastAsia="黑体"/>
          <w:b/>
          <w:color w:val="auto"/>
          <w:sz w:val="21"/>
          <w:szCs w:val="21"/>
          <w:highlight w:val="none"/>
        </w:rPr>
        <w:t>二、供应商的资格条件</w:t>
      </w:r>
    </w:p>
    <w:p w14:paraId="48187933">
      <w:pPr>
        <w:spacing w:line="360" w:lineRule="auto"/>
        <w:ind w:firstLine="420" w:firstLineChars="200"/>
        <w:rPr>
          <w:rFonts w:ascii="宋体" w:hAnsi="宋体" w:cs="宋体"/>
          <w:bCs/>
          <w:color w:val="auto"/>
          <w:sz w:val="21"/>
          <w:szCs w:val="21"/>
          <w:highlight w:val="none"/>
        </w:rPr>
      </w:pPr>
      <w:r>
        <w:rPr>
          <w:rFonts w:hint="eastAsia" w:ascii="宋体" w:hAnsi="宋体" w:cs="宋体"/>
          <w:color w:val="auto"/>
          <w:sz w:val="21"/>
          <w:szCs w:val="21"/>
          <w:highlight w:val="none"/>
          <w:lang w:bidi="ar"/>
        </w:rPr>
        <w:t>1.具备国内独立法人资格。</w:t>
      </w:r>
    </w:p>
    <w:p w14:paraId="4817587E">
      <w:pPr>
        <w:spacing w:line="360" w:lineRule="auto"/>
        <w:ind w:firstLine="420" w:firstLineChars="200"/>
        <w:rPr>
          <w:rFonts w:hint="default" w:ascii="宋体" w:hAnsi="宋体" w:eastAsia="宋体" w:cs="宋体"/>
          <w:color w:val="auto"/>
          <w:sz w:val="21"/>
          <w:szCs w:val="21"/>
          <w:highlight w:val="none"/>
          <w:lang w:val="en-US" w:eastAsia="zh-CN" w:bidi="ar"/>
        </w:rPr>
      </w:pPr>
      <w:r>
        <w:rPr>
          <w:rFonts w:hint="eastAsia" w:ascii="宋体" w:hAnsi="宋体" w:cs="宋体"/>
          <w:color w:val="auto"/>
          <w:sz w:val="21"/>
          <w:szCs w:val="21"/>
          <w:highlight w:val="none"/>
          <w:lang w:val="en-US" w:eastAsia="zh-CN" w:bidi="ar"/>
        </w:rPr>
        <w:t>2.供应商应具备丙级以上（含丙级）林业调查规划设计资质</w:t>
      </w:r>
      <w:r>
        <w:rPr>
          <w:rFonts w:hint="eastAsia" w:ascii="宋体" w:hAnsi="宋体" w:cs="宋体"/>
          <w:color w:val="auto"/>
          <w:szCs w:val="21"/>
          <w:highlight w:val="none"/>
          <w:lang w:bidi="ar"/>
        </w:rPr>
        <w:t>。</w:t>
      </w:r>
    </w:p>
    <w:p w14:paraId="4BF9F12F">
      <w:pPr>
        <w:spacing w:line="360" w:lineRule="auto"/>
        <w:ind w:firstLine="420" w:firstLineChars="200"/>
        <w:rPr>
          <w:rFonts w:hint="eastAsia" w:ascii="宋体" w:hAnsi="宋体" w:cs="宋体"/>
          <w:bCs/>
          <w:color w:val="auto"/>
          <w:sz w:val="21"/>
          <w:szCs w:val="21"/>
          <w:highlight w:val="none"/>
          <w:lang w:eastAsia="zh-CN"/>
        </w:rPr>
      </w:pPr>
      <w:r>
        <w:rPr>
          <w:rFonts w:hint="eastAsia" w:ascii="宋体" w:hAnsi="宋体" w:cs="宋体"/>
          <w:color w:val="auto"/>
          <w:sz w:val="21"/>
          <w:szCs w:val="21"/>
          <w:highlight w:val="none"/>
          <w:lang w:val="en-US" w:eastAsia="zh-CN" w:bidi="ar"/>
        </w:rPr>
        <w:t>3</w:t>
      </w:r>
      <w:r>
        <w:rPr>
          <w:rFonts w:hint="eastAsia" w:ascii="宋体" w:hAnsi="宋体" w:cs="宋体"/>
          <w:color w:val="auto"/>
          <w:sz w:val="21"/>
          <w:szCs w:val="21"/>
          <w:highlight w:val="none"/>
          <w:lang w:bidi="ar"/>
        </w:rPr>
        <w:t>.</w:t>
      </w:r>
      <w:r>
        <w:rPr>
          <w:rFonts w:hint="eastAsia" w:ascii="宋体" w:hAnsi="宋体" w:cs="宋体"/>
          <w:bCs/>
          <w:color w:val="auto"/>
          <w:sz w:val="21"/>
          <w:szCs w:val="21"/>
          <w:highlight w:val="none"/>
          <w:lang w:eastAsia="zh-CN"/>
        </w:rPr>
        <w:t>人员配备要求：</w:t>
      </w:r>
    </w:p>
    <w:p w14:paraId="5D3559DF">
      <w:pPr>
        <w:spacing w:line="360" w:lineRule="auto"/>
        <w:ind w:firstLine="420" w:firstLineChars="200"/>
        <w:rPr>
          <w:rFonts w:ascii="宋体" w:hAnsi="宋体" w:cs="宋体"/>
          <w:color w:val="auto"/>
          <w:sz w:val="21"/>
          <w:szCs w:val="21"/>
          <w:highlight w:val="none"/>
          <w:lang w:bidi="ar"/>
        </w:rPr>
      </w:pPr>
      <w:r>
        <w:rPr>
          <w:rFonts w:hint="eastAsia" w:ascii="宋体" w:hAnsi="宋体" w:cs="宋体"/>
          <w:bCs/>
          <w:color w:val="auto"/>
          <w:sz w:val="21"/>
          <w:szCs w:val="21"/>
          <w:highlight w:val="none"/>
          <w:lang w:eastAsia="zh-CN"/>
        </w:rPr>
        <w:t>项目负责人：应具备林业工程相关专业高级及以上职称。需提供投入人员资质证书复印件及供应商为其缴纳的投标截止时间前半年内连续3个月的社保缴纳证明。</w:t>
      </w:r>
    </w:p>
    <w:p w14:paraId="57ED7B2C">
      <w:pPr>
        <w:spacing w:line="360" w:lineRule="auto"/>
        <w:ind w:firstLine="420" w:firstLineChars="200"/>
        <w:rPr>
          <w:rFonts w:ascii="宋体" w:hAnsi="宋体" w:cs="宋体"/>
          <w:color w:val="auto"/>
          <w:sz w:val="21"/>
          <w:szCs w:val="21"/>
          <w:highlight w:val="none"/>
          <w:lang w:bidi="ar"/>
        </w:rPr>
      </w:pPr>
      <w:r>
        <w:rPr>
          <w:rFonts w:hint="eastAsia" w:ascii="宋体" w:hAnsi="宋体" w:cs="宋体"/>
          <w:color w:val="auto"/>
          <w:sz w:val="21"/>
          <w:szCs w:val="21"/>
          <w:highlight w:val="none"/>
          <w:lang w:val="en-US" w:eastAsia="zh-CN" w:bidi="ar"/>
        </w:rPr>
        <w:t>4</w:t>
      </w:r>
      <w:r>
        <w:rPr>
          <w:rFonts w:hint="eastAsia" w:ascii="宋体" w:hAnsi="宋体" w:cs="宋体"/>
          <w:color w:val="auto"/>
          <w:sz w:val="21"/>
          <w:szCs w:val="21"/>
          <w:highlight w:val="none"/>
          <w:lang w:bidi="ar"/>
        </w:rPr>
        <w:t>.供应商参加本次采购活动前三年内，在经营活动中没有重大违法记录（重大违法记录，是指供应商因违法经营受到刑事处罚或者责令停产停业、吊销许可证或者执照等行政处罚）。由供应商提供书面声明。</w:t>
      </w:r>
    </w:p>
    <w:p w14:paraId="40E77A25">
      <w:pPr>
        <w:spacing w:line="360" w:lineRule="auto"/>
        <w:ind w:firstLine="420" w:firstLineChars="200"/>
        <w:rPr>
          <w:rFonts w:ascii="宋体" w:hAnsi="宋体" w:cs="宋体"/>
          <w:color w:val="auto"/>
          <w:sz w:val="21"/>
          <w:szCs w:val="21"/>
          <w:highlight w:val="none"/>
          <w:lang w:bidi="ar"/>
        </w:rPr>
      </w:pPr>
      <w:r>
        <w:rPr>
          <w:rFonts w:hint="eastAsia" w:ascii="宋体" w:hAnsi="宋体" w:cs="宋体"/>
          <w:color w:val="auto"/>
          <w:sz w:val="21"/>
          <w:szCs w:val="21"/>
          <w:highlight w:val="none"/>
          <w:lang w:val="en-US" w:eastAsia="zh-CN" w:bidi="ar"/>
        </w:rPr>
        <w:t>5</w:t>
      </w:r>
      <w:r>
        <w:rPr>
          <w:rFonts w:hint="eastAsia" w:ascii="宋体" w:hAnsi="宋体" w:cs="宋体"/>
          <w:color w:val="auto"/>
          <w:sz w:val="21"/>
          <w:szCs w:val="21"/>
          <w:highlight w:val="none"/>
          <w:lang w:bidi="ar"/>
        </w:rPr>
        <w:t>.在“信用中国”网站(www.creditchina.gov.cn)、中国政府采购网(www.ccgp.gov.cn)等渠道未被列入失信被执行人、重大税收违法案件当事人名单、政府采购严重违法失信行为记录名单。由供应商提供</w:t>
      </w:r>
      <w:r>
        <w:rPr>
          <w:rFonts w:hint="eastAsia" w:ascii="宋体" w:hAnsi="宋体" w:cs="宋体"/>
          <w:color w:val="auto"/>
          <w:sz w:val="21"/>
          <w:szCs w:val="21"/>
          <w:highlight w:val="none"/>
          <w:lang w:eastAsia="zh-CN" w:bidi="ar"/>
        </w:rPr>
        <w:t>有关网站查询结果</w:t>
      </w:r>
      <w:r>
        <w:rPr>
          <w:rFonts w:hint="eastAsia" w:ascii="宋体" w:hAnsi="宋体" w:cs="宋体"/>
          <w:color w:val="auto"/>
          <w:sz w:val="21"/>
          <w:szCs w:val="21"/>
          <w:highlight w:val="none"/>
          <w:lang w:bidi="ar"/>
        </w:rPr>
        <w:t>。</w:t>
      </w:r>
    </w:p>
    <w:p w14:paraId="628BFC21">
      <w:pPr>
        <w:spacing w:line="360" w:lineRule="auto"/>
        <w:ind w:firstLine="422" w:firstLineChars="200"/>
        <w:rPr>
          <w:rFonts w:ascii="黑体" w:hAnsi="黑体" w:eastAsia="黑体"/>
          <w:b/>
          <w:color w:val="auto"/>
          <w:sz w:val="21"/>
          <w:szCs w:val="21"/>
          <w:highlight w:val="none"/>
        </w:rPr>
      </w:pPr>
      <w:r>
        <w:rPr>
          <w:rFonts w:hint="eastAsia" w:ascii="黑体" w:hAnsi="黑体" w:eastAsia="黑体"/>
          <w:b/>
          <w:color w:val="auto"/>
          <w:sz w:val="21"/>
          <w:szCs w:val="21"/>
          <w:highlight w:val="none"/>
        </w:rPr>
        <w:t>三、获取采购文件</w:t>
      </w:r>
    </w:p>
    <w:p w14:paraId="6B04FD0D">
      <w:pPr>
        <w:spacing w:line="360" w:lineRule="auto"/>
        <w:ind w:firstLine="420" w:firstLineChars="200"/>
        <w:rPr>
          <w:rFonts w:ascii="宋体" w:hAnsi="宋体" w:cs="宋体"/>
          <w:color w:val="auto"/>
          <w:sz w:val="21"/>
          <w:szCs w:val="21"/>
          <w:highlight w:val="none"/>
          <w:lang w:bidi="ar"/>
        </w:rPr>
      </w:pPr>
      <w:r>
        <w:rPr>
          <w:rFonts w:hint="eastAsia" w:ascii="宋体" w:hAnsi="宋体" w:cs="宋体"/>
          <w:color w:val="auto"/>
          <w:sz w:val="21"/>
          <w:szCs w:val="21"/>
          <w:highlight w:val="none"/>
          <w:lang w:bidi="ar"/>
        </w:rPr>
        <w:t>1.获取时间：自采购公告发布之日起，至响应文件递交截止时间</w:t>
      </w:r>
      <w:r>
        <w:rPr>
          <w:rFonts w:ascii="宋体" w:hAnsi="宋体" w:cs="宋体"/>
          <w:color w:val="auto"/>
          <w:sz w:val="21"/>
          <w:szCs w:val="21"/>
          <w:highlight w:val="none"/>
          <w:lang w:bidi="ar"/>
        </w:rPr>
        <w:t>。</w:t>
      </w:r>
    </w:p>
    <w:p w14:paraId="506DA505">
      <w:pPr>
        <w:spacing w:line="360" w:lineRule="auto"/>
        <w:ind w:firstLine="420" w:firstLineChars="200"/>
        <w:rPr>
          <w:rFonts w:hint="eastAsia" w:ascii="宋体" w:hAnsi="宋体" w:eastAsia="宋体" w:cs="宋体"/>
          <w:color w:val="auto"/>
          <w:sz w:val="21"/>
          <w:szCs w:val="21"/>
          <w:highlight w:val="none"/>
          <w:lang w:eastAsia="zh-CN" w:bidi="ar"/>
        </w:rPr>
      </w:pPr>
      <w:r>
        <w:rPr>
          <w:rFonts w:hint="eastAsia" w:ascii="宋体" w:hAnsi="宋体" w:cs="宋体"/>
          <w:color w:val="auto"/>
          <w:sz w:val="21"/>
          <w:szCs w:val="21"/>
          <w:highlight w:val="none"/>
          <w:lang w:bidi="ar"/>
        </w:rPr>
        <w:t>2.获取地点：广西壮族自治区水运发展中心网站(http://www.gxghj.cn/)</w:t>
      </w:r>
      <w:r>
        <w:rPr>
          <w:rFonts w:hint="eastAsia" w:ascii="宋体" w:hAnsi="宋体" w:cs="宋体"/>
          <w:color w:val="auto"/>
          <w:sz w:val="21"/>
          <w:szCs w:val="21"/>
          <w:highlight w:val="none"/>
          <w:lang w:eastAsia="zh-CN" w:bidi="ar"/>
        </w:rPr>
        <w:t>。</w:t>
      </w:r>
    </w:p>
    <w:p w14:paraId="410342BD">
      <w:pPr>
        <w:spacing w:line="360" w:lineRule="auto"/>
        <w:ind w:firstLine="420" w:firstLineChars="200"/>
        <w:rPr>
          <w:rFonts w:ascii="宋体" w:hAnsi="宋体" w:cs="宋体"/>
          <w:color w:val="auto"/>
          <w:sz w:val="21"/>
          <w:szCs w:val="21"/>
          <w:highlight w:val="none"/>
          <w:lang w:bidi="ar"/>
        </w:rPr>
      </w:pPr>
      <w:r>
        <w:rPr>
          <w:rFonts w:hint="eastAsia" w:ascii="宋体" w:hAnsi="宋体" w:cs="宋体"/>
          <w:color w:val="auto"/>
          <w:sz w:val="21"/>
          <w:szCs w:val="21"/>
          <w:highlight w:val="none"/>
          <w:lang w:bidi="ar"/>
        </w:rPr>
        <w:t>3.获取方式：网上下载。本项目不提供纸质文件，潜在供应商登录</w:t>
      </w:r>
      <w:r>
        <w:rPr>
          <w:rFonts w:hint="eastAsia" w:ascii="宋体" w:hAnsi="宋体" w:cs="宋体"/>
          <w:color w:val="auto"/>
          <w:sz w:val="21"/>
          <w:szCs w:val="21"/>
          <w:highlight w:val="none"/>
          <w:lang w:eastAsia="zh-CN" w:bidi="ar"/>
        </w:rPr>
        <w:t>广西壮族自治区水运发展中心</w:t>
      </w:r>
      <w:r>
        <w:rPr>
          <w:rFonts w:hint="eastAsia" w:ascii="宋体" w:hAnsi="宋体" w:cs="宋体"/>
          <w:color w:val="auto"/>
          <w:sz w:val="21"/>
          <w:szCs w:val="21"/>
          <w:highlight w:val="none"/>
          <w:lang w:bidi="ar"/>
        </w:rPr>
        <w:t>网站</w:t>
      </w:r>
      <w:r>
        <w:rPr>
          <w:rFonts w:ascii="宋体" w:hAnsi="宋体" w:cs="宋体"/>
          <w:color w:val="auto"/>
          <w:sz w:val="21"/>
          <w:szCs w:val="21"/>
          <w:highlight w:val="none"/>
          <w:lang w:bidi="ar"/>
        </w:rPr>
        <w:t>-进入“通知公告”应用，点击采购公告获取采购文件（采购方案）。</w:t>
      </w:r>
    </w:p>
    <w:p w14:paraId="6543276C">
      <w:pPr>
        <w:spacing w:line="360" w:lineRule="auto"/>
        <w:ind w:firstLine="422" w:firstLineChars="200"/>
        <w:rPr>
          <w:rFonts w:ascii="黑体" w:hAnsi="黑体" w:eastAsia="黑体"/>
          <w:b/>
          <w:color w:val="auto"/>
          <w:sz w:val="21"/>
          <w:szCs w:val="21"/>
          <w:highlight w:val="none"/>
        </w:rPr>
      </w:pPr>
      <w:r>
        <w:rPr>
          <w:rFonts w:hint="eastAsia" w:ascii="黑体" w:hAnsi="黑体" w:eastAsia="黑体"/>
          <w:b/>
          <w:color w:val="auto"/>
          <w:sz w:val="21"/>
          <w:szCs w:val="21"/>
          <w:highlight w:val="none"/>
        </w:rPr>
        <w:t>四、响应文件递交</w:t>
      </w:r>
    </w:p>
    <w:p w14:paraId="54F98CD3">
      <w:pPr>
        <w:spacing w:line="360" w:lineRule="auto"/>
        <w:ind w:firstLine="420" w:firstLineChars="200"/>
        <w:rPr>
          <w:rFonts w:ascii="宋体" w:hAnsi="宋体" w:cs="宋体"/>
          <w:color w:val="auto"/>
          <w:sz w:val="21"/>
          <w:szCs w:val="21"/>
          <w:highlight w:val="none"/>
          <w:lang w:bidi="ar"/>
        </w:rPr>
      </w:pPr>
      <w:r>
        <w:rPr>
          <w:rFonts w:hint="eastAsia" w:ascii="宋体" w:hAnsi="宋体" w:cs="宋体"/>
          <w:color w:val="auto"/>
          <w:sz w:val="21"/>
          <w:szCs w:val="21"/>
          <w:highlight w:val="none"/>
          <w:lang w:bidi="ar"/>
        </w:rPr>
        <w:t>1.响应文件形式及份数：纸质文件，一正一副共两份文件。</w:t>
      </w:r>
    </w:p>
    <w:p w14:paraId="1C2E7257">
      <w:pPr>
        <w:spacing w:line="360" w:lineRule="auto"/>
        <w:ind w:firstLine="420" w:firstLineChars="200"/>
        <w:rPr>
          <w:rFonts w:ascii="宋体" w:hAnsi="宋体" w:cs="宋体"/>
          <w:color w:val="auto"/>
          <w:sz w:val="21"/>
          <w:szCs w:val="21"/>
          <w:highlight w:val="none"/>
          <w:lang w:bidi="ar"/>
        </w:rPr>
      </w:pPr>
      <w:r>
        <w:rPr>
          <w:rFonts w:hint="eastAsia" w:ascii="宋体" w:hAnsi="宋体" w:cs="宋体"/>
          <w:color w:val="auto"/>
          <w:sz w:val="21"/>
          <w:szCs w:val="21"/>
          <w:highlight w:val="none"/>
          <w:lang w:bidi="ar"/>
        </w:rPr>
        <w:t>2.响应文件递交地址：南宁市青秀区百花岭路6号</w:t>
      </w:r>
      <w:r>
        <w:rPr>
          <w:rFonts w:hint="eastAsia" w:ascii="宋体" w:hAnsi="宋体" w:cs="宋体"/>
          <w:color w:val="auto"/>
          <w:sz w:val="21"/>
          <w:szCs w:val="21"/>
          <w:highlight w:val="none"/>
          <w:lang w:eastAsia="zh-CN" w:bidi="ar"/>
        </w:rPr>
        <w:t>广西壮族自治区水运发展中心</w:t>
      </w:r>
      <w:r>
        <w:rPr>
          <w:rFonts w:hint="eastAsia" w:ascii="宋体" w:hAnsi="宋体" w:cs="宋体"/>
          <w:color w:val="auto"/>
          <w:sz w:val="21"/>
          <w:szCs w:val="21"/>
          <w:highlight w:val="none"/>
          <w:lang w:bidi="ar"/>
        </w:rPr>
        <w:t>425室。</w:t>
      </w:r>
    </w:p>
    <w:p w14:paraId="6D1B6036">
      <w:pPr>
        <w:spacing w:line="360" w:lineRule="auto"/>
        <w:ind w:firstLine="420" w:firstLineChars="200"/>
        <w:rPr>
          <w:rFonts w:ascii="宋体" w:hAnsi="宋体" w:cs="宋体"/>
          <w:color w:val="auto"/>
          <w:sz w:val="21"/>
          <w:szCs w:val="21"/>
          <w:highlight w:val="none"/>
          <w:lang w:bidi="ar"/>
        </w:rPr>
      </w:pPr>
      <w:r>
        <w:rPr>
          <w:rFonts w:hint="eastAsia" w:ascii="宋体" w:hAnsi="宋体" w:cs="宋体"/>
          <w:color w:val="auto"/>
          <w:sz w:val="21"/>
          <w:szCs w:val="21"/>
          <w:highlight w:val="none"/>
          <w:lang w:bidi="ar"/>
        </w:rPr>
        <w:t>3.响应文件递交截止时间：</w:t>
      </w:r>
      <w:r>
        <w:rPr>
          <w:rFonts w:ascii="宋体" w:hAnsi="宋体" w:cs="宋体"/>
          <w:color w:val="auto"/>
          <w:sz w:val="21"/>
          <w:szCs w:val="21"/>
          <w:highlight w:val="none"/>
          <w:lang w:bidi="ar"/>
        </w:rPr>
        <w:t>202</w:t>
      </w:r>
      <w:r>
        <w:rPr>
          <w:rFonts w:hint="eastAsia" w:ascii="宋体" w:hAnsi="宋体" w:cs="宋体"/>
          <w:color w:val="auto"/>
          <w:sz w:val="21"/>
          <w:szCs w:val="21"/>
          <w:highlight w:val="none"/>
          <w:lang w:bidi="ar"/>
        </w:rPr>
        <w:t>6</w:t>
      </w:r>
      <w:r>
        <w:rPr>
          <w:rFonts w:ascii="宋体" w:hAnsi="宋体" w:cs="宋体"/>
          <w:color w:val="auto"/>
          <w:sz w:val="21"/>
          <w:szCs w:val="21"/>
          <w:highlight w:val="none"/>
          <w:lang w:bidi="ar"/>
        </w:rPr>
        <w:t>年</w:t>
      </w:r>
      <w:r>
        <w:rPr>
          <w:rFonts w:hint="eastAsia" w:ascii="宋体" w:hAnsi="宋体" w:cs="宋体"/>
          <w:color w:val="auto"/>
          <w:sz w:val="21"/>
          <w:szCs w:val="21"/>
          <w:highlight w:val="none"/>
          <w:lang w:val="en-US" w:eastAsia="zh-CN" w:bidi="ar"/>
        </w:rPr>
        <w:t>9</w:t>
      </w:r>
      <w:r>
        <w:rPr>
          <w:rFonts w:ascii="宋体" w:hAnsi="宋体" w:cs="宋体"/>
          <w:color w:val="auto"/>
          <w:sz w:val="21"/>
          <w:szCs w:val="21"/>
          <w:highlight w:val="none"/>
          <w:lang w:bidi="ar"/>
        </w:rPr>
        <w:t>月</w:t>
      </w:r>
      <w:r>
        <w:rPr>
          <w:rFonts w:hint="eastAsia" w:ascii="宋体" w:hAnsi="宋体" w:cs="宋体"/>
          <w:color w:val="auto"/>
          <w:sz w:val="21"/>
          <w:szCs w:val="21"/>
          <w:highlight w:val="none"/>
          <w:lang w:val="en-US" w:eastAsia="zh-CN" w:bidi="ar"/>
        </w:rPr>
        <w:t>2</w:t>
      </w:r>
      <w:r>
        <w:rPr>
          <w:rFonts w:ascii="宋体" w:hAnsi="宋体" w:cs="宋体"/>
          <w:color w:val="auto"/>
          <w:sz w:val="21"/>
          <w:szCs w:val="21"/>
          <w:highlight w:val="none"/>
          <w:lang w:bidi="ar"/>
        </w:rPr>
        <w:t>日1</w:t>
      </w:r>
      <w:r>
        <w:rPr>
          <w:rFonts w:hint="eastAsia" w:ascii="宋体" w:hAnsi="宋体" w:cs="宋体"/>
          <w:color w:val="auto"/>
          <w:sz w:val="21"/>
          <w:szCs w:val="21"/>
          <w:highlight w:val="none"/>
          <w:lang w:bidi="ar"/>
        </w:rPr>
        <w:t>0</w:t>
      </w:r>
      <w:r>
        <w:rPr>
          <w:rFonts w:ascii="宋体" w:hAnsi="宋体" w:cs="宋体"/>
          <w:color w:val="auto"/>
          <w:sz w:val="21"/>
          <w:szCs w:val="21"/>
          <w:highlight w:val="none"/>
          <w:lang w:bidi="ar"/>
        </w:rPr>
        <w:t>时00分</w:t>
      </w:r>
      <w:r>
        <w:rPr>
          <w:rFonts w:hint="eastAsia" w:ascii="宋体" w:hAnsi="宋体" w:cs="宋体"/>
          <w:color w:val="auto"/>
          <w:sz w:val="21"/>
          <w:szCs w:val="21"/>
          <w:highlight w:val="none"/>
          <w:lang w:bidi="ar"/>
        </w:rPr>
        <w:t>。</w:t>
      </w:r>
    </w:p>
    <w:p w14:paraId="0F83328E">
      <w:pPr>
        <w:spacing w:line="360" w:lineRule="auto"/>
        <w:ind w:firstLine="420" w:firstLineChars="200"/>
        <w:rPr>
          <w:rFonts w:ascii="宋体" w:hAnsi="宋体" w:cs="宋体"/>
          <w:color w:val="auto"/>
          <w:sz w:val="21"/>
          <w:szCs w:val="21"/>
          <w:highlight w:val="none"/>
        </w:rPr>
      </w:pPr>
      <w:r>
        <w:rPr>
          <w:rFonts w:hint="eastAsia" w:ascii="宋体" w:hAnsi="宋体" w:cs="宋体"/>
          <w:color w:val="auto"/>
          <w:sz w:val="21"/>
          <w:szCs w:val="21"/>
          <w:highlight w:val="none"/>
          <w:lang w:bidi="ar"/>
        </w:rPr>
        <w:t>至响应文件截止时间时，投标供应商不足三家的，另行发布延期公告；发布延期公告后，如投标供应商仍不足三家的，在已递交响应文件的供应商中按照评审规则评选。</w:t>
      </w:r>
    </w:p>
    <w:p w14:paraId="2AE5155A">
      <w:pPr>
        <w:spacing w:line="360" w:lineRule="auto"/>
        <w:ind w:firstLine="420" w:firstLineChars="200"/>
        <w:rPr>
          <w:rFonts w:ascii="宋体" w:hAnsi="宋体" w:cs="宋体"/>
          <w:color w:val="auto"/>
          <w:sz w:val="21"/>
          <w:szCs w:val="21"/>
          <w:highlight w:val="none"/>
          <w:lang w:bidi="ar"/>
        </w:rPr>
      </w:pPr>
      <w:r>
        <w:rPr>
          <w:rFonts w:hint="eastAsia" w:ascii="宋体" w:hAnsi="宋体" w:cs="宋体"/>
          <w:color w:val="auto"/>
          <w:sz w:val="21"/>
          <w:szCs w:val="21"/>
          <w:highlight w:val="none"/>
        </w:rPr>
        <w:t>4.</w:t>
      </w:r>
      <w:r>
        <w:rPr>
          <w:rFonts w:hint="eastAsia" w:ascii="宋体" w:hAnsi="宋体" w:cs="宋体"/>
          <w:color w:val="auto"/>
          <w:sz w:val="21"/>
          <w:szCs w:val="21"/>
          <w:highlight w:val="none"/>
          <w:lang w:bidi="ar"/>
        </w:rPr>
        <w:t>响应文件</w:t>
      </w:r>
      <w:r>
        <w:rPr>
          <w:rFonts w:ascii="宋体" w:hAnsi="宋体" w:cs="宋体"/>
          <w:color w:val="auto"/>
          <w:sz w:val="21"/>
          <w:szCs w:val="21"/>
          <w:highlight w:val="none"/>
        </w:rPr>
        <w:t>必须密封，否则</w:t>
      </w:r>
      <w:r>
        <w:rPr>
          <w:rFonts w:hint="eastAsia" w:ascii="宋体" w:hAnsi="宋体" w:cs="宋体"/>
          <w:color w:val="auto"/>
          <w:sz w:val="21"/>
          <w:szCs w:val="21"/>
          <w:highlight w:val="none"/>
        </w:rPr>
        <w:t>采购人予以拒收</w:t>
      </w:r>
      <w:r>
        <w:rPr>
          <w:rFonts w:ascii="宋体" w:hAnsi="宋体" w:cs="宋体"/>
          <w:color w:val="auto"/>
          <w:sz w:val="21"/>
          <w:szCs w:val="21"/>
          <w:highlight w:val="none"/>
        </w:rPr>
        <w:t>。</w:t>
      </w:r>
    </w:p>
    <w:p w14:paraId="38B5F9CA">
      <w:pPr>
        <w:spacing w:line="360" w:lineRule="auto"/>
        <w:ind w:firstLine="422" w:firstLineChars="200"/>
        <w:rPr>
          <w:rFonts w:ascii="黑体" w:hAnsi="黑体" w:eastAsia="黑体"/>
          <w:b/>
          <w:color w:val="auto"/>
          <w:sz w:val="21"/>
          <w:szCs w:val="21"/>
          <w:highlight w:val="none"/>
        </w:rPr>
      </w:pPr>
      <w:r>
        <w:rPr>
          <w:rFonts w:hint="eastAsia" w:ascii="黑体" w:hAnsi="黑体" w:eastAsia="黑体"/>
          <w:b/>
          <w:color w:val="auto"/>
          <w:sz w:val="21"/>
          <w:szCs w:val="21"/>
          <w:highlight w:val="none"/>
        </w:rPr>
        <w:t xml:space="preserve">五、响应文件开启与评审 </w:t>
      </w:r>
    </w:p>
    <w:p w14:paraId="02DCF28E">
      <w:pPr>
        <w:spacing w:line="360" w:lineRule="auto"/>
        <w:ind w:firstLine="420" w:firstLineChars="200"/>
        <w:rPr>
          <w:rFonts w:ascii="宋体" w:hAnsi="宋体" w:cs="宋体"/>
          <w:color w:val="auto"/>
          <w:sz w:val="21"/>
          <w:szCs w:val="21"/>
          <w:highlight w:val="none"/>
        </w:rPr>
      </w:pPr>
      <w:r>
        <w:rPr>
          <w:rFonts w:ascii="宋体" w:hAnsi="宋体" w:cs="宋体"/>
          <w:color w:val="auto"/>
          <w:sz w:val="21"/>
          <w:szCs w:val="21"/>
          <w:highlight w:val="none"/>
        </w:rPr>
        <w:t>1.时间：</w:t>
      </w:r>
      <w:r>
        <w:rPr>
          <w:rFonts w:hint="eastAsia" w:ascii="宋体" w:hAnsi="宋体" w:cs="宋体"/>
          <w:color w:val="auto"/>
          <w:sz w:val="21"/>
          <w:szCs w:val="21"/>
          <w:highlight w:val="none"/>
        </w:rPr>
        <w:t>响应文件递交截止后的5个工作日内完成</w:t>
      </w:r>
    </w:p>
    <w:p w14:paraId="6C9FCD9C">
      <w:pPr>
        <w:spacing w:line="360" w:lineRule="auto"/>
        <w:ind w:firstLine="420" w:firstLineChars="200"/>
        <w:rPr>
          <w:rFonts w:hint="eastAsia" w:ascii="宋体" w:hAnsi="宋体" w:eastAsia="宋体" w:cs="宋体"/>
          <w:color w:val="auto"/>
          <w:sz w:val="21"/>
          <w:szCs w:val="21"/>
          <w:highlight w:val="none"/>
          <w:lang w:eastAsia="zh-CN" w:bidi="ar"/>
        </w:rPr>
      </w:pPr>
      <w:r>
        <w:rPr>
          <w:rFonts w:ascii="宋体" w:hAnsi="宋体" w:cs="宋体"/>
          <w:color w:val="auto"/>
          <w:sz w:val="21"/>
          <w:szCs w:val="21"/>
          <w:highlight w:val="none"/>
        </w:rPr>
        <w:t>2.地点：</w:t>
      </w:r>
      <w:r>
        <w:rPr>
          <w:rFonts w:hint="eastAsia" w:ascii="宋体" w:hAnsi="宋体" w:cs="宋体"/>
          <w:color w:val="auto"/>
          <w:sz w:val="21"/>
          <w:szCs w:val="21"/>
          <w:highlight w:val="none"/>
          <w:lang w:eastAsia="zh-CN" w:bidi="ar"/>
        </w:rPr>
        <w:t>广西壮族自治区水运发展中心</w:t>
      </w:r>
    </w:p>
    <w:p w14:paraId="59B95D8E">
      <w:pPr>
        <w:spacing w:line="360" w:lineRule="auto"/>
        <w:ind w:firstLine="420" w:firstLineChars="200"/>
        <w:rPr>
          <w:rFonts w:ascii="宋体" w:hAnsi="宋体" w:cs="宋体"/>
          <w:color w:val="auto"/>
          <w:sz w:val="21"/>
          <w:szCs w:val="21"/>
          <w:highlight w:val="none"/>
          <w:lang w:bidi="ar"/>
        </w:rPr>
      </w:pPr>
      <w:r>
        <w:rPr>
          <w:rFonts w:hint="eastAsia" w:ascii="宋体" w:hAnsi="宋体" w:cs="宋体"/>
          <w:color w:val="auto"/>
          <w:sz w:val="21"/>
          <w:szCs w:val="21"/>
          <w:highlight w:val="none"/>
          <w:lang w:bidi="ar"/>
        </w:rPr>
        <w:t>3.不邀请供应商参加响应文件开启。</w:t>
      </w:r>
    </w:p>
    <w:p w14:paraId="5FE6BD03">
      <w:pPr>
        <w:spacing w:line="360" w:lineRule="auto"/>
        <w:ind w:firstLine="422" w:firstLineChars="200"/>
        <w:rPr>
          <w:rFonts w:ascii="黑体" w:hAnsi="黑体" w:eastAsia="黑体"/>
          <w:b/>
          <w:color w:val="auto"/>
          <w:sz w:val="21"/>
          <w:szCs w:val="21"/>
          <w:highlight w:val="none"/>
        </w:rPr>
      </w:pPr>
      <w:r>
        <w:rPr>
          <w:rFonts w:hint="eastAsia" w:ascii="黑体" w:hAnsi="黑体" w:eastAsia="黑体"/>
          <w:b/>
          <w:color w:val="auto"/>
          <w:sz w:val="21"/>
          <w:szCs w:val="21"/>
          <w:highlight w:val="none"/>
        </w:rPr>
        <w:t>六、联系</w:t>
      </w:r>
      <w:r>
        <w:rPr>
          <w:rFonts w:ascii="黑体" w:hAnsi="黑体" w:eastAsia="黑体"/>
          <w:b/>
          <w:color w:val="auto"/>
          <w:sz w:val="21"/>
          <w:szCs w:val="21"/>
          <w:highlight w:val="none"/>
        </w:rPr>
        <w:t>方式</w:t>
      </w:r>
    </w:p>
    <w:p w14:paraId="546F92BE">
      <w:pPr>
        <w:widowControl/>
        <w:spacing w:line="360" w:lineRule="auto"/>
        <w:ind w:firstLine="420" w:firstLineChars="200"/>
        <w:rPr>
          <w:rFonts w:ascii="宋体" w:hAnsi="宋体" w:cs="宋体"/>
          <w:color w:val="auto"/>
          <w:sz w:val="21"/>
          <w:szCs w:val="21"/>
          <w:highlight w:val="none"/>
          <w:lang w:bidi="ar"/>
        </w:rPr>
      </w:pPr>
      <w:r>
        <w:rPr>
          <w:rFonts w:hint="eastAsia" w:ascii="宋体" w:hAnsi="宋体" w:cs="宋体"/>
          <w:color w:val="auto"/>
          <w:sz w:val="21"/>
          <w:szCs w:val="21"/>
          <w:highlight w:val="none"/>
          <w:lang w:bidi="ar"/>
        </w:rPr>
        <w:t>联系人：苏工 联系电话：0771-2841511。</w:t>
      </w:r>
    </w:p>
    <w:p w14:paraId="2347C43E">
      <w:pPr>
        <w:spacing w:line="360" w:lineRule="auto"/>
        <w:ind w:firstLine="310" w:firstLineChars="147"/>
        <w:rPr>
          <w:rFonts w:ascii="黑体" w:hAnsi="黑体" w:eastAsia="黑体"/>
          <w:b/>
          <w:color w:val="auto"/>
          <w:sz w:val="21"/>
          <w:szCs w:val="21"/>
          <w:highlight w:val="none"/>
        </w:rPr>
      </w:pPr>
    </w:p>
    <w:p w14:paraId="60EE3B3C">
      <w:pPr>
        <w:spacing w:line="360" w:lineRule="auto"/>
        <w:ind w:firstLine="310" w:firstLineChars="147"/>
        <w:rPr>
          <w:rFonts w:ascii="黑体" w:hAnsi="黑体" w:eastAsia="黑体"/>
          <w:b/>
          <w:color w:val="auto"/>
          <w:sz w:val="21"/>
          <w:szCs w:val="21"/>
          <w:highlight w:val="none"/>
        </w:rPr>
      </w:pPr>
    </w:p>
    <w:p w14:paraId="585AA13B">
      <w:pPr>
        <w:widowControl/>
        <w:spacing w:line="360" w:lineRule="auto"/>
        <w:ind w:firstLine="2100" w:firstLineChars="1000"/>
        <w:jc w:val="right"/>
        <w:rPr>
          <w:rFonts w:hint="eastAsia" w:ascii="宋体" w:hAnsi="宋体" w:eastAsia="宋体" w:cs="宋体"/>
          <w:color w:val="auto"/>
          <w:sz w:val="21"/>
          <w:szCs w:val="21"/>
          <w:highlight w:val="none"/>
          <w:lang w:eastAsia="zh-CN" w:bidi="ar"/>
        </w:rPr>
      </w:pPr>
      <w:r>
        <w:rPr>
          <w:rFonts w:hint="eastAsia" w:ascii="宋体" w:hAnsi="宋体" w:cs="宋体"/>
          <w:color w:val="auto"/>
          <w:sz w:val="21"/>
          <w:szCs w:val="21"/>
          <w:highlight w:val="none"/>
          <w:lang w:bidi="ar"/>
        </w:rPr>
        <w:t>采购人：</w:t>
      </w:r>
      <w:r>
        <w:rPr>
          <w:rFonts w:hint="eastAsia" w:ascii="宋体" w:hAnsi="宋体" w:cs="宋体"/>
          <w:color w:val="auto"/>
          <w:sz w:val="21"/>
          <w:szCs w:val="21"/>
          <w:highlight w:val="none"/>
          <w:lang w:eastAsia="zh-CN" w:bidi="ar"/>
        </w:rPr>
        <w:t>广西壮族自治区水运发展中心</w:t>
      </w:r>
    </w:p>
    <w:p w14:paraId="79A6A0C9">
      <w:pPr>
        <w:spacing w:line="360" w:lineRule="auto"/>
        <w:ind w:firstLine="420" w:firstLineChars="200"/>
        <w:jc w:val="right"/>
        <w:rPr>
          <w:rFonts w:ascii="宋体" w:hAnsi="宋体"/>
          <w:b/>
          <w:bCs/>
          <w:color w:val="auto"/>
          <w:sz w:val="32"/>
          <w:szCs w:val="32"/>
          <w:highlight w:val="none"/>
        </w:rPr>
      </w:pPr>
      <w:r>
        <w:rPr>
          <w:rFonts w:hint="eastAsia" w:ascii="宋体" w:hAnsi="宋体" w:cs="宋体"/>
          <w:color w:val="auto"/>
          <w:sz w:val="21"/>
          <w:szCs w:val="21"/>
          <w:highlight w:val="none"/>
          <w:lang w:bidi="ar"/>
        </w:rPr>
        <w:t xml:space="preserve">                            2026年</w:t>
      </w:r>
      <w:r>
        <w:rPr>
          <w:rFonts w:hint="eastAsia" w:ascii="宋体" w:hAnsi="宋体" w:cs="宋体"/>
          <w:color w:val="auto"/>
          <w:sz w:val="21"/>
          <w:szCs w:val="21"/>
          <w:highlight w:val="none"/>
          <w:lang w:val="en-US" w:eastAsia="zh-CN" w:bidi="ar"/>
        </w:rPr>
        <w:t>8</w:t>
      </w:r>
      <w:r>
        <w:rPr>
          <w:rFonts w:hint="eastAsia" w:ascii="宋体" w:hAnsi="宋体" w:cs="宋体"/>
          <w:color w:val="auto"/>
          <w:sz w:val="21"/>
          <w:szCs w:val="21"/>
          <w:highlight w:val="none"/>
          <w:lang w:bidi="ar"/>
        </w:rPr>
        <w:t>月</w:t>
      </w:r>
      <w:r>
        <w:rPr>
          <w:rFonts w:hint="eastAsia" w:ascii="宋体" w:hAnsi="宋体" w:cs="宋体"/>
          <w:color w:val="auto"/>
          <w:sz w:val="21"/>
          <w:szCs w:val="21"/>
          <w:highlight w:val="none"/>
          <w:lang w:val="en-US" w:eastAsia="zh-CN" w:bidi="ar"/>
        </w:rPr>
        <w:t>24</w:t>
      </w:r>
      <w:r>
        <w:rPr>
          <w:rFonts w:hint="eastAsia" w:ascii="宋体" w:hAnsi="宋体" w:cs="宋体"/>
          <w:color w:val="auto"/>
          <w:sz w:val="21"/>
          <w:szCs w:val="21"/>
          <w:highlight w:val="none"/>
          <w:lang w:bidi="ar"/>
        </w:rPr>
        <w:t>日</w:t>
      </w:r>
    </w:p>
    <w:p w14:paraId="12ED6FA2">
      <w:pPr>
        <w:pStyle w:val="2"/>
        <w:spacing w:before="0" w:after="0" w:line="460" w:lineRule="exact"/>
        <w:jc w:val="center"/>
        <w:rPr>
          <w:color w:val="auto"/>
          <w:sz w:val="28"/>
          <w:szCs w:val="28"/>
          <w:highlight w:val="none"/>
        </w:rPr>
      </w:pPr>
      <w:r>
        <w:rPr>
          <w:rFonts w:hint="eastAsia"/>
          <w:color w:val="auto"/>
          <w:highlight w:val="none"/>
        </w:rPr>
        <w:br w:type="page"/>
      </w:r>
      <w:bookmarkStart w:id="26" w:name="_Toc2392"/>
      <w:bookmarkStart w:id="27" w:name="_Toc3780"/>
      <w:bookmarkStart w:id="28" w:name="_Toc1323"/>
      <w:bookmarkStart w:id="29" w:name="_Toc30380"/>
      <w:bookmarkStart w:id="30" w:name="_Toc796"/>
      <w:bookmarkStart w:id="31" w:name="_Toc29219"/>
      <w:bookmarkStart w:id="32" w:name="_Toc15557"/>
      <w:bookmarkStart w:id="33" w:name="_Toc173"/>
      <w:bookmarkStart w:id="34" w:name="_Toc16740"/>
      <w:bookmarkStart w:id="35" w:name="_Toc18967"/>
      <w:bookmarkStart w:id="36" w:name="_Toc12041"/>
      <w:bookmarkStart w:id="37" w:name="_Toc22711"/>
      <w:bookmarkStart w:id="38" w:name="_Toc918"/>
      <w:bookmarkStart w:id="39" w:name="_Toc31261"/>
      <w:bookmarkStart w:id="40" w:name="_Toc6811"/>
      <w:bookmarkStart w:id="41" w:name="_Toc12837"/>
      <w:bookmarkStart w:id="42" w:name="_Toc3768"/>
      <w:r>
        <w:rPr>
          <w:rFonts w:hint="eastAsia"/>
          <w:color w:val="auto"/>
          <w:sz w:val="28"/>
          <w:szCs w:val="28"/>
          <w:highlight w:val="none"/>
        </w:rPr>
        <w:t>第二章 供应商须知</w:t>
      </w:r>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p>
    <w:p w14:paraId="6738722A">
      <w:pPr>
        <w:spacing w:line="400" w:lineRule="exact"/>
        <w:jc w:val="center"/>
        <w:rPr>
          <w:rFonts w:ascii="宋体" w:hAnsi="宋体"/>
          <w:b/>
          <w:color w:val="auto"/>
          <w:sz w:val="32"/>
          <w:szCs w:val="32"/>
          <w:highlight w:val="none"/>
        </w:rPr>
      </w:pPr>
    </w:p>
    <w:p w14:paraId="12BCFD6A">
      <w:pPr>
        <w:widowControl/>
        <w:spacing w:line="360" w:lineRule="auto"/>
        <w:ind w:firstLine="480" w:firstLineChars="200"/>
        <w:rPr>
          <w:rFonts w:ascii="宋体" w:hAnsi="宋体" w:cs="宋体"/>
          <w:color w:val="auto"/>
          <w:sz w:val="24"/>
          <w:highlight w:val="none"/>
          <w:lang w:bidi="ar"/>
        </w:rPr>
      </w:pPr>
      <w:r>
        <w:rPr>
          <w:rFonts w:hint="eastAsia" w:ascii="宋体" w:hAnsi="宋体" w:cs="宋体"/>
          <w:color w:val="auto"/>
          <w:sz w:val="24"/>
          <w:highlight w:val="none"/>
          <w:lang w:bidi="ar"/>
        </w:rPr>
        <w:t>一、本次采购采用总价包干，</w:t>
      </w:r>
      <w:r>
        <w:rPr>
          <w:rFonts w:hint="eastAsia" w:ascii="宋体" w:hAnsi="宋体" w:cs="宋体"/>
          <w:color w:val="auto"/>
          <w:sz w:val="24"/>
          <w:highlight w:val="none"/>
          <w:lang w:eastAsia="zh-CN" w:bidi="ar"/>
        </w:rPr>
        <w:t>投标报价</w:t>
      </w:r>
      <w:r>
        <w:rPr>
          <w:rFonts w:hint="eastAsia" w:ascii="宋体" w:hAnsi="宋体" w:cs="宋体"/>
          <w:color w:val="auto"/>
          <w:sz w:val="24"/>
          <w:highlight w:val="none"/>
          <w:lang w:bidi="ar"/>
        </w:rPr>
        <w:t>包含为完成</w:t>
      </w:r>
      <w:r>
        <w:rPr>
          <w:rFonts w:hint="eastAsia" w:ascii="宋体" w:hAnsi="宋体" w:cs="宋体"/>
          <w:color w:val="auto"/>
          <w:sz w:val="24"/>
          <w:highlight w:val="none"/>
          <w:u w:val="single"/>
          <w:lang w:val="en-US" w:eastAsia="zh-CN" w:bidi="ar"/>
        </w:rPr>
        <w:t xml:space="preserve"> 红水河（曹渡河口至桥巩）三级航道工程对广西忻城乐滩国家湿地公园生态影响评价服务 </w:t>
      </w:r>
      <w:r>
        <w:rPr>
          <w:rFonts w:hint="eastAsia" w:ascii="宋体" w:hAnsi="宋体" w:cs="宋体"/>
          <w:color w:val="auto"/>
          <w:sz w:val="24"/>
          <w:highlight w:val="none"/>
          <w:lang w:bidi="ar"/>
        </w:rPr>
        <w:t>项目的全部工作以及</w:t>
      </w:r>
      <w:r>
        <w:rPr>
          <w:rFonts w:hint="eastAsia" w:ascii="宋体" w:hAnsi="宋体" w:cs="宋体"/>
          <w:color w:val="auto"/>
          <w:sz w:val="24"/>
          <w:highlight w:val="none"/>
          <w:lang w:eastAsia="zh-CN" w:bidi="ar"/>
        </w:rPr>
        <w:t>全过程</w:t>
      </w:r>
      <w:r>
        <w:rPr>
          <w:rFonts w:hint="eastAsia" w:ascii="宋体" w:hAnsi="宋体" w:cs="宋体"/>
          <w:color w:val="auto"/>
          <w:sz w:val="24"/>
          <w:highlight w:val="none"/>
          <w:lang w:bidi="ar"/>
        </w:rPr>
        <w:t>可能发生的各种费用，</w:t>
      </w:r>
      <w:r>
        <w:rPr>
          <w:rFonts w:hint="eastAsia" w:ascii="宋体" w:hAnsi="宋体" w:cs="宋体"/>
          <w:sz w:val="24"/>
          <w:lang w:bidi="ar"/>
        </w:rPr>
        <w:t>包含但不限于从前期踏勘、资料收集、报告编制费、现场管理费、会议、专家咨询费、调研差旅费、管理费、文印费、设备耗材费、税费及合同包含的所有风险、责任及措施等费用</w:t>
      </w:r>
      <w:r>
        <w:rPr>
          <w:rFonts w:hint="eastAsia" w:ascii="宋体" w:hAnsi="宋体" w:cs="宋体"/>
          <w:color w:val="auto"/>
          <w:sz w:val="24"/>
          <w:highlight w:val="none"/>
          <w:lang w:bidi="ar"/>
        </w:rPr>
        <w:t>。本项目合同总价在合同执行过程中是固定的，不因情况变化而调整。</w:t>
      </w:r>
    </w:p>
    <w:p w14:paraId="0BDCB630">
      <w:pPr>
        <w:widowControl/>
        <w:spacing w:line="360" w:lineRule="auto"/>
        <w:ind w:firstLine="480" w:firstLineChars="200"/>
        <w:rPr>
          <w:rFonts w:ascii="宋体" w:hAnsi="宋体" w:cs="宋体"/>
          <w:color w:val="auto"/>
          <w:sz w:val="24"/>
          <w:highlight w:val="none"/>
          <w:lang w:bidi="ar"/>
        </w:rPr>
      </w:pPr>
      <w:r>
        <w:rPr>
          <w:rFonts w:hint="eastAsia" w:ascii="宋体" w:hAnsi="宋体" w:cs="宋体"/>
          <w:color w:val="auto"/>
          <w:sz w:val="24"/>
          <w:highlight w:val="none"/>
          <w:lang w:bidi="ar"/>
        </w:rPr>
        <w:t>二、投标报价为一次报价，此次报价即最终报价，不再就价格问题另行协商。</w:t>
      </w:r>
    </w:p>
    <w:p w14:paraId="4FFAACD4">
      <w:pPr>
        <w:widowControl/>
        <w:spacing w:line="360" w:lineRule="auto"/>
        <w:ind w:firstLine="480" w:firstLineChars="200"/>
        <w:rPr>
          <w:rFonts w:ascii="宋体" w:hAnsi="宋体" w:cs="宋体"/>
          <w:color w:val="auto"/>
          <w:sz w:val="24"/>
          <w:highlight w:val="none"/>
          <w:lang w:bidi="ar"/>
        </w:rPr>
      </w:pPr>
      <w:r>
        <w:rPr>
          <w:rFonts w:hint="eastAsia" w:ascii="宋体" w:hAnsi="宋体" w:cs="宋体"/>
          <w:color w:val="auto"/>
          <w:sz w:val="24"/>
          <w:highlight w:val="none"/>
          <w:lang w:bidi="ar"/>
        </w:rPr>
        <w:t>三、投标报价不能超过采购公告规定的最高限价，超过最高限价作投标无效处理。</w:t>
      </w:r>
    </w:p>
    <w:p w14:paraId="1BD7D74A">
      <w:pPr>
        <w:widowControl/>
        <w:spacing w:line="360" w:lineRule="auto"/>
        <w:ind w:firstLine="480" w:firstLineChars="200"/>
        <w:rPr>
          <w:rFonts w:ascii="宋体" w:hAnsi="宋体" w:cs="宋体"/>
          <w:color w:val="auto"/>
          <w:sz w:val="24"/>
          <w:highlight w:val="none"/>
          <w:lang w:bidi="ar"/>
        </w:rPr>
      </w:pPr>
      <w:r>
        <w:rPr>
          <w:rFonts w:hint="eastAsia" w:ascii="宋体" w:hAnsi="宋体" w:cs="宋体"/>
          <w:color w:val="auto"/>
          <w:sz w:val="24"/>
          <w:highlight w:val="none"/>
          <w:lang w:bidi="ar"/>
        </w:rPr>
        <w:t>四、报价应为含税价格，并且能够提供增值税发票。</w:t>
      </w:r>
    </w:p>
    <w:p w14:paraId="585AEF06">
      <w:pPr>
        <w:widowControl/>
        <w:spacing w:line="360" w:lineRule="auto"/>
        <w:ind w:firstLine="480" w:firstLineChars="200"/>
        <w:rPr>
          <w:rFonts w:ascii="宋体" w:hAnsi="宋体" w:cs="宋体"/>
          <w:color w:val="auto"/>
          <w:sz w:val="24"/>
          <w:highlight w:val="none"/>
          <w:lang w:bidi="ar"/>
        </w:rPr>
      </w:pPr>
      <w:r>
        <w:rPr>
          <w:rFonts w:hint="eastAsia" w:ascii="宋体" w:hAnsi="宋体" w:cs="宋体"/>
          <w:color w:val="auto"/>
          <w:sz w:val="24"/>
          <w:highlight w:val="none"/>
          <w:lang w:bidi="ar"/>
        </w:rPr>
        <w:t>五、供应商如需现场考察，可自行前往，费用自理。</w:t>
      </w:r>
    </w:p>
    <w:p w14:paraId="1CD332D4">
      <w:pPr>
        <w:widowControl/>
        <w:spacing w:line="360" w:lineRule="auto"/>
        <w:ind w:firstLine="480" w:firstLineChars="200"/>
        <w:rPr>
          <w:rFonts w:ascii="宋体" w:hAnsi="宋体" w:cs="宋体"/>
          <w:color w:val="auto"/>
          <w:sz w:val="24"/>
          <w:highlight w:val="none"/>
          <w:lang w:bidi="ar"/>
        </w:rPr>
      </w:pPr>
      <w:r>
        <w:rPr>
          <w:rFonts w:hint="eastAsia" w:ascii="宋体" w:hAnsi="宋体" w:cs="宋体"/>
          <w:color w:val="auto"/>
          <w:sz w:val="24"/>
          <w:highlight w:val="none"/>
          <w:lang w:bidi="ar"/>
        </w:rPr>
        <w:t>六、供应商应针对本项目的特殊性和项目所在地的地理、人文、环境进行综合的评估，谨慎报价，合理安排各项工作。</w:t>
      </w:r>
    </w:p>
    <w:p w14:paraId="26563613">
      <w:pPr>
        <w:spacing w:line="360" w:lineRule="auto"/>
        <w:ind w:firstLine="480" w:firstLineChars="200"/>
        <w:rPr>
          <w:rFonts w:ascii="宋体" w:hAnsi="宋体" w:cs="宋体"/>
          <w:color w:val="auto"/>
          <w:sz w:val="24"/>
          <w:highlight w:val="none"/>
          <w:lang w:bidi="ar"/>
        </w:rPr>
      </w:pPr>
      <w:r>
        <w:rPr>
          <w:rFonts w:hint="eastAsia" w:ascii="宋体" w:hAnsi="宋体" w:cs="宋体"/>
          <w:color w:val="auto"/>
          <w:sz w:val="24"/>
          <w:highlight w:val="none"/>
          <w:lang w:bidi="ar"/>
        </w:rPr>
        <w:t>七、响应文件应于采购公告规定的响应文件递交截止时间前递交，密封邮寄或亲自递交到采购公告指定的响应文件递交地点，逾期送达的，采购人将予以拒收。</w:t>
      </w:r>
    </w:p>
    <w:p w14:paraId="48014872">
      <w:pPr>
        <w:widowControl/>
        <w:spacing w:line="360" w:lineRule="auto"/>
        <w:ind w:firstLine="480" w:firstLineChars="200"/>
        <w:rPr>
          <w:rFonts w:ascii="宋体" w:hAnsi="宋体" w:cs="宋体"/>
          <w:color w:val="auto"/>
          <w:sz w:val="24"/>
          <w:highlight w:val="none"/>
          <w:lang w:bidi="ar"/>
        </w:rPr>
      </w:pPr>
      <w:r>
        <w:rPr>
          <w:rFonts w:hint="eastAsia" w:ascii="宋体" w:hAnsi="宋体" w:cs="宋体"/>
          <w:color w:val="auto"/>
          <w:sz w:val="24"/>
          <w:highlight w:val="none"/>
          <w:lang w:bidi="ar"/>
        </w:rPr>
        <w:t>八、响应文件应按第五章响应文件格式要求编制。响应文件正本壹份、副本壹份。</w:t>
      </w:r>
    </w:p>
    <w:p w14:paraId="23134C23">
      <w:pPr>
        <w:widowControl/>
        <w:spacing w:line="360" w:lineRule="auto"/>
        <w:ind w:firstLine="480" w:firstLineChars="200"/>
        <w:rPr>
          <w:rFonts w:ascii="宋体" w:hAnsi="宋体" w:cs="宋体"/>
          <w:color w:val="auto"/>
          <w:sz w:val="24"/>
          <w:highlight w:val="none"/>
          <w:lang w:bidi="ar"/>
        </w:rPr>
      </w:pPr>
      <w:r>
        <w:rPr>
          <w:rFonts w:hint="eastAsia" w:ascii="宋体" w:hAnsi="宋体" w:cs="宋体"/>
          <w:color w:val="auto"/>
          <w:sz w:val="24"/>
          <w:highlight w:val="none"/>
          <w:lang w:bidi="ar"/>
        </w:rPr>
        <w:t>九、本项目允许分包</w:t>
      </w:r>
      <w:r>
        <w:rPr>
          <w:rFonts w:hint="eastAsia" w:ascii="宋体" w:hAnsi="宋体" w:cs="宋体"/>
          <w:color w:val="auto"/>
          <w:sz w:val="24"/>
          <w:highlight w:val="none"/>
          <w:lang w:eastAsia="zh-CN" w:bidi="ar"/>
        </w:rPr>
        <w:t>的内容：现状调查</w:t>
      </w:r>
      <w:r>
        <w:rPr>
          <w:rFonts w:hint="eastAsia" w:ascii="宋体" w:hAnsi="宋体" w:cs="宋体"/>
          <w:color w:val="auto"/>
          <w:sz w:val="24"/>
          <w:highlight w:val="none"/>
          <w:lang w:bidi="ar"/>
        </w:rPr>
        <w:t>。</w:t>
      </w:r>
    </w:p>
    <w:p w14:paraId="5872A47A">
      <w:pPr>
        <w:widowControl/>
        <w:spacing w:line="360" w:lineRule="auto"/>
        <w:ind w:firstLine="480" w:firstLineChars="200"/>
        <w:rPr>
          <w:rFonts w:ascii="宋体" w:hAnsi="宋体" w:cs="宋体"/>
          <w:color w:val="auto"/>
          <w:sz w:val="24"/>
          <w:highlight w:val="none"/>
          <w:lang w:bidi="ar"/>
        </w:rPr>
      </w:pPr>
      <w:r>
        <w:rPr>
          <w:rFonts w:hint="eastAsia" w:ascii="宋体" w:hAnsi="宋体" w:cs="宋体"/>
          <w:color w:val="auto"/>
          <w:sz w:val="24"/>
          <w:highlight w:val="none"/>
          <w:lang w:bidi="ar"/>
        </w:rPr>
        <w:t>十、投标有效期为</w:t>
      </w:r>
      <w:r>
        <w:rPr>
          <w:rFonts w:ascii="宋体" w:hAnsi="宋体" w:cs="宋体"/>
          <w:color w:val="auto"/>
          <w:sz w:val="24"/>
          <w:highlight w:val="none"/>
          <w:lang w:bidi="ar"/>
        </w:rPr>
        <w:t>60</w:t>
      </w:r>
      <w:r>
        <w:rPr>
          <w:rFonts w:hint="eastAsia" w:ascii="宋体" w:hAnsi="宋体" w:cs="宋体"/>
          <w:color w:val="auto"/>
          <w:sz w:val="24"/>
          <w:highlight w:val="none"/>
          <w:lang w:bidi="ar"/>
        </w:rPr>
        <w:t>日历天。</w:t>
      </w:r>
    </w:p>
    <w:p w14:paraId="399ABD3E">
      <w:pPr>
        <w:spacing w:line="360" w:lineRule="auto"/>
        <w:ind w:firstLine="480" w:firstLineChars="200"/>
        <w:rPr>
          <w:rFonts w:ascii="宋体" w:hAnsi="宋体" w:cs="宋体"/>
          <w:color w:val="auto"/>
          <w:sz w:val="24"/>
          <w:highlight w:val="none"/>
          <w:lang w:bidi="ar"/>
        </w:rPr>
      </w:pPr>
    </w:p>
    <w:p w14:paraId="19259358">
      <w:pPr>
        <w:pStyle w:val="10"/>
        <w:rPr>
          <w:rFonts w:ascii="宋体"/>
          <w:bCs/>
          <w:color w:val="auto"/>
          <w:kern w:val="0"/>
          <w:szCs w:val="21"/>
          <w:highlight w:val="none"/>
        </w:rPr>
      </w:pPr>
    </w:p>
    <w:p w14:paraId="474B4D8D">
      <w:pPr>
        <w:pStyle w:val="10"/>
        <w:rPr>
          <w:rFonts w:ascii="宋体"/>
          <w:bCs/>
          <w:color w:val="auto"/>
          <w:kern w:val="0"/>
          <w:szCs w:val="21"/>
          <w:highlight w:val="none"/>
        </w:rPr>
      </w:pPr>
    </w:p>
    <w:p w14:paraId="2330C8D1">
      <w:pPr>
        <w:pStyle w:val="15"/>
        <w:spacing w:line="360" w:lineRule="auto"/>
        <w:ind w:firstLine="643" w:firstLineChars="200"/>
        <w:textAlignment w:val="center"/>
        <w:rPr>
          <w:rFonts w:hAnsi="宋体" w:cs="宋体"/>
          <w:color w:val="auto"/>
          <w:kern w:val="2"/>
          <w:sz w:val="21"/>
          <w:highlight w:val="none"/>
        </w:rPr>
      </w:pPr>
      <w:r>
        <w:rPr>
          <w:rFonts w:hAnsi="宋体"/>
          <w:b/>
          <w:color w:val="auto"/>
          <w:sz w:val="32"/>
          <w:szCs w:val="32"/>
          <w:highlight w:val="none"/>
        </w:rPr>
        <w:br w:type="page"/>
      </w:r>
    </w:p>
    <w:p w14:paraId="468DC33C">
      <w:pPr>
        <w:pStyle w:val="2"/>
        <w:spacing w:before="0" w:after="0" w:line="360" w:lineRule="auto"/>
        <w:jc w:val="center"/>
        <w:rPr>
          <w:color w:val="auto"/>
          <w:sz w:val="28"/>
          <w:szCs w:val="28"/>
          <w:highlight w:val="none"/>
        </w:rPr>
      </w:pPr>
      <w:bookmarkStart w:id="43" w:name="_Toc1143"/>
      <w:bookmarkStart w:id="44" w:name="_Toc10745"/>
      <w:bookmarkStart w:id="45" w:name="_Toc2534"/>
      <w:bookmarkStart w:id="46" w:name="_Toc14941"/>
      <w:bookmarkStart w:id="47" w:name="_Toc18037"/>
      <w:bookmarkStart w:id="48" w:name="_Toc1475"/>
      <w:bookmarkStart w:id="49" w:name="_Toc31960"/>
      <w:bookmarkStart w:id="50" w:name="_Toc29660"/>
      <w:bookmarkStart w:id="51" w:name="_Toc6699"/>
      <w:bookmarkStart w:id="52" w:name="_Toc22466"/>
      <w:bookmarkStart w:id="53" w:name="_Toc11226"/>
      <w:bookmarkStart w:id="54" w:name="_Toc14791"/>
      <w:bookmarkStart w:id="55" w:name="_Toc14696"/>
      <w:bookmarkStart w:id="56" w:name="_Toc20395"/>
      <w:bookmarkStart w:id="57" w:name="_Toc22961"/>
      <w:bookmarkStart w:id="58" w:name="_Toc16775"/>
      <w:bookmarkStart w:id="59" w:name="_Toc11112"/>
      <w:r>
        <w:rPr>
          <w:rFonts w:hint="eastAsia"/>
          <w:color w:val="auto"/>
          <w:sz w:val="28"/>
          <w:szCs w:val="28"/>
          <w:highlight w:val="none"/>
        </w:rPr>
        <w:t>第三章 采购需求</w:t>
      </w:r>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p>
    <w:p w14:paraId="41A02338">
      <w:pPr>
        <w:widowControl/>
        <w:spacing w:line="360" w:lineRule="auto"/>
        <w:ind w:firstLine="422" w:firstLineChars="200"/>
        <w:rPr>
          <w:rFonts w:hint="eastAsia" w:ascii="宋体" w:hAnsi="宋体" w:cs="宋体"/>
          <w:b/>
          <w:bCs/>
          <w:color w:val="auto"/>
          <w:sz w:val="21"/>
          <w:szCs w:val="21"/>
          <w:highlight w:val="none"/>
          <w:lang w:bidi="ar"/>
        </w:rPr>
      </w:pPr>
    </w:p>
    <w:p w14:paraId="363B7EF9">
      <w:pPr>
        <w:widowControl/>
        <w:spacing w:line="360" w:lineRule="auto"/>
        <w:ind w:firstLine="422" w:firstLineChars="200"/>
        <w:outlineLvl w:val="1"/>
        <w:rPr>
          <w:rFonts w:ascii="宋体" w:hAnsi="宋体" w:cs="宋体"/>
          <w:b/>
          <w:bCs/>
          <w:color w:val="auto"/>
          <w:sz w:val="21"/>
          <w:szCs w:val="21"/>
          <w:highlight w:val="none"/>
          <w:lang w:bidi="ar"/>
        </w:rPr>
      </w:pPr>
      <w:bookmarkStart w:id="60" w:name="_Toc21169"/>
      <w:bookmarkStart w:id="61" w:name="_Toc7438"/>
      <w:bookmarkStart w:id="62" w:name="_Toc8373"/>
      <w:bookmarkStart w:id="63" w:name="_Toc4783"/>
      <w:bookmarkStart w:id="64" w:name="_Toc4566"/>
      <w:bookmarkStart w:id="65" w:name="_Toc11256"/>
      <w:bookmarkStart w:id="66" w:name="_Toc8575"/>
      <w:r>
        <w:rPr>
          <w:rFonts w:hint="eastAsia" w:ascii="宋体" w:hAnsi="宋体" w:cs="宋体"/>
          <w:b/>
          <w:bCs/>
          <w:color w:val="auto"/>
          <w:sz w:val="21"/>
          <w:szCs w:val="21"/>
          <w:highlight w:val="none"/>
          <w:lang w:bidi="ar"/>
        </w:rPr>
        <w:t>一、项目概况</w:t>
      </w:r>
      <w:bookmarkEnd w:id="60"/>
      <w:bookmarkEnd w:id="61"/>
      <w:bookmarkEnd w:id="62"/>
      <w:bookmarkEnd w:id="63"/>
      <w:bookmarkEnd w:id="64"/>
      <w:bookmarkEnd w:id="65"/>
      <w:bookmarkEnd w:id="66"/>
    </w:p>
    <w:p w14:paraId="7AD6DAB4">
      <w:pPr>
        <w:spacing w:line="360" w:lineRule="auto"/>
        <w:ind w:firstLine="420" w:firstLineChars="200"/>
        <w:rPr>
          <w:rFonts w:hint="eastAsia" w:ascii="宋体" w:hAnsi="宋体" w:cs="宋体"/>
          <w:bCs/>
          <w:color w:val="auto"/>
          <w:sz w:val="21"/>
          <w:szCs w:val="21"/>
          <w:highlight w:val="none"/>
        </w:rPr>
      </w:pPr>
      <w:r>
        <w:rPr>
          <w:rFonts w:hint="eastAsia" w:ascii="宋体" w:hAnsi="宋体" w:cs="宋体"/>
          <w:bCs/>
          <w:color w:val="auto"/>
          <w:sz w:val="21"/>
          <w:szCs w:val="21"/>
          <w:highlight w:val="none"/>
        </w:rPr>
        <w:t>红水河（曹渡河口至桥巩）三级航道工程，起点为河池市曹渡河口</w:t>
      </w:r>
      <w:r>
        <w:rPr>
          <w:rFonts w:hint="eastAsia" w:ascii="宋体" w:hAnsi="宋体" w:cs="宋体"/>
          <w:bCs/>
          <w:color w:val="auto"/>
          <w:sz w:val="21"/>
          <w:szCs w:val="21"/>
          <w:highlight w:val="none"/>
          <w:lang w:eastAsia="zh-CN"/>
        </w:rPr>
        <w:t>，</w:t>
      </w:r>
      <w:r>
        <w:rPr>
          <w:rFonts w:hint="eastAsia" w:ascii="宋体" w:hAnsi="宋体" w:cs="宋体"/>
          <w:bCs/>
          <w:color w:val="auto"/>
          <w:sz w:val="21"/>
          <w:szCs w:val="21"/>
          <w:highlight w:val="none"/>
        </w:rPr>
        <w:t>终点为来宾市桥巩枢纽，全长约450km，按内河三级航道标准建设，工程建设内容包括疏浚工程、清礁工程、航标工程、碍航桥梁拆建工程、桥梁防撞工程、碍航跨河线缆拆建工程、碍航穿河管道拆建工程、智慧航道工程、配套工程等。</w:t>
      </w:r>
    </w:p>
    <w:p w14:paraId="15E913BE">
      <w:pPr>
        <w:spacing w:line="360" w:lineRule="auto"/>
        <w:ind w:firstLine="420" w:firstLineChars="200"/>
        <w:rPr>
          <w:rFonts w:hint="eastAsia" w:ascii="宋体" w:hAnsi="宋体" w:cs="宋体"/>
          <w:bCs/>
          <w:color w:val="auto"/>
          <w:sz w:val="21"/>
          <w:szCs w:val="21"/>
          <w:highlight w:val="none"/>
        </w:rPr>
      </w:pPr>
      <w:r>
        <w:rPr>
          <w:rFonts w:hint="eastAsia" w:ascii="宋体" w:hAnsi="宋体" w:cs="宋体"/>
          <w:bCs/>
          <w:color w:val="auto"/>
          <w:sz w:val="21"/>
          <w:szCs w:val="21"/>
          <w:highlight w:val="none"/>
          <w:lang w:eastAsia="zh-CN"/>
        </w:rPr>
        <w:t>本项目</w:t>
      </w:r>
      <w:r>
        <w:rPr>
          <w:rFonts w:hint="eastAsia" w:ascii="宋体" w:hAnsi="宋体" w:cs="宋体"/>
          <w:bCs/>
          <w:color w:val="auto"/>
          <w:sz w:val="21"/>
          <w:szCs w:val="21"/>
          <w:highlight w:val="none"/>
        </w:rPr>
        <w:t>开展</w:t>
      </w:r>
      <w:r>
        <w:rPr>
          <w:rFonts w:hint="eastAsia" w:ascii="宋体" w:hAnsi="宋体" w:cs="宋体"/>
          <w:bCs/>
          <w:color w:val="auto"/>
          <w:sz w:val="21"/>
          <w:szCs w:val="21"/>
          <w:highlight w:val="none"/>
          <w:lang w:val="zh-CN"/>
        </w:rPr>
        <w:t>红水河（曹渡河口至桥巩）三级航道工程</w:t>
      </w:r>
      <w:r>
        <w:rPr>
          <w:rFonts w:hint="eastAsia" w:ascii="宋体" w:hAnsi="宋体" w:cs="宋体"/>
          <w:color w:val="auto"/>
          <w:sz w:val="21"/>
          <w:szCs w:val="21"/>
          <w:highlight w:val="none"/>
          <w:lang w:val="zh-CN" w:bidi="ar"/>
        </w:rPr>
        <w:t>对广西忻城乐滩国家湿地公园生态影响评价</w:t>
      </w:r>
      <w:r>
        <w:rPr>
          <w:rFonts w:hint="eastAsia" w:ascii="宋体" w:hAnsi="宋体" w:cs="宋体"/>
          <w:bCs/>
          <w:color w:val="auto"/>
          <w:sz w:val="21"/>
          <w:szCs w:val="21"/>
          <w:highlight w:val="none"/>
        </w:rPr>
        <w:t>。</w:t>
      </w:r>
    </w:p>
    <w:p w14:paraId="535FF123">
      <w:pPr>
        <w:spacing w:line="360" w:lineRule="auto"/>
        <w:ind w:firstLine="420" w:firstLineChars="200"/>
        <w:rPr>
          <w:rFonts w:ascii="宋体" w:hAnsi="宋体" w:cs="宋体"/>
          <w:bCs/>
          <w:color w:val="auto"/>
          <w:sz w:val="21"/>
          <w:szCs w:val="21"/>
          <w:highlight w:val="none"/>
        </w:rPr>
      </w:pPr>
      <w:r>
        <w:rPr>
          <w:rFonts w:hint="eastAsia" w:ascii="宋体" w:hAnsi="宋体" w:cs="宋体"/>
          <w:bCs/>
          <w:color w:val="auto"/>
          <w:sz w:val="21"/>
          <w:szCs w:val="21"/>
          <w:highlight w:val="none"/>
        </w:rPr>
        <w:t>采购预算金额：</w:t>
      </w:r>
      <w:r>
        <w:rPr>
          <w:rFonts w:hint="eastAsia" w:ascii="宋体" w:hAnsi="宋体" w:cs="宋体"/>
          <w:bCs/>
          <w:color w:val="auto"/>
          <w:sz w:val="21"/>
          <w:szCs w:val="21"/>
          <w:highlight w:val="none"/>
          <w:lang w:val="en-US" w:eastAsia="zh-CN"/>
        </w:rPr>
        <w:t>3</w:t>
      </w:r>
      <w:r>
        <w:rPr>
          <w:rFonts w:hint="eastAsia" w:ascii="宋体" w:hAnsi="宋体" w:cs="宋体"/>
          <w:bCs/>
          <w:color w:val="auto"/>
          <w:sz w:val="21"/>
          <w:szCs w:val="21"/>
          <w:highlight w:val="none"/>
        </w:rPr>
        <w:t>5万元。</w:t>
      </w:r>
    </w:p>
    <w:p w14:paraId="252E7E50">
      <w:pPr>
        <w:spacing w:line="360" w:lineRule="auto"/>
        <w:ind w:firstLine="422" w:firstLineChars="200"/>
        <w:outlineLvl w:val="1"/>
        <w:rPr>
          <w:rFonts w:ascii="宋体" w:hAnsi="宋体" w:cs="宋体"/>
          <w:b/>
          <w:bCs/>
          <w:color w:val="auto"/>
          <w:sz w:val="21"/>
          <w:szCs w:val="21"/>
          <w:highlight w:val="none"/>
          <w:lang w:bidi="ar"/>
        </w:rPr>
      </w:pPr>
      <w:bookmarkStart w:id="67" w:name="_Toc20215"/>
      <w:bookmarkStart w:id="68" w:name="_Toc6653"/>
      <w:bookmarkStart w:id="69" w:name="_Toc2812"/>
      <w:bookmarkStart w:id="70" w:name="_Toc17954"/>
      <w:bookmarkStart w:id="71" w:name="_Toc19570"/>
      <w:bookmarkStart w:id="72" w:name="_Toc7212"/>
      <w:bookmarkStart w:id="73" w:name="_Toc6004"/>
      <w:r>
        <w:rPr>
          <w:rFonts w:hint="eastAsia" w:ascii="宋体" w:hAnsi="宋体" w:cs="宋体"/>
          <w:b/>
          <w:bCs/>
          <w:color w:val="auto"/>
          <w:sz w:val="21"/>
          <w:szCs w:val="21"/>
          <w:highlight w:val="none"/>
          <w:lang w:bidi="ar"/>
        </w:rPr>
        <w:t>二、采购内容</w:t>
      </w:r>
      <w:bookmarkEnd w:id="67"/>
      <w:bookmarkEnd w:id="68"/>
      <w:bookmarkEnd w:id="69"/>
      <w:bookmarkEnd w:id="70"/>
      <w:bookmarkEnd w:id="71"/>
      <w:bookmarkEnd w:id="72"/>
      <w:bookmarkEnd w:id="73"/>
    </w:p>
    <w:p w14:paraId="152F368F">
      <w:pPr>
        <w:widowControl/>
        <w:spacing w:line="360" w:lineRule="auto"/>
        <w:ind w:firstLine="420" w:firstLineChars="200"/>
        <w:rPr>
          <w:rFonts w:hint="eastAsia" w:ascii="宋体" w:hAnsi="宋体" w:eastAsia="宋体" w:cs="宋体"/>
          <w:color w:val="auto"/>
          <w:sz w:val="21"/>
          <w:szCs w:val="21"/>
          <w:highlight w:val="none"/>
          <w:lang w:eastAsia="zh-CN" w:bidi="ar"/>
        </w:rPr>
      </w:pPr>
      <w:r>
        <w:rPr>
          <w:rFonts w:hint="eastAsia" w:ascii="宋体" w:hAnsi="宋体" w:cs="宋体"/>
          <w:color w:val="auto"/>
          <w:sz w:val="21"/>
          <w:szCs w:val="21"/>
          <w:highlight w:val="none"/>
          <w:lang w:val="zh-CN" w:bidi="ar"/>
        </w:rPr>
        <w:t>红水河（曹渡河口至桥巩）三级航道工程对广西忻城乐滩国家湿地公园生态影响评价服务，包括开展广西忻城乐滩国家湿地公园生物多样性现状调查、分析建设项目对湿地公园的影响预测、提出减缓影响的措施等，编制《红水河（曹渡河口至桥巩）三级航道工程对广西忻城乐滩国家湿地公园生态影响评价报告》。</w:t>
      </w:r>
    </w:p>
    <w:p w14:paraId="443A297C">
      <w:pPr>
        <w:widowControl/>
        <w:spacing w:line="360" w:lineRule="auto"/>
        <w:ind w:firstLine="422" w:firstLineChars="200"/>
        <w:outlineLvl w:val="1"/>
        <w:rPr>
          <w:rFonts w:ascii="宋体" w:hAnsi="宋体" w:cs="宋体"/>
          <w:b/>
          <w:bCs/>
          <w:color w:val="auto"/>
          <w:sz w:val="21"/>
          <w:szCs w:val="21"/>
          <w:highlight w:val="none"/>
          <w:lang w:bidi="ar"/>
        </w:rPr>
      </w:pPr>
      <w:bookmarkStart w:id="74" w:name="_Toc18021"/>
      <w:bookmarkStart w:id="75" w:name="_Toc7146"/>
      <w:bookmarkStart w:id="76" w:name="_Toc3523"/>
      <w:bookmarkStart w:id="77" w:name="_Toc9683"/>
      <w:bookmarkStart w:id="78" w:name="_Toc10040"/>
      <w:bookmarkStart w:id="79" w:name="_Toc25018"/>
      <w:bookmarkStart w:id="80" w:name="_Toc14040"/>
      <w:r>
        <w:rPr>
          <w:rFonts w:hint="eastAsia" w:ascii="宋体" w:hAnsi="宋体" w:cs="宋体"/>
          <w:b/>
          <w:bCs/>
          <w:color w:val="auto"/>
          <w:sz w:val="21"/>
          <w:szCs w:val="21"/>
          <w:highlight w:val="none"/>
          <w:lang w:bidi="ar"/>
        </w:rPr>
        <w:t>三、技术要求</w:t>
      </w:r>
      <w:bookmarkEnd w:id="74"/>
      <w:bookmarkEnd w:id="75"/>
      <w:bookmarkEnd w:id="76"/>
      <w:bookmarkEnd w:id="77"/>
      <w:bookmarkEnd w:id="78"/>
      <w:bookmarkEnd w:id="79"/>
      <w:bookmarkEnd w:id="80"/>
    </w:p>
    <w:p w14:paraId="76F1DC12">
      <w:pPr>
        <w:widowControl/>
        <w:spacing w:line="360" w:lineRule="auto"/>
        <w:ind w:firstLine="422" w:firstLineChars="200"/>
        <w:outlineLvl w:val="2"/>
        <w:rPr>
          <w:rFonts w:ascii="宋体" w:hAnsi="宋体" w:cs="宋体"/>
          <w:b/>
          <w:bCs/>
          <w:color w:val="auto"/>
          <w:sz w:val="21"/>
          <w:szCs w:val="21"/>
          <w:highlight w:val="none"/>
          <w:lang w:bidi="ar"/>
        </w:rPr>
      </w:pPr>
      <w:r>
        <w:rPr>
          <w:rFonts w:hint="eastAsia" w:ascii="宋体" w:hAnsi="宋体" w:cs="宋体"/>
          <w:b/>
          <w:bCs/>
          <w:color w:val="auto"/>
          <w:sz w:val="21"/>
          <w:szCs w:val="21"/>
          <w:highlight w:val="none"/>
          <w:lang w:bidi="ar"/>
        </w:rPr>
        <w:t>（一）技术标准</w:t>
      </w:r>
    </w:p>
    <w:p w14:paraId="7986AB82">
      <w:pPr>
        <w:widowControl/>
        <w:spacing w:line="360" w:lineRule="auto"/>
        <w:ind w:firstLine="420" w:firstLineChars="200"/>
        <w:rPr>
          <w:rFonts w:hint="eastAsia" w:ascii="宋体" w:hAnsi="宋体" w:cs="宋体"/>
          <w:color w:val="auto"/>
          <w:sz w:val="21"/>
          <w:szCs w:val="21"/>
          <w:highlight w:val="none"/>
          <w:lang w:bidi="ar"/>
        </w:rPr>
      </w:pPr>
      <w:r>
        <w:rPr>
          <w:rFonts w:hint="eastAsia" w:ascii="宋体" w:hAnsi="宋体" w:cs="宋体"/>
          <w:color w:val="auto"/>
          <w:sz w:val="21"/>
          <w:szCs w:val="21"/>
          <w:highlight w:val="none"/>
          <w:lang w:bidi="ar"/>
        </w:rPr>
        <w:t>执行</w:t>
      </w:r>
      <w:bookmarkStart w:id="81" w:name="OLE_LINK11"/>
      <w:r>
        <w:rPr>
          <w:rFonts w:hint="eastAsia" w:ascii="宋体" w:hAnsi="宋体" w:cs="宋体"/>
          <w:color w:val="auto"/>
          <w:sz w:val="21"/>
          <w:szCs w:val="21"/>
          <w:highlight w:val="none"/>
          <w:lang w:bidi="ar"/>
        </w:rPr>
        <w:t>国家和行业现行相关的技术标准、规范和规程</w:t>
      </w:r>
      <w:bookmarkEnd w:id="81"/>
      <w:r>
        <w:rPr>
          <w:rFonts w:hint="eastAsia" w:ascii="宋体" w:hAnsi="宋体" w:cs="宋体"/>
          <w:color w:val="auto"/>
          <w:sz w:val="21"/>
          <w:szCs w:val="21"/>
          <w:highlight w:val="none"/>
          <w:lang w:bidi="ar"/>
        </w:rPr>
        <w:t>。在项目实施过程中，如国家或有关部门颁布了新的技术标准，则供应商应采用新的标准。</w:t>
      </w:r>
    </w:p>
    <w:p w14:paraId="325F43AF">
      <w:pPr>
        <w:widowControl/>
        <w:spacing w:line="360" w:lineRule="auto"/>
        <w:ind w:firstLine="422" w:firstLineChars="200"/>
        <w:outlineLvl w:val="2"/>
        <w:rPr>
          <w:rFonts w:ascii="宋体" w:hAnsi="宋体" w:cs="宋体"/>
          <w:b/>
          <w:bCs/>
          <w:color w:val="auto"/>
          <w:sz w:val="21"/>
          <w:szCs w:val="21"/>
          <w:highlight w:val="none"/>
          <w:lang w:bidi="ar"/>
        </w:rPr>
      </w:pPr>
      <w:r>
        <w:rPr>
          <w:rFonts w:hint="eastAsia" w:ascii="宋体" w:hAnsi="宋体" w:cs="宋体"/>
          <w:b/>
          <w:bCs/>
          <w:color w:val="auto"/>
          <w:sz w:val="21"/>
          <w:szCs w:val="21"/>
          <w:highlight w:val="none"/>
          <w:lang w:bidi="ar"/>
        </w:rPr>
        <w:t>（二）质量要求</w:t>
      </w:r>
    </w:p>
    <w:p w14:paraId="42841439">
      <w:pPr>
        <w:widowControl/>
        <w:spacing w:line="360" w:lineRule="auto"/>
        <w:ind w:firstLine="420" w:firstLineChars="200"/>
        <w:rPr>
          <w:rFonts w:hint="eastAsia" w:ascii="宋体" w:hAnsi="宋体" w:cs="宋体"/>
          <w:color w:val="auto"/>
          <w:sz w:val="21"/>
          <w:szCs w:val="21"/>
          <w:highlight w:val="none"/>
          <w:lang w:bidi="ar"/>
        </w:rPr>
      </w:pPr>
      <w:r>
        <w:rPr>
          <w:rFonts w:hint="eastAsia" w:ascii="宋体" w:hAnsi="宋体" w:cs="宋体"/>
          <w:color w:val="auto"/>
          <w:sz w:val="21"/>
          <w:szCs w:val="21"/>
          <w:highlight w:val="none"/>
          <w:lang w:bidi="ar"/>
        </w:rPr>
        <w:t>工作程序、工作成果应当符合现行林业行业相关国家标准、行业标准、地方标准等标准、规范。</w:t>
      </w:r>
      <w:r>
        <w:rPr>
          <w:rFonts w:hint="eastAsia" w:ascii="宋体" w:hAnsi="宋体" w:cs="宋体"/>
          <w:color w:val="auto"/>
          <w:sz w:val="21"/>
          <w:szCs w:val="21"/>
          <w:highlight w:val="none"/>
          <w:lang w:eastAsia="zh-CN" w:bidi="ar"/>
        </w:rPr>
        <w:t>工作</w:t>
      </w:r>
      <w:r>
        <w:rPr>
          <w:rFonts w:hint="eastAsia" w:ascii="宋体" w:hAnsi="宋体" w:cs="宋体"/>
          <w:color w:val="auto"/>
          <w:sz w:val="21"/>
          <w:szCs w:val="21"/>
          <w:highlight w:val="none"/>
          <w:lang w:bidi="ar"/>
        </w:rPr>
        <w:t>成果通过专家评审</w:t>
      </w:r>
      <w:r>
        <w:rPr>
          <w:rFonts w:hint="eastAsia" w:ascii="宋体" w:hAnsi="宋体" w:cs="宋体"/>
          <w:color w:val="auto"/>
          <w:sz w:val="21"/>
          <w:szCs w:val="21"/>
          <w:highlight w:val="none"/>
          <w:lang w:eastAsia="zh-CN" w:bidi="ar"/>
        </w:rPr>
        <w:t>、</w:t>
      </w:r>
      <w:r>
        <w:rPr>
          <w:rFonts w:hint="eastAsia" w:ascii="宋体" w:hAnsi="宋体" w:cs="宋体"/>
          <w:color w:val="auto"/>
          <w:sz w:val="21"/>
          <w:szCs w:val="21"/>
          <w:highlight w:val="none"/>
          <w:lang w:bidi="ar"/>
        </w:rPr>
        <w:t>验收合格。</w:t>
      </w:r>
    </w:p>
    <w:p w14:paraId="4072E6D0">
      <w:pPr>
        <w:adjustRightInd/>
        <w:spacing w:before="0" w:beforeLines="0" w:after="0" w:afterLines="0" w:line="360" w:lineRule="auto"/>
        <w:ind w:firstLine="422" w:firstLineChars="200"/>
        <w:outlineLvl w:val="2"/>
        <w:rPr>
          <w:rFonts w:hint="eastAsia" w:ascii="宋体" w:hAnsi="宋体" w:eastAsia="宋体" w:cs="宋体"/>
          <w:b/>
          <w:bCs/>
          <w:color w:val="000000"/>
          <w:sz w:val="21"/>
          <w:szCs w:val="21"/>
          <w:lang w:eastAsia="zh-CN"/>
          <w14:ligatures w14:val="none"/>
        </w:rPr>
      </w:pPr>
      <w:r>
        <w:rPr>
          <w:rFonts w:hint="eastAsia" w:ascii="宋体" w:hAnsi="宋体" w:eastAsia="宋体" w:cs="宋体"/>
          <w:b/>
          <w:bCs/>
          <w:color w:val="000000"/>
          <w:sz w:val="21"/>
          <w:szCs w:val="21"/>
          <w:lang w:eastAsia="zh-CN"/>
          <w14:ligatures w14:val="none"/>
        </w:rPr>
        <w:t>（三）</w:t>
      </w:r>
      <w:r>
        <w:rPr>
          <w:rFonts w:hint="eastAsia" w:ascii="宋体" w:hAnsi="宋体" w:cs="宋体"/>
          <w:b/>
          <w:bCs/>
          <w:color w:val="000000"/>
          <w:sz w:val="21"/>
          <w:szCs w:val="21"/>
          <w:lang w:eastAsia="zh-CN"/>
          <w14:ligatures w14:val="none"/>
        </w:rPr>
        <w:t>其他要求</w:t>
      </w:r>
    </w:p>
    <w:p w14:paraId="42B9579A">
      <w:pPr>
        <w:spacing w:before="0" w:beforeLines="0" w:after="0" w:afterLines="0" w:line="360" w:lineRule="auto"/>
        <w:ind w:firstLine="420" w:firstLineChars="200"/>
        <w:rPr>
          <w:rFonts w:hint="eastAsia" w:ascii="宋体" w:hAnsi="宋体" w:cs="宋体"/>
          <w:color w:val="000000"/>
          <w:szCs w:val="21"/>
        </w:rPr>
      </w:pPr>
      <w:r>
        <w:rPr>
          <w:rFonts w:hint="eastAsia" w:ascii="宋体" w:hAnsi="宋体" w:cs="宋体"/>
          <w:color w:val="000000"/>
          <w:szCs w:val="21"/>
          <w:lang w:val="en-US" w:eastAsia="zh-CN"/>
        </w:rPr>
        <w:t>.</w:t>
      </w:r>
      <w:r>
        <w:rPr>
          <w:rFonts w:hint="eastAsia" w:ascii="宋体" w:hAnsi="宋体" w:cs="宋体"/>
          <w:color w:val="000000"/>
          <w:szCs w:val="21"/>
        </w:rPr>
        <w:t>供应商承担本项目必要的基础数据资料收集，完成整个项目的服务工作，并保证资料数据准确，满足服务要求，且费用由供应商承担。</w:t>
      </w:r>
    </w:p>
    <w:p w14:paraId="05F7FAB1">
      <w:pPr>
        <w:widowControl/>
        <w:spacing w:line="360" w:lineRule="auto"/>
        <w:ind w:firstLine="422" w:firstLineChars="200"/>
        <w:outlineLvl w:val="1"/>
        <w:rPr>
          <w:rFonts w:ascii="宋体" w:hAnsi="宋体" w:cs="宋体"/>
          <w:b/>
          <w:bCs/>
          <w:color w:val="auto"/>
          <w:sz w:val="21"/>
          <w:szCs w:val="21"/>
          <w:highlight w:val="none"/>
          <w:lang w:bidi="ar"/>
        </w:rPr>
      </w:pPr>
      <w:bookmarkStart w:id="82" w:name="_Toc1531"/>
      <w:bookmarkStart w:id="83" w:name="_Toc11030"/>
      <w:bookmarkStart w:id="84" w:name="_Toc5165"/>
      <w:bookmarkStart w:id="85" w:name="_Toc13473"/>
      <w:bookmarkStart w:id="86" w:name="_Toc7860"/>
      <w:bookmarkStart w:id="87" w:name="_Toc21955"/>
      <w:bookmarkStart w:id="88" w:name="_Toc30484"/>
      <w:r>
        <w:rPr>
          <w:rFonts w:hint="eastAsia" w:ascii="宋体" w:hAnsi="宋体" w:cs="宋体"/>
          <w:b/>
          <w:bCs/>
          <w:color w:val="auto"/>
          <w:sz w:val="21"/>
          <w:szCs w:val="21"/>
          <w:highlight w:val="none"/>
          <w:lang w:bidi="ar"/>
        </w:rPr>
        <w:t>四、商务要求</w:t>
      </w:r>
      <w:bookmarkEnd w:id="82"/>
      <w:bookmarkEnd w:id="83"/>
      <w:bookmarkEnd w:id="84"/>
      <w:bookmarkEnd w:id="85"/>
      <w:bookmarkEnd w:id="86"/>
      <w:bookmarkEnd w:id="87"/>
      <w:bookmarkEnd w:id="88"/>
    </w:p>
    <w:p w14:paraId="2E365ABF">
      <w:pPr>
        <w:widowControl/>
        <w:spacing w:line="360" w:lineRule="auto"/>
        <w:ind w:firstLine="422" w:firstLineChars="200"/>
        <w:outlineLvl w:val="2"/>
        <w:rPr>
          <w:rFonts w:ascii="宋体" w:hAnsi="宋体" w:cs="宋体"/>
          <w:b/>
          <w:bCs/>
          <w:color w:val="auto"/>
          <w:sz w:val="21"/>
          <w:szCs w:val="21"/>
          <w:highlight w:val="none"/>
          <w:lang w:bidi="ar"/>
        </w:rPr>
      </w:pPr>
      <w:r>
        <w:rPr>
          <w:rFonts w:hint="eastAsia" w:ascii="宋体" w:hAnsi="宋体" w:cs="宋体"/>
          <w:b/>
          <w:bCs/>
          <w:color w:val="auto"/>
          <w:sz w:val="21"/>
          <w:szCs w:val="21"/>
          <w:highlight w:val="none"/>
          <w:lang w:bidi="ar"/>
        </w:rPr>
        <w:t>（一）报价要求</w:t>
      </w:r>
    </w:p>
    <w:p w14:paraId="657D36D6">
      <w:pPr>
        <w:widowControl/>
        <w:spacing w:line="360" w:lineRule="auto"/>
        <w:ind w:firstLine="420" w:firstLineChars="200"/>
        <w:rPr>
          <w:rFonts w:ascii="宋体" w:hAnsi="宋体" w:cs="宋体"/>
          <w:color w:val="auto"/>
          <w:sz w:val="21"/>
          <w:szCs w:val="21"/>
          <w:highlight w:val="none"/>
          <w:lang w:bidi="ar"/>
        </w:rPr>
      </w:pPr>
      <w:r>
        <w:rPr>
          <w:rFonts w:hint="eastAsia" w:ascii="宋体" w:hAnsi="宋体" w:cs="宋体"/>
          <w:color w:val="auto"/>
          <w:sz w:val="21"/>
          <w:szCs w:val="21"/>
          <w:highlight w:val="none"/>
          <w:lang w:bidi="ar"/>
        </w:rPr>
        <w:t>1.投标报价为完成采购人指定服务全部内容的报价，必须包含：履行合同的最终价格，包括了供应商完成本项目所需的一切工作内容而发生的所有直接费用、间接费用、其他费用、税金等全部费用和供应商要求获得的利润以及应由供应商承担的义务、责任和风险所发生的一切费用。</w:t>
      </w:r>
    </w:p>
    <w:p w14:paraId="3D9A60BB">
      <w:pPr>
        <w:widowControl/>
        <w:spacing w:line="360" w:lineRule="auto"/>
        <w:ind w:firstLine="420" w:firstLineChars="200"/>
        <w:rPr>
          <w:rFonts w:ascii="宋体" w:hAnsi="宋体" w:cs="宋体"/>
          <w:color w:val="auto"/>
          <w:sz w:val="21"/>
          <w:szCs w:val="21"/>
          <w:highlight w:val="none"/>
          <w:lang w:bidi="ar"/>
        </w:rPr>
      </w:pPr>
      <w:r>
        <w:rPr>
          <w:rFonts w:hint="eastAsia" w:ascii="宋体" w:hAnsi="宋体" w:cs="宋体"/>
          <w:color w:val="auto"/>
          <w:sz w:val="21"/>
          <w:szCs w:val="21"/>
          <w:highlight w:val="none"/>
          <w:lang w:bidi="ar"/>
        </w:rPr>
        <w:t>2.本次采购采用总价包干，投标报价包含为完成</w:t>
      </w:r>
      <w:r>
        <w:rPr>
          <w:rFonts w:hint="eastAsia" w:ascii="宋体" w:hAnsi="宋体" w:cs="宋体"/>
          <w:color w:val="auto"/>
          <w:sz w:val="21"/>
          <w:szCs w:val="21"/>
          <w:highlight w:val="none"/>
          <w:u w:val="single"/>
          <w:lang w:val="en-US" w:eastAsia="zh-CN" w:bidi="ar"/>
        </w:rPr>
        <w:t xml:space="preserve"> 红水河（曹渡河口至桥巩）三级航道工程对广西忻城乐滩国家湿地公园生态影响评价服务 </w:t>
      </w:r>
      <w:r>
        <w:rPr>
          <w:rFonts w:hint="eastAsia" w:ascii="宋体" w:hAnsi="宋体" w:cs="宋体"/>
          <w:color w:val="auto"/>
          <w:sz w:val="21"/>
          <w:szCs w:val="21"/>
          <w:highlight w:val="none"/>
          <w:lang w:bidi="ar"/>
        </w:rPr>
        <w:t>项目的全部工作以及</w:t>
      </w:r>
      <w:r>
        <w:rPr>
          <w:rFonts w:hint="eastAsia" w:ascii="宋体" w:hAnsi="宋体" w:cs="宋体"/>
          <w:color w:val="auto"/>
          <w:sz w:val="21"/>
          <w:szCs w:val="21"/>
          <w:highlight w:val="none"/>
          <w:lang w:eastAsia="zh-CN" w:bidi="ar"/>
        </w:rPr>
        <w:t>全过程</w:t>
      </w:r>
      <w:r>
        <w:rPr>
          <w:rFonts w:hint="eastAsia" w:ascii="宋体" w:hAnsi="宋体" w:cs="宋体"/>
          <w:color w:val="auto"/>
          <w:sz w:val="21"/>
          <w:szCs w:val="21"/>
          <w:highlight w:val="none"/>
          <w:lang w:bidi="ar"/>
        </w:rPr>
        <w:t>可能发生的各种费用，包含但不限于从前期踏勘、资料收集、报告编制费、现场管理费、会议、专家咨询费、调研差旅费、管理费、文印费、设备耗材费、税费及合同包含的所有风险、责任及措施等费用。本项目合同总价在合同执行过程中是固定的，不因情况变化而调整。</w:t>
      </w:r>
    </w:p>
    <w:p w14:paraId="3F3ED957">
      <w:pPr>
        <w:widowControl/>
        <w:spacing w:line="360" w:lineRule="auto"/>
        <w:ind w:firstLine="422" w:firstLineChars="200"/>
        <w:outlineLvl w:val="2"/>
        <w:rPr>
          <w:rFonts w:ascii="宋体" w:hAnsi="宋体" w:cs="宋体"/>
          <w:b/>
          <w:bCs/>
          <w:color w:val="auto"/>
          <w:sz w:val="21"/>
          <w:szCs w:val="21"/>
          <w:highlight w:val="none"/>
          <w:lang w:bidi="ar"/>
        </w:rPr>
      </w:pPr>
      <w:r>
        <w:rPr>
          <w:rFonts w:hint="eastAsia" w:ascii="宋体" w:hAnsi="宋体" w:cs="宋体"/>
          <w:b/>
          <w:bCs/>
          <w:color w:val="auto"/>
          <w:sz w:val="21"/>
          <w:szCs w:val="21"/>
          <w:highlight w:val="none"/>
          <w:lang w:bidi="ar"/>
        </w:rPr>
        <w:t>（二）工期要求</w:t>
      </w:r>
    </w:p>
    <w:p w14:paraId="3B64E2EE">
      <w:pPr>
        <w:widowControl/>
        <w:spacing w:line="360" w:lineRule="auto"/>
        <w:ind w:firstLine="420" w:firstLineChars="200"/>
        <w:rPr>
          <w:rFonts w:hint="eastAsia" w:ascii="宋体" w:hAnsi="宋体" w:cs="宋体"/>
          <w:bCs/>
          <w:color w:val="auto"/>
          <w:sz w:val="21"/>
          <w:szCs w:val="21"/>
          <w:highlight w:val="none"/>
          <w:lang w:eastAsia="zh-CN"/>
        </w:rPr>
      </w:pPr>
      <w:r>
        <w:rPr>
          <w:rFonts w:hint="eastAsia" w:ascii="宋体" w:hAnsi="宋体" w:cs="宋体"/>
          <w:bCs/>
          <w:color w:val="auto"/>
          <w:sz w:val="21"/>
          <w:szCs w:val="21"/>
          <w:highlight w:val="none"/>
        </w:rPr>
        <w:t>总工期：</w:t>
      </w:r>
      <w:r>
        <w:rPr>
          <w:rFonts w:hint="eastAsia" w:ascii="宋体" w:hAnsi="宋体" w:cs="宋体"/>
          <w:bCs/>
          <w:color w:val="auto"/>
          <w:sz w:val="21"/>
          <w:szCs w:val="21"/>
          <w:highlight w:val="none"/>
          <w:lang w:val="en-US" w:eastAsia="zh-CN"/>
        </w:rPr>
        <w:t>90日历天</w:t>
      </w:r>
      <w:r>
        <w:rPr>
          <w:rFonts w:hint="eastAsia" w:ascii="宋体" w:hAnsi="宋体" w:cs="宋体"/>
          <w:bCs/>
          <w:color w:val="auto"/>
          <w:sz w:val="21"/>
          <w:szCs w:val="21"/>
          <w:highlight w:val="none"/>
        </w:rPr>
        <w:t>。</w:t>
      </w:r>
      <w:r>
        <w:rPr>
          <w:rFonts w:hint="eastAsia" w:ascii="宋体" w:hAnsi="宋体" w:cs="宋体"/>
          <w:bCs/>
          <w:color w:val="auto"/>
          <w:sz w:val="21"/>
          <w:szCs w:val="21"/>
          <w:highlight w:val="none"/>
          <w:lang w:eastAsia="zh-CN"/>
        </w:rPr>
        <w:t>具体如下：</w:t>
      </w:r>
    </w:p>
    <w:p w14:paraId="229B405A">
      <w:pPr>
        <w:spacing w:line="360" w:lineRule="auto"/>
        <w:ind w:firstLine="420" w:firstLineChars="200"/>
        <w:rPr>
          <w:rFonts w:hint="eastAsia" w:ascii="宋体" w:hAnsi="宋体" w:eastAsia="宋体" w:cs="宋体"/>
          <w:bCs/>
          <w:color w:val="auto"/>
          <w:sz w:val="21"/>
          <w:szCs w:val="21"/>
          <w:highlight w:val="none"/>
          <w:lang w:eastAsia="zh-CN"/>
        </w:rPr>
      </w:pPr>
      <w:r>
        <w:rPr>
          <w:rFonts w:hint="eastAsia" w:ascii="宋体" w:hAnsi="宋体" w:cs="宋体"/>
          <w:bCs/>
          <w:color w:val="auto"/>
          <w:sz w:val="21"/>
          <w:szCs w:val="21"/>
          <w:highlight w:val="none"/>
          <w:lang w:eastAsia="zh-CN"/>
        </w:rPr>
        <w:t>（</w:t>
      </w:r>
      <w:r>
        <w:rPr>
          <w:rFonts w:hint="eastAsia" w:ascii="宋体" w:hAnsi="宋体" w:cs="宋体"/>
          <w:bCs/>
          <w:color w:val="auto"/>
          <w:sz w:val="21"/>
          <w:szCs w:val="21"/>
          <w:highlight w:val="none"/>
          <w:lang w:val="en-US" w:eastAsia="zh-CN"/>
        </w:rPr>
        <w:t>1</w:t>
      </w:r>
      <w:r>
        <w:rPr>
          <w:rFonts w:hint="eastAsia" w:ascii="宋体" w:hAnsi="宋体" w:cs="宋体"/>
          <w:bCs/>
          <w:color w:val="auto"/>
          <w:sz w:val="21"/>
          <w:szCs w:val="21"/>
          <w:highlight w:val="none"/>
          <w:lang w:eastAsia="zh-CN"/>
        </w:rPr>
        <w:t>）</w:t>
      </w:r>
      <w:r>
        <w:rPr>
          <w:rFonts w:hint="eastAsia" w:ascii="宋体" w:hAnsi="宋体" w:cs="宋体"/>
          <w:bCs/>
          <w:color w:val="auto"/>
          <w:szCs w:val="21"/>
          <w:highlight w:val="none"/>
        </w:rPr>
        <w:t>合同签订后</w:t>
      </w:r>
      <w:r>
        <w:rPr>
          <w:rFonts w:hint="eastAsia" w:ascii="宋体" w:hAnsi="宋体" w:cs="宋体"/>
          <w:bCs/>
          <w:color w:val="auto"/>
          <w:szCs w:val="21"/>
          <w:highlight w:val="none"/>
          <w:lang w:val="en-US" w:eastAsia="zh-CN"/>
        </w:rPr>
        <w:t>75</w:t>
      </w:r>
      <w:r>
        <w:rPr>
          <w:rFonts w:hint="eastAsia" w:ascii="宋体" w:hAnsi="宋体" w:cs="宋体"/>
          <w:bCs/>
          <w:color w:val="auto"/>
          <w:szCs w:val="21"/>
          <w:highlight w:val="none"/>
        </w:rPr>
        <w:t>日历天内</w:t>
      </w:r>
      <w:r>
        <w:rPr>
          <w:rFonts w:hint="eastAsia" w:ascii="宋体" w:hAnsi="宋体" w:cs="宋体"/>
          <w:bCs/>
          <w:color w:val="auto"/>
          <w:szCs w:val="21"/>
          <w:highlight w:val="none"/>
          <w:lang w:eastAsia="zh-CN"/>
        </w:rPr>
        <w:t>，提交影响评价</w:t>
      </w:r>
      <w:r>
        <w:rPr>
          <w:rFonts w:hint="eastAsia" w:ascii="宋体" w:hAnsi="宋体" w:cs="宋体"/>
          <w:bCs/>
          <w:color w:val="auto"/>
          <w:szCs w:val="21"/>
          <w:highlight w:val="none"/>
        </w:rPr>
        <w:t>报告送审稿</w:t>
      </w:r>
      <w:r>
        <w:rPr>
          <w:rFonts w:hint="eastAsia" w:ascii="宋体" w:hAnsi="宋体" w:cs="宋体"/>
          <w:bCs/>
          <w:color w:val="auto"/>
          <w:szCs w:val="21"/>
          <w:highlight w:val="none"/>
          <w:lang w:eastAsia="zh-CN"/>
        </w:rPr>
        <w:t>。</w:t>
      </w:r>
    </w:p>
    <w:p w14:paraId="7A9C99F7">
      <w:pPr>
        <w:spacing w:line="360" w:lineRule="auto"/>
        <w:ind w:firstLine="420" w:firstLineChars="200"/>
        <w:rPr>
          <w:rFonts w:hint="eastAsia" w:ascii="宋体" w:hAnsi="宋体" w:eastAsia="宋体" w:cs="宋体"/>
          <w:bCs/>
          <w:color w:val="auto"/>
          <w:sz w:val="21"/>
          <w:szCs w:val="21"/>
          <w:highlight w:val="none"/>
          <w:lang w:eastAsia="zh-CN"/>
        </w:rPr>
      </w:pPr>
      <w:r>
        <w:rPr>
          <w:rFonts w:hint="eastAsia" w:ascii="宋体" w:hAnsi="宋体" w:cs="宋体"/>
          <w:bCs/>
          <w:color w:val="auto"/>
          <w:sz w:val="21"/>
          <w:szCs w:val="21"/>
          <w:highlight w:val="none"/>
          <w:lang w:eastAsia="zh-CN"/>
        </w:rPr>
        <w:t>（</w:t>
      </w:r>
      <w:r>
        <w:rPr>
          <w:rFonts w:hint="eastAsia" w:ascii="宋体" w:hAnsi="宋体" w:cs="宋体"/>
          <w:bCs/>
          <w:color w:val="auto"/>
          <w:sz w:val="21"/>
          <w:szCs w:val="21"/>
          <w:highlight w:val="none"/>
          <w:lang w:val="en-US" w:eastAsia="zh-CN"/>
        </w:rPr>
        <w:t>2</w:t>
      </w:r>
      <w:r>
        <w:rPr>
          <w:rFonts w:hint="eastAsia" w:ascii="宋体" w:hAnsi="宋体" w:cs="宋体"/>
          <w:bCs/>
          <w:color w:val="auto"/>
          <w:sz w:val="21"/>
          <w:szCs w:val="21"/>
          <w:highlight w:val="none"/>
          <w:lang w:eastAsia="zh-CN"/>
        </w:rPr>
        <w:t>）</w:t>
      </w:r>
      <w:r>
        <w:rPr>
          <w:rFonts w:hint="eastAsia" w:ascii="宋体" w:hAnsi="宋体" w:cs="宋体"/>
          <w:bCs/>
          <w:color w:val="auto"/>
          <w:szCs w:val="21"/>
          <w:highlight w:val="none"/>
        </w:rPr>
        <w:t>报告</w:t>
      </w:r>
      <w:r>
        <w:rPr>
          <w:rFonts w:hint="eastAsia" w:ascii="宋体" w:hAnsi="宋体" w:cs="宋体"/>
          <w:bCs/>
          <w:color w:val="auto"/>
          <w:sz w:val="21"/>
          <w:szCs w:val="21"/>
          <w:highlight w:val="none"/>
          <w:lang w:eastAsia="zh-CN"/>
        </w:rPr>
        <w:t>评审</w:t>
      </w:r>
      <w:r>
        <w:rPr>
          <w:rFonts w:hint="eastAsia" w:ascii="宋体" w:hAnsi="宋体" w:cs="宋体"/>
          <w:bCs/>
          <w:color w:val="auto"/>
          <w:szCs w:val="21"/>
          <w:highlight w:val="none"/>
        </w:rPr>
        <w:t>会后15日历天内</w:t>
      </w:r>
      <w:r>
        <w:rPr>
          <w:rFonts w:hint="eastAsia" w:ascii="宋体" w:hAnsi="宋体" w:cs="宋体"/>
          <w:bCs/>
          <w:color w:val="auto"/>
          <w:szCs w:val="21"/>
          <w:highlight w:val="none"/>
          <w:lang w:eastAsia="zh-CN"/>
        </w:rPr>
        <w:t>，提交</w:t>
      </w:r>
      <w:r>
        <w:rPr>
          <w:rFonts w:hint="eastAsia" w:ascii="宋体" w:hAnsi="宋体" w:cs="宋体"/>
          <w:bCs/>
          <w:color w:val="auto"/>
          <w:szCs w:val="21"/>
          <w:highlight w:val="none"/>
        </w:rPr>
        <w:t>报告</w:t>
      </w:r>
      <w:r>
        <w:rPr>
          <w:rFonts w:hint="eastAsia" w:ascii="宋体" w:hAnsi="宋体" w:cs="宋体"/>
          <w:bCs/>
          <w:color w:val="auto"/>
          <w:szCs w:val="21"/>
          <w:highlight w:val="none"/>
          <w:lang w:eastAsia="zh-CN"/>
        </w:rPr>
        <w:t>报批</w:t>
      </w:r>
      <w:r>
        <w:rPr>
          <w:rFonts w:hint="eastAsia" w:ascii="宋体" w:hAnsi="宋体" w:cs="宋体"/>
          <w:bCs/>
          <w:color w:val="auto"/>
          <w:szCs w:val="21"/>
          <w:highlight w:val="none"/>
        </w:rPr>
        <w:t>稿</w:t>
      </w:r>
      <w:r>
        <w:rPr>
          <w:rFonts w:hint="eastAsia" w:ascii="宋体" w:hAnsi="宋体" w:cs="宋体"/>
          <w:bCs/>
          <w:color w:val="auto"/>
          <w:szCs w:val="21"/>
          <w:highlight w:val="none"/>
          <w:lang w:eastAsia="zh-CN"/>
        </w:rPr>
        <w:t>。</w:t>
      </w:r>
    </w:p>
    <w:p w14:paraId="0499ED07">
      <w:pPr>
        <w:widowControl/>
        <w:spacing w:line="360" w:lineRule="auto"/>
        <w:ind w:firstLine="420" w:firstLineChars="200"/>
        <w:rPr>
          <w:rFonts w:hint="eastAsia" w:ascii="宋体" w:hAnsi="宋体" w:cs="宋体"/>
          <w:color w:val="auto"/>
          <w:sz w:val="21"/>
          <w:szCs w:val="21"/>
          <w:highlight w:val="none"/>
          <w:lang w:bidi="ar"/>
        </w:rPr>
      </w:pPr>
      <w:r>
        <w:rPr>
          <w:rFonts w:hint="eastAsia" w:ascii="宋体" w:hAnsi="宋体" w:cs="宋体"/>
          <w:color w:val="auto"/>
          <w:sz w:val="21"/>
          <w:szCs w:val="21"/>
          <w:highlight w:val="none"/>
          <w:lang w:bidi="ar"/>
        </w:rPr>
        <w:t>成果</w:t>
      </w:r>
      <w:r>
        <w:rPr>
          <w:rFonts w:hint="eastAsia" w:ascii="宋体" w:hAnsi="宋体" w:cs="宋体"/>
          <w:color w:val="auto"/>
          <w:sz w:val="21"/>
          <w:szCs w:val="21"/>
          <w:highlight w:val="none"/>
          <w:lang w:eastAsia="zh-CN" w:bidi="ar"/>
        </w:rPr>
        <w:t>评审</w:t>
      </w:r>
      <w:r>
        <w:rPr>
          <w:rFonts w:hint="eastAsia" w:ascii="宋体" w:hAnsi="宋体" w:cs="宋体"/>
          <w:color w:val="auto"/>
          <w:sz w:val="21"/>
          <w:szCs w:val="21"/>
          <w:highlight w:val="none"/>
          <w:lang w:bidi="ar"/>
        </w:rPr>
        <w:t>验收时间另行计算，不计入总工期</w:t>
      </w:r>
    </w:p>
    <w:p w14:paraId="6651F542">
      <w:pPr>
        <w:widowControl/>
        <w:spacing w:line="360" w:lineRule="auto"/>
        <w:ind w:firstLine="422" w:firstLineChars="200"/>
        <w:outlineLvl w:val="2"/>
        <w:rPr>
          <w:rFonts w:ascii="宋体" w:hAnsi="宋体" w:cs="宋体"/>
          <w:b/>
          <w:bCs/>
          <w:color w:val="auto"/>
          <w:sz w:val="21"/>
          <w:szCs w:val="21"/>
          <w:highlight w:val="none"/>
          <w:lang w:bidi="ar"/>
        </w:rPr>
      </w:pPr>
      <w:r>
        <w:rPr>
          <w:rFonts w:hint="eastAsia" w:ascii="宋体" w:hAnsi="宋体" w:cs="宋体"/>
          <w:b/>
          <w:bCs/>
          <w:color w:val="auto"/>
          <w:sz w:val="21"/>
          <w:szCs w:val="21"/>
          <w:highlight w:val="none"/>
          <w:lang w:bidi="ar"/>
        </w:rPr>
        <w:t>（三）成果交付要求</w:t>
      </w:r>
    </w:p>
    <w:p w14:paraId="2E228E49">
      <w:pPr>
        <w:widowControl/>
        <w:spacing w:line="360" w:lineRule="auto"/>
        <w:ind w:firstLine="420" w:firstLineChars="200"/>
        <w:rPr>
          <w:rFonts w:ascii="宋体" w:hAnsi="宋体" w:cs="宋体"/>
          <w:color w:val="auto"/>
          <w:sz w:val="21"/>
          <w:szCs w:val="21"/>
          <w:highlight w:val="none"/>
          <w:lang w:bidi="ar"/>
        </w:rPr>
      </w:pPr>
      <w:r>
        <w:rPr>
          <w:rFonts w:hint="eastAsia" w:ascii="宋体" w:hAnsi="宋体" w:cs="宋体"/>
          <w:color w:val="auto"/>
          <w:sz w:val="21"/>
          <w:szCs w:val="21"/>
          <w:highlight w:val="none"/>
          <w:lang w:val="en-US" w:eastAsia="zh-CN" w:bidi="ar"/>
        </w:rPr>
        <w:t>1.</w:t>
      </w:r>
      <w:r>
        <w:rPr>
          <w:rFonts w:hint="eastAsia" w:ascii="宋体" w:hAnsi="宋体" w:cs="宋体"/>
          <w:color w:val="auto"/>
          <w:sz w:val="21"/>
          <w:szCs w:val="21"/>
          <w:highlight w:val="none"/>
          <w:lang w:bidi="ar"/>
        </w:rPr>
        <w:t>成果内容</w:t>
      </w:r>
    </w:p>
    <w:p w14:paraId="44CA1163">
      <w:pPr>
        <w:widowControl/>
        <w:spacing w:line="360" w:lineRule="auto"/>
        <w:ind w:firstLine="420" w:firstLineChars="200"/>
        <w:rPr>
          <w:rFonts w:hint="eastAsia" w:ascii="宋体" w:hAnsi="宋体" w:cs="宋体"/>
          <w:color w:val="auto"/>
          <w:sz w:val="21"/>
          <w:szCs w:val="21"/>
          <w:highlight w:val="none"/>
          <w:lang w:val="en-US" w:eastAsia="zh-CN" w:bidi="ar"/>
        </w:rPr>
      </w:pPr>
      <w:r>
        <w:rPr>
          <w:rFonts w:hint="eastAsia" w:ascii="宋体" w:hAnsi="宋体" w:cs="宋体"/>
          <w:color w:val="auto"/>
          <w:sz w:val="21"/>
          <w:szCs w:val="21"/>
          <w:highlight w:val="none"/>
          <w:lang w:eastAsia="zh-CN" w:bidi="ar"/>
        </w:rPr>
        <w:t>成果内容包括：</w:t>
      </w:r>
      <w:r>
        <w:rPr>
          <w:rFonts w:hint="eastAsia" w:ascii="宋体" w:hAnsi="宋体" w:cs="宋体"/>
          <w:color w:val="auto"/>
          <w:sz w:val="21"/>
          <w:szCs w:val="21"/>
          <w:highlight w:val="none"/>
          <w:lang w:val="zh-CN" w:bidi="ar"/>
        </w:rPr>
        <w:t>《红水河（曹渡河口至桥巩）三级航道工程对广西忻城乐滩国家湿地公园生态影响评价报告》</w:t>
      </w:r>
      <w:r>
        <w:rPr>
          <w:rFonts w:hint="eastAsia" w:ascii="宋体" w:hAnsi="宋体" w:cs="宋体"/>
          <w:color w:val="auto"/>
          <w:sz w:val="21"/>
          <w:szCs w:val="21"/>
          <w:highlight w:val="none"/>
          <w:lang w:bidi="ar"/>
        </w:rPr>
        <w:t>。</w:t>
      </w:r>
    </w:p>
    <w:p w14:paraId="706EC850">
      <w:pPr>
        <w:widowControl/>
        <w:spacing w:line="360" w:lineRule="auto"/>
        <w:ind w:firstLine="420" w:firstLineChars="200"/>
        <w:rPr>
          <w:rFonts w:hint="default" w:ascii="宋体" w:hAnsi="宋体" w:cs="宋体"/>
          <w:color w:val="auto"/>
          <w:sz w:val="21"/>
          <w:szCs w:val="21"/>
          <w:highlight w:val="none"/>
          <w:lang w:val="en-US" w:eastAsia="zh-CN" w:bidi="ar"/>
        </w:rPr>
      </w:pPr>
      <w:r>
        <w:rPr>
          <w:rFonts w:hint="eastAsia" w:ascii="宋体" w:hAnsi="宋体" w:cs="宋体"/>
          <w:color w:val="auto"/>
          <w:sz w:val="21"/>
          <w:szCs w:val="21"/>
          <w:highlight w:val="none"/>
          <w:lang w:val="en-US" w:eastAsia="zh-CN" w:bidi="ar"/>
        </w:rPr>
        <w:t>2.成果形式要求</w:t>
      </w:r>
    </w:p>
    <w:p w14:paraId="2F3207F6">
      <w:pPr>
        <w:widowControl/>
        <w:spacing w:line="360" w:lineRule="auto"/>
        <w:ind w:firstLine="420" w:firstLineChars="200"/>
        <w:rPr>
          <w:rFonts w:hint="eastAsia" w:ascii="宋体" w:hAnsi="宋体" w:eastAsia="宋体" w:cs="宋体"/>
          <w:color w:val="auto"/>
          <w:sz w:val="21"/>
          <w:szCs w:val="21"/>
          <w:highlight w:val="none"/>
          <w:lang w:eastAsia="zh-CN" w:bidi="ar"/>
        </w:rPr>
      </w:pPr>
      <w:r>
        <w:rPr>
          <w:rFonts w:hint="eastAsia" w:ascii="宋体" w:hAnsi="宋体" w:cs="宋体"/>
          <w:color w:val="auto"/>
          <w:sz w:val="21"/>
          <w:szCs w:val="21"/>
          <w:highlight w:val="none"/>
          <w:lang w:bidi="ar"/>
        </w:rPr>
        <w:t>成果形式</w:t>
      </w:r>
      <w:r>
        <w:rPr>
          <w:rFonts w:hint="eastAsia" w:ascii="宋体" w:hAnsi="宋体" w:cs="宋体"/>
          <w:color w:val="auto"/>
          <w:sz w:val="21"/>
          <w:szCs w:val="21"/>
          <w:highlight w:val="none"/>
          <w:lang w:eastAsia="zh-CN" w:bidi="ar"/>
        </w:rPr>
        <w:t>包括：纸质成果和电子成果。要求如下：</w:t>
      </w:r>
    </w:p>
    <w:p w14:paraId="763F7124">
      <w:pPr>
        <w:widowControl/>
        <w:spacing w:line="360" w:lineRule="auto"/>
        <w:ind w:firstLine="420" w:firstLineChars="200"/>
        <w:rPr>
          <w:rFonts w:hint="eastAsia" w:ascii="宋体" w:hAnsi="宋体" w:eastAsia="宋体" w:cs="宋体"/>
          <w:color w:val="auto"/>
          <w:sz w:val="21"/>
          <w:szCs w:val="21"/>
          <w:highlight w:val="none"/>
          <w:lang w:eastAsia="zh-CN" w:bidi="ar"/>
        </w:rPr>
      </w:pPr>
      <w:r>
        <w:rPr>
          <w:rFonts w:hint="eastAsia" w:ascii="宋体" w:hAnsi="宋体" w:eastAsia="宋体" w:cs="宋体"/>
          <w:color w:val="auto"/>
          <w:sz w:val="21"/>
          <w:szCs w:val="21"/>
          <w:highlight w:val="none"/>
          <w:lang w:eastAsia="zh-CN" w:bidi="ar"/>
        </w:rPr>
        <w:t>（</w:t>
      </w:r>
      <w:r>
        <w:rPr>
          <w:rFonts w:hint="eastAsia" w:ascii="宋体" w:hAnsi="宋体" w:eastAsia="宋体" w:cs="宋体"/>
          <w:color w:val="auto"/>
          <w:sz w:val="21"/>
          <w:szCs w:val="21"/>
          <w:highlight w:val="none"/>
          <w:lang w:val="en-US" w:eastAsia="zh-CN" w:bidi="ar"/>
        </w:rPr>
        <w:t>1</w:t>
      </w:r>
      <w:r>
        <w:rPr>
          <w:rFonts w:hint="eastAsia" w:ascii="宋体" w:hAnsi="宋体" w:eastAsia="宋体" w:cs="宋体"/>
          <w:color w:val="auto"/>
          <w:sz w:val="21"/>
          <w:szCs w:val="21"/>
          <w:highlight w:val="none"/>
          <w:lang w:eastAsia="zh-CN" w:bidi="ar"/>
        </w:rPr>
        <w:t>）</w:t>
      </w:r>
      <w:r>
        <w:rPr>
          <w:rFonts w:hint="eastAsia" w:ascii="宋体" w:hAnsi="宋体" w:cs="宋体"/>
          <w:color w:val="auto"/>
          <w:sz w:val="21"/>
          <w:szCs w:val="21"/>
          <w:highlight w:val="none"/>
          <w:lang w:bidi="ar"/>
        </w:rPr>
        <w:t>纸质成果：最终成果文</w:t>
      </w:r>
      <w:r>
        <w:rPr>
          <w:rFonts w:hint="eastAsia" w:ascii="宋体" w:hAnsi="宋体" w:cs="宋体"/>
          <w:color w:val="auto"/>
          <w:sz w:val="21"/>
          <w:szCs w:val="21"/>
          <w:highlight w:val="none"/>
          <w:lang w:eastAsia="zh-CN" w:bidi="ar"/>
        </w:rPr>
        <w:t>件需按规定签字或签章，并加盖单位公章</w:t>
      </w:r>
      <w:r>
        <w:rPr>
          <w:rFonts w:hint="eastAsia" w:ascii="宋体" w:hAnsi="宋体" w:cs="宋体"/>
          <w:color w:val="auto"/>
          <w:sz w:val="21"/>
          <w:szCs w:val="21"/>
          <w:highlight w:val="none"/>
          <w:lang w:bidi="ar"/>
        </w:rPr>
        <w:t>。</w:t>
      </w:r>
    </w:p>
    <w:p w14:paraId="54C732C4">
      <w:pPr>
        <w:widowControl/>
        <w:spacing w:line="360" w:lineRule="auto"/>
        <w:ind w:firstLine="420" w:firstLineChars="200"/>
        <w:rPr>
          <w:rFonts w:hint="eastAsia" w:ascii="宋体" w:hAnsi="宋体" w:cs="宋体"/>
          <w:color w:val="auto"/>
          <w:sz w:val="21"/>
          <w:szCs w:val="21"/>
          <w:highlight w:val="none"/>
          <w:lang w:val="en-US" w:eastAsia="zh-CN" w:bidi="ar"/>
        </w:rPr>
      </w:pPr>
      <w:r>
        <w:rPr>
          <w:rFonts w:hint="eastAsia" w:ascii="宋体" w:hAnsi="宋体" w:eastAsia="宋体" w:cs="宋体"/>
          <w:color w:val="auto"/>
          <w:sz w:val="21"/>
          <w:szCs w:val="21"/>
          <w:highlight w:val="none"/>
          <w:lang w:eastAsia="zh-CN" w:bidi="ar"/>
        </w:rPr>
        <w:t>（</w:t>
      </w:r>
      <w:r>
        <w:rPr>
          <w:rFonts w:hint="eastAsia" w:ascii="宋体" w:hAnsi="宋体" w:eastAsia="宋体" w:cs="宋体"/>
          <w:color w:val="auto"/>
          <w:sz w:val="21"/>
          <w:szCs w:val="21"/>
          <w:highlight w:val="none"/>
          <w:lang w:val="en-US" w:eastAsia="zh-CN" w:bidi="ar"/>
        </w:rPr>
        <w:t>2</w:t>
      </w:r>
      <w:r>
        <w:rPr>
          <w:rFonts w:hint="eastAsia" w:ascii="宋体" w:hAnsi="宋体" w:eastAsia="宋体" w:cs="宋体"/>
          <w:color w:val="auto"/>
          <w:sz w:val="21"/>
          <w:szCs w:val="21"/>
          <w:highlight w:val="none"/>
          <w:lang w:eastAsia="zh-CN" w:bidi="ar"/>
        </w:rPr>
        <w:t>）</w:t>
      </w:r>
      <w:r>
        <w:rPr>
          <w:rFonts w:hint="eastAsia" w:ascii="宋体" w:hAnsi="宋体" w:cs="宋体"/>
          <w:color w:val="auto"/>
          <w:sz w:val="21"/>
          <w:szCs w:val="21"/>
          <w:highlight w:val="none"/>
          <w:lang w:bidi="ar"/>
        </w:rPr>
        <w:t>电子成果：</w:t>
      </w:r>
      <w:r>
        <w:rPr>
          <w:rFonts w:hint="eastAsia" w:ascii="宋体" w:hAnsi="宋体" w:cs="宋体"/>
          <w:color w:val="auto"/>
          <w:sz w:val="21"/>
          <w:szCs w:val="21"/>
          <w:highlight w:val="none"/>
          <w:lang w:val="en-US" w:eastAsia="zh-CN" w:bidi="ar"/>
        </w:rPr>
        <w:t>所有最终成果应提供电子文件，包括可编辑文档（</w:t>
      </w:r>
      <w:r>
        <w:rPr>
          <w:rFonts w:hint="eastAsia" w:ascii="宋体" w:hAnsi="宋体" w:cs="宋体"/>
          <w:color w:val="auto"/>
          <w:szCs w:val="21"/>
          <w:highlight w:val="none"/>
          <w:lang w:bidi="ar"/>
        </w:rPr>
        <w:t>文字为WORD格式、图纸为可编辑的CAD格式</w:t>
      </w:r>
      <w:r>
        <w:rPr>
          <w:rFonts w:hint="eastAsia" w:ascii="宋体" w:hAnsi="宋体" w:cs="宋体"/>
          <w:color w:val="auto"/>
          <w:sz w:val="21"/>
          <w:szCs w:val="21"/>
          <w:highlight w:val="none"/>
          <w:lang w:val="en-US" w:eastAsia="zh-CN" w:bidi="ar"/>
        </w:rPr>
        <w:t>）和按要求签字、签章的成果文件PDF或扫描件。</w:t>
      </w:r>
    </w:p>
    <w:p w14:paraId="39C41AD6">
      <w:pPr>
        <w:widowControl/>
        <w:spacing w:line="360" w:lineRule="auto"/>
        <w:ind w:firstLine="420" w:firstLineChars="200"/>
        <w:rPr>
          <w:rFonts w:hint="eastAsia" w:ascii="宋体" w:hAnsi="宋体" w:cs="宋体"/>
          <w:color w:val="auto"/>
          <w:sz w:val="21"/>
          <w:szCs w:val="21"/>
          <w:highlight w:val="none"/>
          <w:lang w:bidi="ar"/>
        </w:rPr>
      </w:pPr>
      <w:r>
        <w:rPr>
          <w:rFonts w:hint="eastAsia" w:ascii="宋体" w:hAnsi="宋体" w:cs="宋体"/>
          <w:color w:val="auto"/>
          <w:sz w:val="21"/>
          <w:szCs w:val="21"/>
          <w:highlight w:val="none"/>
          <w:lang w:val="en-US" w:eastAsia="zh-CN" w:bidi="ar"/>
        </w:rPr>
        <w:t>3.成果交付份数</w:t>
      </w:r>
    </w:p>
    <w:p w14:paraId="3727E2D3">
      <w:pPr>
        <w:widowControl/>
        <w:spacing w:line="360" w:lineRule="auto"/>
        <w:ind w:firstLine="420" w:firstLineChars="200"/>
        <w:rPr>
          <w:rFonts w:hint="eastAsia" w:ascii="宋体" w:hAnsi="宋体" w:cs="宋体"/>
          <w:color w:val="auto"/>
          <w:sz w:val="21"/>
          <w:szCs w:val="21"/>
          <w:highlight w:val="none"/>
          <w:lang w:val="en-US" w:eastAsia="zh-CN" w:bidi="ar"/>
        </w:rPr>
      </w:pPr>
      <w:r>
        <w:rPr>
          <w:rFonts w:hint="eastAsia" w:ascii="宋体" w:hAnsi="宋体" w:cs="宋体"/>
          <w:color w:val="auto"/>
          <w:sz w:val="21"/>
          <w:szCs w:val="21"/>
          <w:highlight w:val="none"/>
          <w:lang w:val="en-US" w:eastAsia="zh-CN" w:bidi="ar"/>
        </w:rPr>
        <w:t>（1）中间成果报告，一式30份，或者满足报告评审的需要。</w:t>
      </w:r>
    </w:p>
    <w:p w14:paraId="5CABA5A3">
      <w:pPr>
        <w:widowControl/>
        <w:spacing w:line="360" w:lineRule="auto"/>
        <w:ind w:firstLine="420" w:firstLineChars="200"/>
        <w:rPr>
          <w:rFonts w:hint="eastAsia" w:ascii="宋体" w:hAnsi="宋体" w:cs="宋体"/>
          <w:color w:val="auto"/>
          <w:sz w:val="21"/>
          <w:szCs w:val="21"/>
          <w:highlight w:val="none"/>
          <w:lang w:val="en-US" w:eastAsia="zh-CN" w:bidi="ar"/>
        </w:rPr>
      </w:pPr>
      <w:r>
        <w:rPr>
          <w:rFonts w:hint="eastAsia" w:ascii="宋体" w:hAnsi="宋体" w:cs="宋体"/>
          <w:color w:val="auto"/>
          <w:sz w:val="21"/>
          <w:szCs w:val="21"/>
          <w:highlight w:val="none"/>
          <w:lang w:val="en-US" w:eastAsia="zh-CN" w:bidi="ar"/>
        </w:rPr>
        <w:t>（2）最终成果报告纸质文件各10份。</w:t>
      </w:r>
    </w:p>
    <w:p w14:paraId="73289047">
      <w:pPr>
        <w:widowControl/>
        <w:spacing w:line="360" w:lineRule="auto"/>
        <w:ind w:firstLine="420" w:firstLineChars="200"/>
        <w:rPr>
          <w:rFonts w:hint="eastAsia" w:ascii="宋体" w:hAnsi="宋体" w:eastAsia="宋体" w:cs="宋体"/>
          <w:color w:val="auto"/>
          <w:szCs w:val="21"/>
          <w:highlight w:val="none"/>
          <w:lang w:eastAsia="zh-CN" w:bidi="ar"/>
        </w:rPr>
      </w:pPr>
      <w:r>
        <w:rPr>
          <w:rFonts w:hint="eastAsia" w:ascii="宋体" w:hAnsi="宋体" w:cs="宋体"/>
          <w:color w:val="auto"/>
          <w:szCs w:val="21"/>
          <w:highlight w:val="none"/>
          <w:lang w:eastAsia="zh-CN" w:bidi="ar"/>
        </w:rPr>
        <w:t>（</w:t>
      </w:r>
      <w:r>
        <w:rPr>
          <w:rFonts w:hint="eastAsia" w:ascii="宋体" w:hAnsi="宋体" w:cs="宋体"/>
          <w:color w:val="auto"/>
          <w:szCs w:val="21"/>
          <w:highlight w:val="none"/>
          <w:lang w:val="en-US" w:eastAsia="zh-CN" w:bidi="ar"/>
        </w:rPr>
        <w:t>3</w:t>
      </w:r>
      <w:r>
        <w:rPr>
          <w:rFonts w:hint="eastAsia" w:ascii="宋体" w:hAnsi="宋体" w:cs="宋体"/>
          <w:color w:val="auto"/>
          <w:szCs w:val="21"/>
          <w:highlight w:val="none"/>
          <w:lang w:eastAsia="zh-CN" w:bidi="ar"/>
        </w:rPr>
        <w:t>）</w:t>
      </w:r>
      <w:r>
        <w:rPr>
          <w:rFonts w:hint="eastAsia" w:ascii="宋体" w:hAnsi="宋体" w:cs="宋体"/>
          <w:color w:val="auto"/>
          <w:sz w:val="21"/>
          <w:szCs w:val="21"/>
          <w:highlight w:val="none"/>
          <w:lang w:val="en-US" w:eastAsia="zh-CN" w:bidi="ar"/>
        </w:rPr>
        <w:t>最终成果电子文件（包括可编辑文档和按要求签章的成果文件的PDF或扫描件）一式2份，光盘和U盘各1份贮存。</w:t>
      </w:r>
    </w:p>
    <w:p w14:paraId="38C98C32">
      <w:pPr>
        <w:widowControl/>
        <w:spacing w:line="360" w:lineRule="auto"/>
        <w:ind w:firstLine="420" w:firstLineChars="200"/>
        <w:rPr>
          <w:rFonts w:hint="eastAsia" w:ascii="宋体" w:hAnsi="宋体" w:cs="宋体"/>
          <w:color w:val="auto"/>
          <w:szCs w:val="21"/>
          <w:highlight w:val="none"/>
          <w:lang w:bidi="ar"/>
        </w:rPr>
      </w:pPr>
      <w:r>
        <w:rPr>
          <w:rFonts w:hint="eastAsia" w:ascii="宋体" w:hAnsi="宋体" w:cs="宋体"/>
          <w:color w:val="auto"/>
          <w:szCs w:val="21"/>
          <w:highlight w:val="none"/>
          <w:lang w:val="en-US" w:eastAsia="zh-CN" w:bidi="ar"/>
        </w:rPr>
        <w:t>4.</w:t>
      </w:r>
      <w:r>
        <w:rPr>
          <w:rFonts w:hint="eastAsia" w:ascii="宋体" w:hAnsi="宋体" w:cs="宋体"/>
          <w:color w:val="auto"/>
          <w:szCs w:val="21"/>
          <w:highlight w:val="none"/>
          <w:lang w:bidi="ar"/>
        </w:rPr>
        <w:t>成果交付地点</w:t>
      </w:r>
    </w:p>
    <w:p w14:paraId="3F28BA96">
      <w:pPr>
        <w:widowControl/>
        <w:spacing w:line="360" w:lineRule="auto"/>
        <w:ind w:firstLine="420" w:firstLineChars="200"/>
        <w:rPr>
          <w:rFonts w:hint="eastAsia" w:ascii="宋体" w:hAnsi="宋体" w:cs="宋体"/>
          <w:color w:val="auto"/>
          <w:sz w:val="21"/>
          <w:szCs w:val="21"/>
          <w:highlight w:val="none"/>
          <w:lang w:val="en-US" w:eastAsia="zh-CN" w:bidi="ar"/>
        </w:rPr>
      </w:pPr>
      <w:r>
        <w:rPr>
          <w:rFonts w:hint="eastAsia" w:ascii="宋体" w:hAnsi="宋体" w:cs="宋体"/>
          <w:color w:val="auto"/>
          <w:szCs w:val="21"/>
          <w:highlight w:val="none"/>
          <w:lang w:eastAsia="zh-CN" w:bidi="ar"/>
        </w:rPr>
        <w:t>成果交付地点为</w:t>
      </w:r>
      <w:r>
        <w:rPr>
          <w:rFonts w:hint="eastAsia" w:ascii="宋体" w:hAnsi="宋体" w:cs="宋体"/>
          <w:color w:val="auto"/>
          <w:szCs w:val="21"/>
          <w:highlight w:val="none"/>
          <w:lang w:bidi="ar"/>
        </w:rPr>
        <w:t>采购人办公地点</w:t>
      </w:r>
      <w:r>
        <w:rPr>
          <w:rFonts w:hint="eastAsia" w:ascii="宋体" w:hAnsi="宋体" w:cs="宋体"/>
          <w:color w:val="auto"/>
          <w:szCs w:val="21"/>
          <w:highlight w:val="none"/>
          <w:lang w:eastAsia="zh-CN" w:bidi="ar"/>
        </w:rPr>
        <w:t>，</w:t>
      </w:r>
      <w:r>
        <w:rPr>
          <w:rFonts w:hint="eastAsia" w:ascii="宋体" w:hAnsi="宋体" w:cs="宋体"/>
          <w:color w:val="auto"/>
          <w:szCs w:val="21"/>
          <w:highlight w:val="none"/>
          <w:lang w:bidi="ar"/>
        </w:rPr>
        <w:t>采购人可根据需要指定其他地点。</w:t>
      </w:r>
    </w:p>
    <w:p w14:paraId="048A643C">
      <w:pPr>
        <w:widowControl/>
        <w:spacing w:line="360" w:lineRule="auto"/>
        <w:ind w:firstLine="420" w:firstLineChars="200"/>
        <w:rPr>
          <w:rFonts w:hint="default" w:ascii="宋体" w:hAnsi="宋体" w:eastAsia="宋体" w:cs="宋体"/>
          <w:color w:val="auto"/>
          <w:sz w:val="21"/>
          <w:szCs w:val="21"/>
          <w:highlight w:val="none"/>
          <w:lang w:val="en-US" w:eastAsia="zh-CN" w:bidi="ar"/>
        </w:rPr>
      </w:pPr>
      <w:r>
        <w:rPr>
          <w:rFonts w:hint="eastAsia" w:ascii="宋体" w:hAnsi="宋体" w:cs="宋体"/>
          <w:color w:val="auto"/>
          <w:sz w:val="21"/>
          <w:szCs w:val="21"/>
          <w:highlight w:val="none"/>
          <w:lang w:val="en-US" w:eastAsia="zh-CN" w:bidi="ar"/>
        </w:rPr>
        <w:t>5.成果验收</w:t>
      </w:r>
    </w:p>
    <w:p w14:paraId="58229E01">
      <w:pPr>
        <w:widowControl/>
        <w:spacing w:line="360" w:lineRule="auto"/>
        <w:ind w:firstLine="420" w:firstLineChars="200"/>
        <w:rPr>
          <w:rFonts w:hint="eastAsia" w:ascii="宋体" w:hAnsi="宋体" w:cs="宋体"/>
          <w:color w:val="auto"/>
          <w:sz w:val="21"/>
          <w:szCs w:val="21"/>
          <w:highlight w:val="none"/>
          <w:lang w:bidi="ar"/>
        </w:rPr>
      </w:pPr>
      <w:r>
        <w:rPr>
          <w:rFonts w:hint="eastAsia" w:ascii="宋体" w:hAnsi="宋体" w:cs="宋体"/>
          <w:color w:val="auto"/>
          <w:sz w:val="21"/>
          <w:szCs w:val="21"/>
          <w:highlight w:val="none"/>
          <w:lang w:eastAsia="zh-CN" w:bidi="ar"/>
        </w:rPr>
        <w:t>供应商</w:t>
      </w:r>
      <w:r>
        <w:rPr>
          <w:rFonts w:hint="eastAsia" w:ascii="宋体" w:hAnsi="宋体" w:cs="宋体"/>
          <w:color w:val="auto"/>
          <w:sz w:val="21"/>
          <w:szCs w:val="21"/>
          <w:highlight w:val="none"/>
          <w:lang w:bidi="ar"/>
        </w:rPr>
        <w:t>按要求提</w:t>
      </w:r>
      <w:r>
        <w:rPr>
          <w:rFonts w:hint="eastAsia" w:ascii="宋体" w:hAnsi="宋体" w:cs="宋体"/>
          <w:color w:val="auto"/>
          <w:sz w:val="21"/>
          <w:szCs w:val="21"/>
          <w:highlight w:val="none"/>
          <w:lang w:eastAsia="zh-CN" w:bidi="ar"/>
        </w:rPr>
        <w:t>交</w:t>
      </w:r>
      <w:r>
        <w:rPr>
          <w:rFonts w:hint="eastAsia" w:ascii="宋体" w:hAnsi="宋体" w:cs="宋体"/>
          <w:color w:val="auto"/>
          <w:sz w:val="21"/>
          <w:szCs w:val="21"/>
          <w:highlight w:val="none"/>
          <w:lang w:bidi="ar"/>
        </w:rPr>
        <w:t>成果文件后，由</w:t>
      </w:r>
      <w:r>
        <w:rPr>
          <w:rFonts w:hint="eastAsia" w:ascii="宋体" w:hAnsi="宋体" w:cs="宋体"/>
          <w:color w:val="auto"/>
          <w:sz w:val="21"/>
          <w:szCs w:val="21"/>
          <w:highlight w:val="none"/>
          <w:lang w:eastAsia="zh-CN" w:bidi="ar"/>
        </w:rPr>
        <w:t>采购人</w:t>
      </w:r>
      <w:r>
        <w:rPr>
          <w:rFonts w:hint="eastAsia" w:ascii="宋体" w:hAnsi="宋体" w:cs="宋体"/>
          <w:color w:val="auto"/>
          <w:sz w:val="21"/>
          <w:szCs w:val="21"/>
          <w:highlight w:val="none"/>
          <w:lang w:bidi="ar"/>
        </w:rPr>
        <w:t>组织专家</w:t>
      </w:r>
      <w:r>
        <w:rPr>
          <w:rFonts w:hint="eastAsia" w:ascii="宋体" w:hAnsi="宋体" w:cs="宋体"/>
          <w:color w:val="auto"/>
          <w:sz w:val="21"/>
          <w:szCs w:val="21"/>
          <w:highlight w:val="none"/>
          <w:lang w:eastAsia="zh-CN" w:bidi="ar"/>
        </w:rPr>
        <w:t>评审、</w:t>
      </w:r>
      <w:r>
        <w:rPr>
          <w:rFonts w:hint="eastAsia" w:ascii="宋体" w:hAnsi="宋体" w:cs="宋体"/>
          <w:color w:val="auto"/>
          <w:sz w:val="21"/>
          <w:szCs w:val="21"/>
          <w:highlight w:val="none"/>
          <w:lang w:bidi="ar"/>
        </w:rPr>
        <w:t>验收，</w:t>
      </w:r>
      <w:r>
        <w:rPr>
          <w:rFonts w:hint="eastAsia" w:ascii="宋体" w:hAnsi="宋体" w:cs="宋体"/>
          <w:color w:val="auto"/>
          <w:sz w:val="21"/>
          <w:szCs w:val="21"/>
          <w:highlight w:val="none"/>
          <w:lang w:eastAsia="zh-CN" w:bidi="ar"/>
        </w:rPr>
        <w:t>评审、</w:t>
      </w:r>
      <w:r>
        <w:rPr>
          <w:rFonts w:hint="eastAsia" w:ascii="宋体" w:hAnsi="宋体" w:cs="宋体"/>
          <w:color w:val="auto"/>
          <w:sz w:val="21"/>
          <w:szCs w:val="21"/>
          <w:highlight w:val="none"/>
          <w:lang w:bidi="ar"/>
        </w:rPr>
        <w:t>验收过程所产生的专家咨询费等相关费用由</w:t>
      </w:r>
      <w:r>
        <w:rPr>
          <w:rFonts w:hint="eastAsia" w:ascii="宋体" w:hAnsi="宋体" w:cs="宋体"/>
          <w:color w:val="auto"/>
          <w:sz w:val="21"/>
          <w:szCs w:val="21"/>
          <w:highlight w:val="none"/>
          <w:lang w:eastAsia="zh-CN" w:bidi="ar"/>
        </w:rPr>
        <w:t>供应商</w:t>
      </w:r>
      <w:r>
        <w:rPr>
          <w:rFonts w:hint="eastAsia" w:ascii="宋体" w:hAnsi="宋体" w:cs="宋体"/>
          <w:color w:val="auto"/>
          <w:sz w:val="21"/>
          <w:szCs w:val="21"/>
          <w:highlight w:val="none"/>
          <w:lang w:bidi="ar"/>
        </w:rPr>
        <w:t>承担。</w:t>
      </w:r>
    </w:p>
    <w:p w14:paraId="0382B583">
      <w:pPr>
        <w:widowControl/>
        <w:spacing w:line="360" w:lineRule="auto"/>
        <w:ind w:firstLine="422" w:firstLineChars="200"/>
        <w:outlineLvl w:val="2"/>
        <w:rPr>
          <w:rFonts w:ascii="宋体" w:hAnsi="宋体" w:cs="宋体"/>
          <w:b/>
          <w:bCs/>
          <w:color w:val="auto"/>
          <w:sz w:val="21"/>
          <w:szCs w:val="21"/>
          <w:highlight w:val="none"/>
          <w:lang w:bidi="ar"/>
        </w:rPr>
      </w:pPr>
      <w:r>
        <w:rPr>
          <w:rFonts w:hint="eastAsia" w:ascii="宋体" w:hAnsi="宋体" w:cs="宋体"/>
          <w:b/>
          <w:bCs/>
          <w:color w:val="auto"/>
          <w:sz w:val="21"/>
          <w:szCs w:val="21"/>
          <w:highlight w:val="none"/>
          <w:lang w:bidi="ar"/>
        </w:rPr>
        <w:t>（四）付款方式</w:t>
      </w:r>
    </w:p>
    <w:p w14:paraId="189E150A">
      <w:pPr>
        <w:widowControl/>
        <w:spacing w:line="360" w:lineRule="auto"/>
        <w:ind w:firstLine="420" w:firstLineChars="200"/>
        <w:rPr>
          <w:rFonts w:ascii="宋体" w:hAnsi="宋体" w:cs="宋体"/>
          <w:color w:val="auto"/>
          <w:sz w:val="21"/>
          <w:szCs w:val="21"/>
          <w:highlight w:val="none"/>
          <w:lang w:bidi="ar"/>
        </w:rPr>
      </w:pPr>
      <w:r>
        <w:rPr>
          <w:rFonts w:hint="eastAsia" w:ascii="宋体" w:hAnsi="宋体" w:cs="宋体"/>
          <w:color w:val="auto"/>
          <w:sz w:val="21"/>
          <w:szCs w:val="21"/>
          <w:highlight w:val="none"/>
          <w:lang w:eastAsia="zh-CN" w:bidi="ar"/>
        </w:rPr>
        <w:t>采购人</w:t>
      </w:r>
      <w:r>
        <w:rPr>
          <w:rFonts w:hint="eastAsia" w:ascii="宋体" w:hAnsi="宋体" w:cs="宋体"/>
          <w:color w:val="auto"/>
          <w:sz w:val="21"/>
          <w:szCs w:val="21"/>
          <w:highlight w:val="none"/>
          <w:lang w:bidi="ar"/>
        </w:rPr>
        <w:t>根据</w:t>
      </w:r>
      <w:r>
        <w:rPr>
          <w:rFonts w:hint="eastAsia" w:ascii="宋体" w:hAnsi="宋体" w:cs="宋体"/>
          <w:color w:val="auto"/>
          <w:sz w:val="21"/>
          <w:szCs w:val="21"/>
          <w:highlight w:val="none"/>
          <w:lang w:eastAsia="zh-CN" w:bidi="ar"/>
        </w:rPr>
        <w:t>供应商</w:t>
      </w:r>
      <w:r>
        <w:rPr>
          <w:rFonts w:hint="eastAsia" w:ascii="宋体" w:hAnsi="宋体" w:cs="宋体"/>
          <w:color w:val="auto"/>
          <w:sz w:val="21"/>
          <w:szCs w:val="21"/>
          <w:highlight w:val="none"/>
          <w:lang w:bidi="ar"/>
        </w:rPr>
        <w:t>的工作进度，分期支付合同价款。</w:t>
      </w:r>
      <w:r>
        <w:rPr>
          <w:rFonts w:hint="eastAsia" w:ascii="宋体" w:hAnsi="宋体" w:cs="宋体"/>
          <w:color w:val="auto"/>
          <w:sz w:val="21"/>
          <w:szCs w:val="21"/>
          <w:highlight w:val="none"/>
          <w:lang w:eastAsia="zh-CN" w:bidi="ar"/>
        </w:rPr>
        <w:t>供应商</w:t>
      </w:r>
      <w:r>
        <w:rPr>
          <w:rFonts w:hint="eastAsia" w:ascii="宋体" w:hAnsi="宋体" w:cs="宋体"/>
          <w:color w:val="auto"/>
          <w:sz w:val="21"/>
          <w:szCs w:val="21"/>
          <w:highlight w:val="none"/>
          <w:lang w:bidi="ar"/>
        </w:rPr>
        <w:t>根据工作进度，向</w:t>
      </w:r>
      <w:r>
        <w:rPr>
          <w:rFonts w:hint="eastAsia" w:ascii="宋体" w:hAnsi="宋体" w:cs="宋体"/>
          <w:color w:val="auto"/>
          <w:sz w:val="21"/>
          <w:szCs w:val="21"/>
          <w:highlight w:val="none"/>
          <w:lang w:eastAsia="zh-CN" w:bidi="ar"/>
        </w:rPr>
        <w:t>采购人</w:t>
      </w:r>
      <w:r>
        <w:rPr>
          <w:rFonts w:hint="eastAsia" w:ascii="宋体" w:hAnsi="宋体" w:cs="宋体"/>
          <w:color w:val="auto"/>
          <w:sz w:val="21"/>
          <w:szCs w:val="21"/>
          <w:highlight w:val="none"/>
          <w:lang w:bidi="ar"/>
        </w:rPr>
        <w:t>提交支付申请，并附相应的支持性证明文件。</w:t>
      </w:r>
    </w:p>
    <w:p w14:paraId="5078F432">
      <w:pPr>
        <w:widowControl/>
        <w:spacing w:line="360" w:lineRule="auto"/>
        <w:ind w:firstLine="420" w:firstLineChars="200"/>
        <w:rPr>
          <w:rFonts w:ascii="宋体" w:hAnsi="宋体" w:cs="宋体"/>
          <w:color w:val="auto"/>
          <w:sz w:val="21"/>
          <w:szCs w:val="21"/>
          <w:highlight w:val="none"/>
          <w:lang w:bidi="ar"/>
        </w:rPr>
      </w:pPr>
      <w:r>
        <w:rPr>
          <w:rFonts w:hint="eastAsia" w:ascii="宋体" w:hAnsi="宋体" w:cs="宋体"/>
          <w:color w:val="auto"/>
          <w:sz w:val="21"/>
          <w:szCs w:val="21"/>
          <w:highlight w:val="none"/>
          <w:lang w:bidi="ar"/>
        </w:rPr>
        <w:t>因本项目经费为财政性资金，由于财政资金未按时到位或财政资金管理原因暂时不能支付的，合同价款的支付时间相应顺延，并且</w:t>
      </w:r>
      <w:r>
        <w:rPr>
          <w:rFonts w:hint="eastAsia" w:ascii="宋体" w:hAnsi="宋体" w:cs="宋体"/>
          <w:color w:val="auto"/>
          <w:sz w:val="21"/>
          <w:szCs w:val="21"/>
          <w:highlight w:val="none"/>
          <w:lang w:eastAsia="zh-CN" w:bidi="ar"/>
        </w:rPr>
        <w:t>采购人</w:t>
      </w:r>
      <w:r>
        <w:rPr>
          <w:rFonts w:hint="eastAsia" w:ascii="宋体" w:hAnsi="宋体" w:cs="宋体"/>
          <w:color w:val="auto"/>
          <w:sz w:val="21"/>
          <w:szCs w:val="21"/>
          <w:highlight w:val="none"/>
          <w:lang w:bidi="ar"/>
        </w:rPr>
        <w:t>不因此承担逾期付款的违约责任。</w:t>
      </w:r>
    </w:p>
    <w:p w14:paraId="44B31947">
      <w:pPr>
        <w:widowControl/>
        <w:spacing w:line="360" w:lineRule="auto"/>
        <w:ind w:firstLine="420" w:firstLineChars="200"/>
        <w:rPr>
          <w:rFonts w:ascii="宋体" w:hAnsi="宋体" w:cs="宋体"/>
          <w:color w:val="auto"/>
          <w:sz w:val="21"/>
          <w:szCs w:val="21"/>
          <w:highlight w:val="none"/>
          <w:lang w:bidi="ar"/>
        </w:rPr>
      </w:pPr>
      <w:r>
        <w:rPr>
          <w:rFonts w:hint="eastAsia" w:ascii="宋体" w:hAnsi="宋体" w:cs="宋体"/>
          <w:color w:val="auto"/>
          <w:sz w:val="21"/>
          <w:szCs w:val="21"/>
          <w:highlight w:val="none"/>
          <w:lang w:bidi="ar"/>
        </w:rPr>
        <w:t>1. 第一期付款</w:t>
      </w:r>
      <w:r>
        <w:rPr>
          <w:rFonts w:hint="eastAsia" w:ascii="宋体" w:hAnsi="宋体" w:cs="宋体"/>
          <w:color w:val="auto"/>
          <w:sz w:val="21"/>
          <w:szCs w:val="21"/>
          <w:highlight w:val="none"/>
          <w:lang w:eastAsia="zh-CN" w:bidi="ar"/>
        </w:rPr>
        <w:t>（预付款）</w:t>
      </w:r>
      <w:r>
        <w:rPr>
          <w:rFonts w:hint="eastAsia" w:ascii="宋体" w:hAnsi="宋体" w:cs="宋体"/>
          <w:color w:val="auto"/>
          <w:sz w:val="21"/>
          <w:szCs w:val="21"/>
          <w:highlight w:val="none"/>
          <w:lang w:bidi="ar"/>
        </w:rPr>
        <w:t>：</w:t>
      </w:r>
      <w:r>
        <w:rPr>
          <w:rFonts w:hint="eastAsia" w:ascii="宋体" w:hAnsi="宋体" w:cs="宋体"/>
          <w:color w:val="auto"/>
          <w:sz w:val="21"/>
          <w:szCs w:val="21"/>
          <w:highlight w:val="none"/>
          <w:lang w:eastAsia="zh-CN" w:bidi="ar"/>
        </w:rPr>
        <w:t>合同签署后，由供应商提交预付款支付申请，采购人收到预付款支付申请后的14天内，向供应商支付合同价的</w:t>
      </w:r>
      <w:r>
        <w:rPr>
          <w:rFonts w:hint="eastAsia" w:ascii="宋体" w:hAnsi="宋体" w:cs="宋体"/>
          <w:color w:val="auto"/>
          <w:sz w:val="21"/>
          <w:szCs w:val="21"/>
          <w:highlight w:val="none"/>
          <w:lang w:val="en-US" w:eastAsia="zh-CN" w:bidi="ar"/>
        </w:rPr>
        <w:t>3</w:t>
      </w:r>
      <w:r>
        <w:rPr>
          <w:rFonts w:hint="eastAsia" w:ascii="宋体" w:hAnsi="宋体" w:cs="宋体"/>
          <w:color w:val="auto"/>
          <w:sz w:val="21"/>
          <w:szCs w:val="21"/>
          <w:highlight w:val="none"/>
          <w:lang w:eastAsia="zh-CN" w:bidi="ar"/>
        </w:rPr>
        <w:t>0%作为预付款；供应商应当提供等额的增值税普通发票；本合同履行后，预付款抵作进度款，如因发生不可抗力事件导致预付款已支付但合同无法继续履行的情况，供应商应向采购人退还尚未开展工作内容对应的款项</w:t>
      </w:r>
      <w:r>
        <w:rPr>
          <w:rFonts w:hint="eastAsia" w:ascii="宋体" w:hAnsi="宋体" w:cs="宋体"/>
          <w:color w:val="auto"/>
          <w:sz w:val="21"/>
          <w:szCs w:val="21"/>
          <w:highlight w:val="none"/>
          <w:lang w:bidi="ar"/>
        </w:rPr>
        <w:t>。</w:t>
      </w:r>
    </w:p>
    <w:p w14:paraId="507CE862">
      <w:pPr>
        <w:widowControl/>
        <w:spacing w:line="360" w:lineRule="auto"/>
        <w:ind w:firstLine="420" w:firstLineChars="200"/>
        <w:rPr>
          <w:rFonts w:ascii="宋体" w:hAnsi="宋体" w:cs="宋体"/>
          <w:color w:val="auto"/>
          <w:sz w:val="24"/>
          <w:highlight w:val="none"/>
          <w:lang w:bidi="ar"/>
        </w:rPr>
      </w:pPr>
      <w:r>
        <w:rPr>
          <w:rFonts w:hint="eastAsia" w:ascii="宋体" w:hAnsi="宋体" w:cs="宋体"/>
          <w:color w:val="auto"/>
          <w:sz w:val="21"/>
          <w:szCs w:val="21"/>
          <w:highlight w:val="none"/>
          <w:lang w:val="en-US" w:eastAsia="zh-CN" w:bidi="ar"/>
        </w:rPr>
        <w:t>2</w:t>
      </w:r>
      <w:r>
        <w:rPr>
          <w:rFonts w:hint="eastAsia" w:ascii="宋体" w:hAnsi="宋体" w:cs="宋体"/>
          <w:color w:val="auto"/>
          <w:sz w:val="21"/>
          <w:szCs w:val="21"/>
          <w:highlight w:val="none"/>
          <w:lang w:bidi="ar"/>
        </w:rPr>
        <w:t>. 第二期付款</w:t>
      </w:r>
      <w:r>
        <w:rPr>
          <w:rFonts w:hint="eastAsia" w:ascii="宋体" w:hAnsi="宋体" w:cs="宋体"/>
          <w:color w:val="auto"/>
          <w:sz w:val="21"/>
          <w:szCs w:val="21"/>
          <w:highlight w:val="none"/>
          <w:lang w:eastAsia="zh-CN" w:bidi="ar"/>
        </w:rPr>
        <w:t>（尾款）</w:t>
      </w:r>
      <w:r>
        <w:rPr>
          <w:rFonts w:hint="eastAsia" w:ascii="宋体" w:hAnsi="宋体" w:cs="宋体"/>
          <w:color w:val="auto"/>
          <w:sz w:val="21"/>
          <w:szCs w:val="21"/>
          <w:highlight w:val="none"/>
          <w:lang w:bidi="ar"/>
        </w:rPr>
        <w:t>：在</w:t>
      </w:r>
      <w:r>
        <w:rPr>
          <w:rFonts w:hint="eastAsia" w:ascii="宋体" w:hAnsi="宋体" w:cs="宋体"/>
          <w:color w:val="auto"/>
          <w:sz w:val="21"/>
          <w:szCs w:val="21"/>
          <w:highlight w:val="none"/>
          <w:lang w:eastAsia="zh-CN" w:bidi="ar"/>
        </w:rPr>
        <w:t>所有合同工作完成且评审验收合格</w:t>
      </w:r>
      <w:r>
        <w:rPr>
          <w:rFonts w:hint="eastAsia" w:ascii="宋体" w:hAnsi="宋体" w:cs="宋体"/>
          <w:color w:val="auto"/>
          <w:sz w:val="21"/>
          <w:szCs w:val="21"/>
          <w:highlight w:val="none"/>
          <w:lang w:bidi="ar"/>
        </w:rPr>
        <w:t>，</w:t>
      </w:r>
      <w:r>
        <w:rPr>
          <w:rFonts w:hint="eastAsia" w:ascii="宋体" w:hAnsi="宋体" w:cs="宋体"/>
          <w:color w:val="auto"/>
          <w:sz w:val="21"/>
          <w:szCs w:val="21"/>
          <w:highlight w:val="none"/>
          <w:lang w:eastAsia="zh-CN" w:bidi="ar"/>
        </w:rPr>
        <w:t>供应商提交成果报告最终稿后，由供应商提交进度款支付申请，采购人收到进度款支付申请后的14天内，向供应商支付至签约合同价的100%；供应商应当提供等额的增值税发票</w:t>
      </w:r>
      <w:r>
        <w:rPr>
          <w:rFonts w:hint="eastAsia" w:ascii="宋体" w:hAnsi="宋体" w:cs="宋体"/>
          <w:color w:val="auto"/>
          <w:sz w:val="21"/>
          <w:szCs w:val="21"/>
          <w:highlight w:val="none"/>
          <w:lang w:bidi="ar"/>
        </w:rPr>
        <w:t>。</w:t>
      </w:r>
    </w:p>
    <w:p w14:paraId="740B92DC">
      <w:pPr>
        <w:widowControl/>
        <w:spacing w:line="360" w:lineRule="auto"/>
        <w:ind w:firstLine="422" w:firstLineChars="200"/>
        <w:outlineLvl w:val="2"/>
        <w:rPr>
          <w:rFonts w:hint="eastAsia" w:ascii="宋体" w:hAnsi="宋体" w:eastAsia="宋体" w:cs="宋体"/>
          <w:b/>
          <w:bCs/>
          <w:color w:val="auto"/>
          <w:sz w:val="21"/>
          <w:szCs w:val="21"/>
          <w:highlight w:val="none"/>
          <w:lang w:bidi="ar"/>
        </w:rPr>
      </w:pPr>
      <w:r>
        <w:rPr>
          <w:rFonts w:hint="eastAsia" w:ascii="宋体" w:hAnsi="宋体" w:eastAsia="宋体" w:cs="宋体"/>
          <w:b/>
          <w:bCs/>
          <w:color w:val="auto"/>
          <w:sz w:val="21"/>
          <w:szCs w:val="21"/>
          <w:highlight w:val="none"/>
          <w:lang w:eastAsia="zh-CN" w:bidi="ar"/>
        </w:rPr>
        <w:t>（五）</w:t>
      </w:r>
      <w:r>
        <w:rPr>
          <w:rFonts w:hint="eastAsia" w:ascii="宋体" w:hAnsi="宋体" w:eastAsia="宋体" w:cs="宋体"/>
          <w:b/>
          <w:bCs/>
          <w:color w:val="auto"/>
          <w:sz w:val="21"/>
          <w:szCs w:val="21"/>
          <w:highlight w:val="none"/>
          <w:lang w:bidi="ar"/>
        </w:rPr>
        <w:t>履约保证金</w:t>
      </w:r>
    </w:p>
    <w:p w14:paraId="595D6855">
      <w:pPr>
        <w:widowControl/>
        <w:spacing w:line="360" w:lineRule="auto"/>
        <w:ind w:firstLine="420" w:firstLineChars="200"/>
        <w:rPr>
          <w:rFonts w:hint="eastAsia" w:ascii="宋体" w:hAnsi="宋体" w:cs="宋体"/>
          <w:color w:val="auto"/>
          <w:sz w:val="21"/>
          <w:szCs w:val="21"/>
          <w:highlight w:val="none"/>
          <w:lang w:bidi="ar"/>
        </w:rPr>
      </w:pPr>
      <w:r>
        <w:rPr>
          <w:rFonts w:hint="eastAsia" w:ascii="宋体" w:hAnsi="宋体" w:cs="宋体"/>
          <w:color w:val="auto"/>
          <w:sz w:val="21"/>
          <w:szCs w:val="21"/>
          <w:highlight w:val="none"/>
          <w:lang w:bidi="ar"/>
        </w:rPr>
        <w:t>在签订合同之前，</w:t>
      </w:r>
      <w:r>
        <w:rPr>
          <w:rFonts w:hint="eastAsia" w:ascii="宋体" w:hAnsi="宋体" w:cs="宋体"/>
          <w:color w:val="auto"/>
          <w:sz w:val="21"/>
          <w:szCs w:val="21"/>
          <w:highlight w:val="none"/>
          <w:lang w:eastAsia="zh-CN" w:bidi="ar"/>
        </w:rPr>
        <w:t>供应商</w:t>
      </w:r>
      <w:r>
        <w:rPr>
          <w:rFonts w:hint="eastAsia" w:ascii="宋体" w:hAnsi="宋体" w:cs="宋体"/>
          <w:color w:val="auto"/>
          <w:sz w:val="21"/>
          <w:szCs w:val="21"/>
          <w:highlight w:val="none"/>
          <w:lang w:bidi="ar"/>
        </w:rPr>
        <w:t>向</w:t>
      </w:r>
      <w:r>
        <w:rPr>
          <w:rFonts w:hint="eastAsia" w:ascii="宋体" w:hAnsi="宋体" w:cs="宋体"/>
          <w:color w:val="auto"/>
          <w:sz w:val="21"/>
          <w:szCs w:val="21"/>
          <w:highlight w:val="none"/>
          <w:lang w:eastAsia="zh-CN" w:bidi="ar"/>
        </w:rPr>
        <w:t>采购人</w:t>
      </w:r>
      <w:r>
        <w:rPr>
          <w:rFonts w:hint="eastAsia" w:ascii="宋体" w:hAnsi="宋体" w:cs="宋体"/>
          <w:color w:val="auto"/>
          <w:sz w:val="21"/>
          <w:szCs w:val="21"/>
          <w:highlight w:val="none"/>
          <w:lang w:bidi="ar"/>
        </w:rPr>
        <w:t>提交金额为签约合同价5%（或2%，如</w:t>
      </w:r>
      <w:r>
        <w:rPr>
          <w:rFonts w:hint="eastAsia" w:ascii="宋体" w:hAnsi="宋体" w:cs="宋体"/>
          <w:color w:val="auto"/>
          <w:sz w:val="21"/>
          <w:szCs w:val="21"/>
          <w:highlight w:val="none"/>
          <w:lang w:eastAsia="zh-CN" w:bidi="ar"/>
        </w:rPr>
        <w:t>供应商</w:t>
      </w:r>
      <w:r>
        <w:rPr>
          <w:rFonts w:hint="eastAsia" w:ascii="宋体" w:hAnsi="宋体" w:cs="宋体"/>
          <w:color w:val="auto"/>
          <w:sz w:val="21"/>
          <w:szCs w:val="21"/>
          <w:highlight w:val="none"/>
          <w:lang w:bidi="ar"/>
        </w:rPr>
        <w:t>为中小微企业时）的履约保证金。</w:t>
      </w:r>
      <w:r>
        <w:rPr>
          <w:rFonts w:hint="eastAsia" w:ascii="宋体" w:hAnsi="宋体" w:cs="宋体"/>
          <w:color w:val="auto"/>
          <w:sz w:val="21"/>
          <w:szCs w:val="21"/>
          <w:highlight w:val="none"/>
          <w:lang w:eastAsia="zh-CN" w:bidi="ar"/>
        </w:rPr>
        <w:t>供应商</w:t>
      </w:r>
      <w:r>
        <w:rPr>
          <w:rFonts w:hint="eastAsia" w:ascii="宋体" w:hAnsi="宋体" w:cs="宋体"/>
          <w:color w:val="auto"/>
          <w:sz w:val="21"/>
          <w:szCs w:val="21"/>
          <w:highlight w:val="none"/>
          <w:lang w:bidi="ar"/>
        </w:rPr>
        <w:t>未按约定提交履约保证金的，视为放弃中标资格，</w:t>
      </w:r>
      <w:r>
        <w:rPr>
          <w:rFonts w:hint="eastAsia" w:ascii="宋体" w:hAnsi="宋体" w:cs="宋体"/>
          <w:color w:val="auto"/>
          <w:sz w:val="21"/>
          <w:szCs w:val="21"/>
          <w:highlight w:val="none"/>
          <w:lang w:eastAsia="zh-CN" w:bidi="ar"/>
        </w:rPr>
        <w:t>采购人</w:t>
      </w:r>
      <w:r>
        <w:rPr>
          <w:rFonts w:hint="eastAsia" w:ascii="宋体" w:hAnsi="宋体" w:cs="宋体"/>
          <w:color w:val="auto"/>
          <w:sz w:val="21"/>
          <w:szCs w:val="21"/>
          <w:highlight w:val="none"/>
          <w:lang w:bidi="ar"/>
        </w:rPr>
        <w:t>有权不予与其签订合同；因此给</w:t>
      </w:r>
      <w:r>
        <w:rPr>
          <w:rFonts w:hint="eastAsia" w:ascii="宋体" w:hAnsi="宋体" w:cs="宋体"/>
          <w:color w:val="auto"/>
          <w:sz w:val="21"/>
          <w:szCs w:val="21"/>
          <w:highlight w:val="none"/>
          <w:lang w:eastAsia="zh-CN" w:bidi="ar"/>
        </w:rPr>
        <w:t>采购人</w:t>
      </w:r>
      <w:r>
        <w:rPr>
          <w:rFonts w:hint="eastAsia" w:ascii="宋体" w:hAnsi="宋体" w:cs="宋体"/>
          <w:color w:val="auto"/>
          <w:sz w:val="21"/>
          <w:szCs w:val="21"/>
          <w:highlight w:val="none"/>
          <w:lang w:bidi="ar"/>
        </w:rPr>
        <w:t>造成损失的，</w:t>
      </w:r>
      <w:r>
        <w:rPr>
          <w:rFonts w:hint="eastAsia" w:ascii="宋体" w:hAnsi="宋体" w:cs="宋体"/>
          <w:color w:val="auto"/>
          <w:sz w:val="21"/>
          <w:szCs w:val="21"/>
          <w:highlight w:val="none"/>
          <w:lang w:eastAsia="zh-CN" w:bidi="ar"/>
        </w:rPr>
        <w:t>供应商</w:t>
      </w:r>
      <w:r>
        <w:rPr>
          <w:rFonts w:hint="eastAsia" w:ascii="宋体" w:hAnsi="宋体" w:cs="宋体"/>
          <w:color w:val="auto"/>
          <w:sz w:val="21"/>
          <w:szCs w:val="21"/>
          <w:highlight w:val="none"/>
          <w:lang w:bidi="ar"/>
        </w:rPr>
        <w:t>还应承担相应的赔偿责任。</w:t>
      </w:r>
    </w:p>
    <w:p w14:paraId="5C81C32F">
      <w:pPr>
        <w:widowControl/>
        <w:spacing w:line="360" w:lineRule="auto"/>
        <w:ind w:firstLine="422" w:firstLineChars="200"/>
        <w:outlineLvl w:val="2"/>
        <w:rPr>
          <w:rFonts w:hint="eastAsia" w:ascii="宋体" w:hAnsi="宋体" w:cs="宋体"/>
          <w:b/>
          <w:bCs/>
          <w:color w:val="auto"/>
          <w:szCs w:val="21"/>
          <w:highlight w:val="none"/>
          <w:lang w:bidi="ar"/>
        </w:rPr>
      </w:pPr>
      <w:r>
        <w:rPr>
          <w:rFonts w:hint="eastAsia" w:ascii="宋体" w:hAnsi="宋体" w:cs="宋体"/>
          <w:b/>
          <w:bCs/>
          <w:color w:val="auto"/>
          <w:szCs w:val="21"/>
          <w:highlight w:val="none"/>
          <w:lang w:eastAsia="zh-CN" w:bidi="ar"/>
        </w:rPr>
        <w:t>（六）质量保证期服务要求</w:t>
      </w:r>
    </w:p>
    <w:p w14:paraId="658E1D15">
      <w:pPr>
        <w:widowControl/>
        <w:spacing w:line="360" w:lineRule="auto"/>
        <w:ind w:firstLine="422" w:firstLineChars="200"/>
        <w:rPr>
          <w:rFonts w:hint="default" w:ascii="宋体" w:hAnsi="宋体" w:eastAsia="宋体" w:cs="宋体"/>
          <w:b/>
          <w:bCs/>
          <w:color w:val="auto"/>
          <w:szCs w:val="21"/>
          <w:highlight w:val="none"/>
          <w:lang w:val="en-US" w:eastAsia="zh-CN" w:bidi="ar"/>
        </w:rPr>
      </w:pPr>
      <w:r>
        <w:rPr>
          <w:rFonts w:hint="eastAsia" w:ascii="宋体" w:hAnsi="宋体" w:cs="宋体"/>
          <w:b/>
          <w:bCs/>
          <w:color w:val="auto"/>
          <w:szCs w:val="21"/>
          <w:highlight w:val="none"/>
          <w:lang w:val="en-US" w:eastAsia="zh-CN" w:bidi="ar"/>
        </w:rPr>
        <w:t>1.本项目质量保证期自成果报告验收合格之日‌起算，至《</w:t>
      </w:r>
      <w:r>
        <w:rPr>
          <w:rFonts w:hint="eastAsia" w:ascii="宋体" w:hAnsi="宋体" w:cs="宋体"/>
          <w:b/>
          <w:bCs/>
          <w:color w:val="auto"/>
          <w:szCs w:val="21"/>
          <w:highlight w:val="none"/>
          <w:lang w:bidi="ar"/>
        </w:rPr>
        <w:t>红水河（曹渡河口至桥巩）三级航道工程对广西忻城乐滩国家湿地公园生态影响评价报告</w:t>
      </w:r>
      <w:r>
        <w:rPr>
          <w:rFonts w:hint="eastAsia" w:ascii="宋体" w:hAnsi="宋体" w:cs="宋体"/>
          <w:b/>
          <w:bCs/>
          <w:color w:val="auto"/>
          <w:szCs w:val="21"/>
          <w:highlight w:val="none"/>
          <w:lang w:val="en-US" w:eastAsia="zh-CN" w:bidi="ar"/>
        </w:rPr>
        <w:t>》批复止。《</w:t>
      </w:r>
      <w:r>
        <w:rPr>
          <w:rFonts w:hint="eastAsia" w:ascii="宋体" w:hAnsi="宋体" w:cs="宋体"/>
          <w:b/>
          <w:bCs/>
          <w:color w:val="auto"/>
          <w:szCs w:val="21"/>
          <w:highlight w:val="none"/>
          <w:lang w:bidi="ar"/>
        </w:rPr>
        <w:t>红水河（曹渡河口至桥巩）三级航道工程对广西忻城乐滩国家湿地公园生态影响评价报告</w:t>
      </w:r>
      <w:r>
        <w:rPr>
          <w:rFonts w:hint="eastAsia" w:ascii="宋体" w:hAnsi="宋体" w:cs="宋体"/>
          <w:b/>
          <w:bCs/>
          <w:color w:val="auto"/>
          <w:szCs w:val="21"/>
          <w:highlight w:val="none"/>
          <w:lang w:val="en-US" w:eastAsia="zh-CN" w:bidi="ar"/>
        </w:rPr>
        <w:t>》批复后，质量保证期自动结束。</w:t>
      </w:r>
    </w:p>
    <w:p w14:paraId="60715B67">
      <w:pPr>
        <w:widowControl/>
        <w:spacing w:line="360" w:lineRule="auto"/>
        <w:ind w:firstLine="422" w:firstLineChars="200"/>
        <w:rPr>
          <w:rFonts w:hint="eastAsia" w:ascii="宋体" w:hAnsi="宋体" w:eastAsia="宋体" w:cs="宋体"/>
          <w:b/>
          <w:bCs/>
          <w:color w:val="auto"/>
          <w:szCs w:val="21"/>
          <w:highlight w:val="none"/>
          <w:lang w:val="en-US" w:eastAsia="zh-CN" w:bidi="ar"/>
        </w:rPr>
      </w:pPr>
      <w:r>
        <w:rPr>
          <w:rFonts w:hint="eastAsia" w:ascii="宋体" w:hAnsi="宋体" w:cs="宋体"/>
          <w:b/>
          <w:bCs/>
          <w:color w:val="auto"/>
          <w:szCs w:val="21"/>
          <w:highlight w:val="none"/>
          <w:lang w:val="en-US" w:eastAsia="zh-CN" w:bidi="ar"/>
        </w:rPr>
        <w:t>2.</w:t>
      </w:r>
      <w:r>
        <w:rPr>
          <w:rFonts w:hint="eastAsia" w:ascii="宋体" w:hAnsi="宋体" w:cs="宋体"/>
          <w:b/>
          <w:bCs/>
          <w:color w:val="auto"/>
          <w:szCs w:val="21"/>
          <w:highlight w:val="none"/>
          <w:lang w:bidi="ar"/>
        </w:rPr>
        <w:t>合同验收证书的签署不能免除</w:t>
      </w:r>
      <w:r>
        <w:rPr>
          <w:rFonts w:hint="eastAsia" w:ascii="宋体" w:hAnsi="宋体" w:cs="宋体"/>
          <w:b/>
          <w:bCs/>
          <w:color w:val="auto"/>
          <w:szCs w:val="21"/>
          <w:highlight w:val="none"/>
          <w:lang w:eastAsia="zh-CN" w:bidi="ar"/>
        </w:rPr>
        <w:t>供应商</w:t>
      </w:r>
      <w:r>
        <w:rPr>
          <w:rFonts w:hint="eastAsia" w:ascii="宋体" w:hAnsi="宋体" w:cs="宋体"/>
          <w:b/>
          <w:bCs/>
          <w:color w:val="auto"/>
          <w:szCs w:val="21"/>
          <w:highlight w:val="none"/>
          <w:lang w:bidi="ar"/>
        </w:rPr>
        <w:t>在质保期内对合同</w:t>
      </w:r>
      <w:r>
        <w:rPr>
          <w:rFonts w:hint="eastAsia" w:ascii="宋体" w:hAnsi="宋体" w:cs="宋体"/>
          <w:b/>
          <w:bCs/>
          <w:color w:val="auto"/>
          <w:szCs w:val="21"/>
          <w:highlight w:val="none"/>
          <w:lang w:eastAsia="zh-CN" w:bidi="ar"/>
        </w:rPr>
        <w:t>工作</w:t>
      </w:r>
      <w:r>
        <w:rPr>
          <w:rFonts w:hint="eastAsia" w:ascii="宋体" w:hAnsi="宋体" w:cs="宋体"/>
          <w:b/>
          <w:bCs/>
          <w:color w:val="auto"/>
          <w:szCs w:val="21"/>
          <w:highlight w:val="none"/>
          <w:lang w:bidi="ar"/>
        </w:rPr>
        <w:t>应承担的保证责任</w:t>
      </w:r>
      <w:r>
        <w:rPr>
          <w:rFonts w:hint="eastAsia" w:ascii="宋体" w:hAnsi="宋体" w:cs="宋体"/>
          <w:b/>
          <w:bCs/>
          <w:color w:val="auto"/>
          <w:szCs w:val="21"/>
          <w:highlight w:val="none"/>
          <w:lang w:eastAsia="zh-CN" w:bidi="ar"/>
        </w:rPr>
        <w:t>。</w:t>
      </w:r>
    </w:p>
    <w:p w14:paraId="4D9CBDD4">
      <w:pPr>
        <w:widowControl/>
        <w:spacing w:line="360" w:lineRule="auto"/>
        <w:ind w:firstLine="422" w:firstLineChars="200"/>
        <w:rPr>
          <w:rFonts w:hint="eastAsia" w:ascii="宋体" w:hAnsi="宋体" w:cs="宋体"/>
          <w:b/>
          <w:bCs/>
          <w:color w:val="auto"/>
          <w:sz w:val="21"/>
          <w:szCs w:val="21"/>
          <w:highlight w:val="none"/>
          <w:lang w:bidi="ar"/>
        </w:rPr>
      </w:pPr>
      <w:r>
        <w:rPr>
          <w:rFonts w:hint="eastAsia" w:ascii="宋体" w:hAnsi="宋体" w:cs="宋体"/>
          <w:b/>
          <w:bCs/>
          <w:color w:val="auto"/>
          <w:szCs w:val="21"/>
          <w:highlight w:val="none"/>
          <w:lang w:val="en-US" w:eastAsia="zh-CN" w:bidi="ar"/>
        </w:rPr>
        <w:t>3.在质量保证期内，供应商</w:t>
      </w:r>
      <w:r>
        <w:rPr>
          <w:rFonts w:hint="eastAsia" w:ascii="宋体" w:hAnsi="宋体" w:cs="宋体"/>
          <w:b/>
          <w:bCs/>
          <w:color w:val="auto"/>
          <w:szCs w:val="21"/>
          <w:highlight w:val="none"/>
          <w:lang w:bidi="ar"/>
        </w:rPr>
        <w:t>应自负费用提供质保期服务</w:t>
      </w:r>
      <w:r>
        <w:rPr>
          <w:rFonts w:hint="eastAsia" w:ascii="宋体" w:hAnsi="宋体" w:cs="宋体"/>
          <w:b/>
          <w:bCs/>
          <w:color w:val="auto"/>
          <w:szCs w:val="21"/>
          <w:highlight w:val="none"/>
          <w:lang w:eastAsia="zh-CN" w:bidi="ar"/>
        </w:rPr>
        <w:t>。</w:t>
      </w:r>
      <w:r>
        <w:rPr>
          <w:rFonts w:hint="eastAsia" w:ascii="宋体" w:hAnsi="宋体" w:cs="宋体"/>
          <w:b/>
          <w:bCs/>
          <w:color w:val="auto"/>
          <w:szCs w:val="21"/>
          <w:highlight w:val="none"/>
          <w:lang w:bidi="ar"/>
        </w:rPr>
        <w:t>供应商应协助采购人办理</w:t>
      </w:r>
      <w:r>
        <w:rPr>
          <w:rFonts w:hint="eastAsia" w:ascii="宋体" w:hAnsi="宋体" w:cs="宋体"/>
          <w:b/>
          <w:bCs/>
          <w:color w:val="auto"/>
          <w:szCs w:val="21"/>
          <w:highlight w:val="none"/>
          <w:lang w:val="en-US" w:eastAsia="zh-CN" w:bidi="ar"/>
        </w:rPr>
        <w:t>《</w:t>
      </w:r>
      <w:r>
        <w:rPr>
          <w:rFonts w:hint="eastAsia" w:ascii="宋体" w:hAnsi="宋体" w:cs="宋体"/>
          <w:b/>
          <w:bCs/>
          <w:color w:val="auto"/>
          <w:szCs w:val="21"/>
          <w:highlight w:val="none"/>
          <w:lang w:bidi="ar"/>
        </w:rPr>
        <w:t>红水河（曹渡河口至桥巩）三级航道工程对广西忻城乐滩国家湿地公园生态影响评价报告</w:t>
      </w:r>
      <w:r>
        <w:rPr>
          <w:rFonts w:hint="eastAsia" w:ascii="宋体" w:hAnsi="宋体" w:cs="宋体"/>
          <w:b/>
          <w:bCs/>
          <w:color w:val="auto"/>
          <w:szCs w:val="21"/>
          <w:highlight w:val="none"/>
          <w:lang w:val="en-US" w:eastAsia="zh-CN" w:bidi="ar"/>
        </w:rPr>
        <w:t>》</w:t>
      </w:r>
      <w:r>
        <w:rPr>
          <w:rFonts w:hint="eastAsia" w:ascii="宋体" w:hAnsi="宋体" w:cs="宋体"/>
          <w:b/>
          <w:bCs/>
          <w:color w:val="auto"/>
          <w:szCs w:val="21"/>
          <w:highlight w:val="none"/>
          <w:lang w:bidi="ar"/>
        </w:rPr>
        <w:t>审批手续，按有关审查、评审意见修改完善项目建议书，承担</w:t>
      </w:r>
      <w:r>
        <w:rPr>
          <w:rFonts w:hint="eastAsia" w:ascii="宋体" w:hAnsi="宋体" w:cs="宋体"/>
          <w:b/>
          <w:bCs/>
          <w:color w:val="auto"/>
          <w:szCs w:val="21"/>
          <w:highlight w:val="none"/>
          <w:lang w:val="en-US" w:eastAsia="zh-CN" w:bidi="ar"/>
        </w:rPr>
        <w:t>《</w:t>
      </w:r>
      <w:r>
        <w:rPr>
          <w:rFonts w:hint="eastAsia" w:ascii="宋体" w:hAnsi="宋体" w:cs="宋体"/>
          <w:b/>
          <w:bCs/>
          <w:color w:val="auto"/>
          <w:szCs w:val="21"/>
          <w:highlight w:val="none"/>
          <w:lang w:bidi="ar"/>
        </w:rPr>
        <w:t>红水河（曹渡河口至桥巩）三级航道工程对广西忻城乐滩国家湿地公园生态影响评价报告</w:t>
      </w:r>
      <w:r>
        <w:rPr>
          <w:rFonts w:hint="eastAsia" w:ascii="宋体" w:hAnsi="宋体" w:cs="宋体"/>
          <w:b/>
          <w:bCs/>
          <w:color w:val="auto"/>
          <w:szCs w:val="21"/>
          <w:highlight w:val="none"/>
          <w:lang w:val="en-US" w:eastAsia="zh-CN" w:bidi="ar"/>
        </w:rPr>
        <w:t>》</w:t>
      </w:r>
      <w:r>
        <w:rPr>
          <w:rFonts w:hint="eastAsia" w:ascii="宋体" w:hAnsi="宋体" w:cs="宋体"/>
          <w:b/>
          <w:bCs/>
          <w:color w:val="auto"/>
          <w:szCs w:val="21"/>
          <w:highlight w:val="none"/>
          <w:lang w:bidi="ar"/>
        </w:rPr>
        <w:t>审查、评审所产生的有关费用，直至</w:t>
      </w:r>
      <w:r>
        <w:rPr>
          <w:rFonts w:hint="eastAsia" w:ascii="宋体" w:hAnsi="宋体" w:cs="宋体"/>
          <w:b/>
          <w:bCs/>
          <w:color w:val="auto"/>
          <w:szCs w:val="21"/>
          <w:highlight w:val="none"/>
          <w:lang w:val="en-US" w:eastAsia="zh-CN" w:bidi="ar"/>
        </w:rPr>
        <w:t>《</w:t>
      </w:r>
      <w:r>
        <w:rPr>
          <w:rFonts w:hint="eastAsia" w:ascii="宋体" w:hAnsi="宋体" w:cs="宋体"/>
          <w:b/>
          <w:bCs/>
          <w:color w:val="auto"/>
          <w:szCs w:val="21"/>
          <w:highlight w:val="none"/>
          <w:lang w:bidi="ar"/>
        </w:rPr>
        <w:t>红水河（曹渡河口至桥巩）三级航道工程对广西忻城乐滩国家湿地公园生态影响评价报告</w:t>
      </w:r>
      <w:r>
        <w:rPr>
          <w:rFonts w:hint="eastAsia" w:ascii="宋体" w:hAnsi="宋体" w:cs="宋体"/>
          <w:b/>
          <w:bCs/>
          <w:color w:val="auto"/>
          <w:szCs w:val="21"/>
          <w:highlight w:val="none"/>
          <w:lang w:val="en-US" w:eastAsia="zh-CN" w:bidi="ar"/>
        </w:rPr>
        <w:t>》</w:t>
      </w:r>
      <w:r>
        <w:rPr>
          <w:rFonts w:hint="eastAsia" w:ascii="宋体" w:hAnsi="宋体" w:cs="宋体"/>
          <w:b/>
          <w:bCs/>
          <w:color w:val="auto"/>
          <w:szCs w:val="21"/>
          <w:highlight w:val="none"/>
          <w:lang w:bidi="ar"/>
        </w:rPr>
        <w:t>取得批复。</w:t>
      </w:r>
    </w:p>
    <w:p w14:paraId="5C509A32">
      <w:pPr>
        <w:widowControl/>
        <w:spacing w:line="360" w:lineRule="auto"/>
        <w:ind w:firstLine="420" w:firstLineChars="200"/>
        <w:rPr>
          <w:rFonts w:hint="eastAsia" w:ascii="宋体" w:hAnsi="宋体" w:cs="宋体"/>
          <w:color w:val="auto"/>
          <w:sz w:val="21"/>
          <w:szCs w:val="21"/>
          <w:highlight w:val="none"/>
          <w:lang w:bidi="ar"/>
        </w:rPr>
      </w:pPr>
    </w:p>
    <w:p w14:paraId="2E90F7C7">
      <w:pPr>
        <w:rPr>
          <w:color w:val="auto"/>
          <w:sz w:val="28"/>
          <w:szCs w:val="28"/>
          <w:highlight w:val="none"/>
        </w:rPr>
      </w:pPr>
      <w:bookmarkStart w:id="89" w:name="_Toc6863"/>
      <w:bookmarkStart w:id="90" w:name="_Toc23331"/>
      <w:bookmarkStart w:id="91" w:name="_Toc12517"/>
      <w:r>
        <w:rPr>
          <w:rFonts w:hint="eastAsia"/>
          <w:color w:val="auto"/>
          <w:sz w:val="28"/>
          <w:szCs w:val="28"/>
          <w:highlight w:val="none"/>
        </w:rPr>
        <w:br w:type="page"/>
      </w:r>
    </w:p>
    <w:p w14:paraId="3304DF77">
      <w:pPr>
        <w:pStyle w:val="2"/>
        <w:spacing w:before="0" w:after="0" w:line="360" w:lineRule="auto"/>
        <w:jc w:val="center"/>
        <w:rPr>
          <w:color w:val="auto"/>
          <w:sz w:val="28"/>
          <w:szCs w:val="28"/>
          <w:highlight w:val="none"/>
        </w:rPr>
      </w:pPr>
      <w:bookmarkStart w:id="92" w:name="_Toc27586"/>
      <w:bookmarkStart w:id="93" w:name="_Toc6744"/>
      <w:bookmarkStart w:id="94" w:name="_Toc23860"/>
      <w:bookmarkStart w:id="95" w:name="_Toc10480"/>
      <w:bookmarkStart w:id="96" w:name="_Toc11083"/>
      <w:bookmarkStart w:id="97" w:name="_Toc7824"/>
      <w:bookmarkStart w:id="98" w:name="_Toc5075"/>
      <w:bookmarkStart w:id="99" w:name="_Toc24083"/>
      <w:bookmarkStart w:id="100" w:name="_Toc17590"/>
      <w:bookmarkStart w:id="101" w:name="_Toc1764"/>
      <w:bookmarkStart w:id="102" w:name="_Toc16772"/>
      <w:bookmarkStart w:id="103" w:name="_Toc22370"/>
      <w:bookmarkStart w:id="104" w:name="_Toc26212"/>
      <w:bookmarkStart w:id="105" w:name="_Toc3595"/>
      <w:bookmarkStart w:id="106" w:name="_Toc13465"/>
      <w:r>
        <w:rPr>
          <w:rFonts w:hint="eastAsia"/>
          <w:color w:val="auto"/>
          <w:sz w:val="28"/>
          <w:szCs w:val="28"/>
          <w:highlight w:val="none"/>
        </w:rPr>
        <w:t>第四章  评审办法</w:t>
      </w:r>
      <w:bookmarkEnd w:id="89"/>
      <w:bookmarkEnd w:id="90"/>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p>
    <w:p w14:paraId="65225332">
      <w:pPr>
        <w:spacing w:line="360" w:lineRule="auto"/>
        <w:jc w:val="center"/>
        <w:outlineLvl w:val="1"/>
        <w:rPr>
          <w:rFonts w:ascii="宋体" w:hAnsi="宋体"/>
          <w:b/>
          <w:color w:val="auto"/>
          <w:sz w:val="24"/>
          <w:highlight w:val="none"/>
        </w:rPr>
      </w:pPr>
      <w:bookmarkStart w:id="107" w:name="_Toc28533"/>
      <w:bookmarkStart w:id="108" w:name="_Toc19504"/>
      <w:bookmarkStart w:id="109" w:name="_Toc1654"/>
      <w:bookmarkStart w:id="110" w:name="_Toc437"/>
      <w:bookmarkStart w:id="111" w:name="_Toc32309"/>
      <w:bookmarkStart w:id="112" w:name="_Toc31221"/>
      <w:bookmarkStart w:id="113" w:name="_Toc24809"/>
      <w:bookmarkStart w:id="114" w:name="_Toc11870"/>
      <w:bookmarkStart w:id="115" w:name="_Toc17889"/>
      <w:bookmarkStart w:id="116" w:name="_Toc32449"/>
      <w:bookmarkStart w:id="117" w:name="_Toc16989"/>
      <w:bookmarkStart w:id="118" w:name="_Toc26385"/>
      <w:bookmarkStart w:id="119" w:name="_Toc24776"/>
      <w:bookmarkStart w:id="120" w:name="_Toc22297"/>
      <w:bookmarkStart w:id="121" w:name="_Toc14190"/>
      <w:bookmarkStart w:id="122" w:name="_Toc17459"/>
      <w:bookmarkStart w:id="123" w:name="_Toc13582"/>
      <w:r>
        <w:rPr>
          <w:rFonts w:hint="eastAsia" w:ascii="宋体" w:hAnsi="宋体"/>
          <w:b/>
          <w:color w:val="auto"/>
          <w:sz w:val="24"/>
          <w:highlight w:val="none"/>
        </w:rPr>
        <w:t>第一节  评审程序和评审方法</w:t>
      </w:r>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p>
    <w:bookmarkEnd w:id="91"/>
    <w:p w14:paraId="6B9EB64B">
      <w:pPr>
        <w:spacing w:line="360" w:lineRule="auto"/>
        <w:ind w:firstLine="420" w:firstLineChars="200"/>
        <w:rPr>
          <w:rFonts w:ascii="宋体" w:hAnsi="宋体" w:cs="宋体"/>
          <w:color w:val="auto"/>
          <w:szCs w:val="21"/>
          <w:highlight w:val="none"/>
        </w:rPr>
      </w:pPr>
      <w:r>
        <w:rPr>
          <w:rFonts w:ascii="宋体" w:hAnsi="宋体" w:cs="宋体"/>
          <w:color w:val="auto"/>
          <w:szCs w:val="21"/>
          <w:highlight w:val="none"/>
        </w:rPr>
        <w:t>根据《中华人民共和国政府采购法》《中华人民共和国民法典》《</w:t>
      </w:r>
      <w:r>
        <w:rPr>
          <w:rFonts w:hint="eastAsia" w:ascii="宋体" w:hAnsi="宋体" w:cs="宋体"/>
          <w:color w:val="auto"/>
          <w:szCs w:val="21"/>
          <w:highlight w:val="none"/>
          <w:lang w:eastAsia="zh-CN"/>
        </w:rPr>
        <w:t>广西壮族自治区水运发展中心</w:t>
      </w:r>
      <w:r>
        <w:rPr>
          <w:rFonts w:ascii="宋体" w:hAnsi="宋体" w:cs="宋体"/>
          <w:color w:val="auto"/>
          <w:szCs w:val="21"/>
          <w:highlight w:val="none"/>
        </w:rPr>
        <w:t>自行采购管理办法》等有关规定，采购人组建合议小组（评审小组）按本采购文件规定，对响应文件进行评审。</w:t>
      </w:r>
      <w:r>
        <w:rPr>
          <w:rFonts w:hint="eastAsia" w:ascii="宋体" w:hAnsi="宋体" w:cs="宋体"/>
          <w:color w:val="auto"/>
          <w:szCs w:val="21"/>
          <w:highlight w:val="none"/>
        </w:rPr>
        <w:t>本次采购采用综合评估法。</w:t>
      </w:r>
    </w:p>
    <w:p w14:paraId="083953B8">
      <w:pPr>
        <w:spacing w:line="360" w:lineRule="auto"/>
        <w:ind w:firstLine="482" w:firstLineChars="200"/>
        <w:rPr>
          <w:rFonts w:ascii="黑体" w:hAnsi="黑体" w:eastAsia="黑体" w:cs="宋体"/>
          <w:b/>
          <w:bCs/>
          <w:color w:val="auto"/>
          <w:sz w:val="24"/>
          <w:highlight w:val="none"/>
        </w:rPr>
      </w:pPr>
      <w:r>
        <w:rPr>
          <w:rFonts w:hint="eastAsia" w:ascii="黑体" w:hAnsi="黑体" w:eastAsia="黑体" w:cs="宋体"/>
          <w:b/>
          <w:bCs/>
          <w:color w:val="auto"/>
          <w:sz w:val="24"/>
          <w:highlight w:val="none"/>
        </w:rPr>
        <w:t>一、资格审查</w:t>
      </w:r>
    </w:p>
    <w:p w14:paraId="1B6A4676">
      <w:pPr>
        <w:snapToGrid w:val="0"/>
        <w:spacing w:line="360" w:lineRule="auto"/>
        <w:ind w:firstLine="420" w:firstLineChars="200"/>
        <w:rPr>
          <w:rFonts w:ascii="宋体" w:hAnsi="宋体"/>
          <w:color w:val="auto"/>
          <w:szCs w:val="21"/>
          <w:highlight w:val="none"/>
        </w:rPr>
      </w:pPr>
      <w:r>
        <w:rPr>
          <w:rFonts w:hint="eastAsia" w:ascii="宋体" w:hAnsi="宋体" w:cs="宋体"/>
          <w:color w:val="auto"/>
          <w:szCs w:val="21"/>
          <w:highlight w:val="none"/>
        </w:rPr>
        <w:t>（一）</w:t>
      </w:r>
      <w:r>
        <w:rPr>
          <w:rFonts w:hint="eastAsia" w:ascii="宋体" w:hAnsi="宋体"/>
          <w:color w:val="auto"/>
          <w:szCs w:val="21"/>
          <w:highlight w:val="none"/>
        </w:rPr>
        <w:t>评审小组依法对供应商的响应文件中资格证明文件进行审查。</w:t>
      </w:r>
    </w:p>
    <w:p w14:paraId="39288E29">
      <w:pPr>
        <w:snapToGrid w:val="0"/>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1.查询渠道：</w:t>
      </w:r>
      <w:r>
        <w:rPr>
          <w:rFonts w:ascii="宋体" w:hAnsi="宋体" w:cs="宋体"/>
          <w:color w:val="auto"/>
          <w:szCs w:val="21"/>
          <w:highlight w:val="none"/>
        </w:rPr>
        <w:t>“信用中国”网站、中国政府采购网</w:t>
      </w:r>
      <w:r>
        <w:rPr>
          <w:rFonts w:hint="eastAsia" w:ascii="宋体" w:hAnsi="宋体" w:cs="宋体"/>
          <w:color w:val="auto"/>
          <w:szCs w:val="21"/>
          <w:highlight w:val="none"/>
        </w:rPr>
        <w:t>。</w:t>
      </w:r>
    </w:p>
    <w:p w14:paraId="60233D5A">
      <w:pPr>
        <w:snapToGrid w:val="0"/>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2.信用查询截止时点：</w:t>
      </w:r>
      <w:r>
        <w:rPr>
          <w:rFonts w:ascii="宋体" w:hAnsi="宋体" w:cs="宋体"/>
          <w:color w:val="auto"/>
          <w:szCs w:val="21"/>
          <w:highlight w:val="none"/>
        </w:rPr>
        <w:t>资格审查结束前</w:t>
      </w:r>
    </w:p>
    <w:p w14:paraId="392563E5">
      <w:pPr>
        <w:snapToGrid w:val="0"/>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3.查询记录和证据留存方式：将查询网站中的查询记录截图并作为评审资料保存。</w:t>
      </w:r>
    </w:p>
    <w:p w14:paraId="7C58C74B">
      <w:pPr>
        <w:snapToGrid w:val="0"/>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4.信用信息使用规则：</w:t>
      </w:r>
    </w:p>
    <w:p w14:paraId="28430165">
      <w:pPr>
        <w:snapToGrid w:val="0"/>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1）对在“信用中国”网站、中国政府采购网被列入失信被执行人、重大税收违法案件当事人名单、政府采购严重违法失信行为记录名单及其他不符合《中华人民共和国政府采购法》第二十二条规定条件的供应商，不得参与本次采购活动。</w:t>
      </w:r>
    </w:p>
    <w:p w14:paraId="2ADDD505">
      <w:pPr>
        <w:snapToGrid w:val="0"/>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（2)资格审查标准为本采购文件中载明对供应商资格要求的条件。资格审查采用合格制，凡符合采购文件规定的供应商资格要求的响应文件均通过资格审查。</w:t>
      </w:r>
    </w:p>
    <w:p w14:paraId="7E13C05A">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(3)供应商资格审查不通过的，其响应文件按无效响应处理。</w:t>
      </w:r>
    </w:p>
    <w:p w14:paraId="31C0A3BE">
      <w:pPr>
        <w:tabs>
          <w:tab w:val="left" w:pos="3150"/>
        </w:tabs>
        <w:spacing w:line="360" w:lineRule="auto"/>
        <w:ind w:firstLine="420" w:firstLineChars="200"/>
        <w:rPr>
          <w:color w:val="auto"/>
          <w:highlight w:val="none"/>
        </w:rPr>
      </w:pPr>
      <w:r>
        <w:rPr>
          <w:rFonts w:hint="eastAsia" w:ascii="宋体" w:hAnsi="宋体" w:cs="宋体"/>
          <w:color w:val="auto"/>
          <w:szCs w:val="21"/>
          <w:highlight w:val="none"/>
        </w:rPr>
        <w:t>(4)</w:t>
      </w:r>
      <w:r>
        <w:rPr>
          <w:rFonts w:hint="eastAsia"/>
          <w:color w:val="auto"/>
          <w:highlight w:val="none"/>
        </w:rPr>
        <w:t>凡是不满足资格审查中的任意一条，均为不通过资格审查。</w:t>
      </w:r>
    </w:p>
    <w:p w14:paraId="008B1140">
      <w:pPr>
        <w:tabs>
          <w:tab w:val="left" w:pos="3150"/>
        </w:tabs>
        <w:spacing w:line="360" w:lineRule="auto"/>
        <w:ind w:firstLine="420" w:firstLineChars="200"/>
        <w:rPr>
          <w:color w:val="auto"/>
          <w:highlight w:val="none"/>
        </w:rPr>
      </w:pPr>
      <w:r>
        <w:rPr>
          <w:rFonts w:hint="eastAsia" w:ascii="宋体" w:hAnsi="宋体" w:cs="宋体"/>
          <w:color w:val="auto"/>
          <w:szCs w:val="21"/>
          <w:highlight w:val="none"/>
        </w:rPr>
        <w:t>(5)</w:t>
      </w:r>
      <w:r>
        <w:rPr>
          <w:rFonts w:hint="eastAsia"/>
          <w:color w:val="auto"/>
          <w:highlight w:val="none"/>
        </w:rPr>
        <w:t>如果通过资格审查的投标供应商不足三家：</w:t>
      </w:r>
    </w:p>
    <w:p w14:paraId="7EF076D7">
      <w:pPr>
        <w:tabs>
          <w:tab w:val="left" w:pos="3150"/>
        </w:tabs>
        <w:spacing w:line="360" w:lineRule="auto"/>
        <w:ind w:firstLine="420" w:firstLineChars="200"/>
        <w:rPr>
          <w:color w:val="auto"/>
          <w:highlight w:val="none"/>
        </w:rPr>
      </w:pPr>
      <w:r>
        <w:rPr>
          <w:rFonts w:hint="eastAsia" w:ascii="宋体" w:hAnsi="宋体" w:cs="宋体"/>
          <w:color w:val="auto"/>
          <w:highlight w:val="none"/>
        </w:rPr>
        <w:t>①</w:t>
      </w:r>
      <w:r>
        <w:rPr>
          <w:rFonts w:hint="eastAsia"/>
          <w:color w:val="auto"/>
          <w:highlight w:val="none"/>
        </w:rPr>
        <w:t>延长采购公告时间，延期3个工作日。</w:t>
      </w:r>
    </w:p>
    <w:p w14:paraId="058C34E0">
      <w:pPr>
        <w:tabs>
          <w:tab w:val="left" w:pos="3150"/>
        </w:tabs>
        <w:spacing w:line="360" w:lineRule="auto"/>
        <w:ind w:firstLine="420" w:firstLineChars="200"/>
        <w:rPr>
          <w:color w:val="auto"/>
          <w:highlight w:val="none"/>
        </w:rPr>
      </w:pPr>
      <w:r>
        <w:rPr>
          <w:rFonts w:hint="eastAsia" w:ascii="宋体" w:hAnsi="宋体" w:cs="宋体"/>
          <w:color w:val="auto"/>
          <w:highlight w:val="none"/>
        </w:rPr>
        <w:t>②</w:t>
      </w:r>
      <w:r>
        <w:rPr>
          <w:rFonts w:hint="eastAsia"/>
          <w:color w:val="auto"/>
          <w:highlight w:val="none"/>
        </w:rPr>
        <w:t>延期时间截止，响应供应商为2家或2家以上的，按照正常采购流程开展。</w:t>
      </w:r>
    </w:p>
    <w:p w14:paraId="28F3AD09">
      <w:pPr>
        <w:snapToGrid w:val="0"/>
        <w:spacing w:line="360" w:lineRule="auto"/>
        <w:ind w:firstLine="420" w:firstLineChars="200"/>
        <w:jc w:val="left"/>
        <w:rPr>
          <w:rFonts w:ascii="宋体" w:hAnsi="宋体" w:cs="宋体"/>
          <w:color w:val="auto"/>
          <w:szCs w:val="21"/>
          <w:highlight w:val="none"/>
        </w:rPr>
      </w:pPr>
      <w:r>
        <w:rPr>
          <w:rFonts w:hint="eastAsia" w:ascii="仿宋" w:hAnsi="仿宋" w:eastAsia="仿宋" w:cs="仿宋"/>
          <w:color w:val="auto"/>
          <w:highlight w:val="none"/>
        </w:rPr>
        <w:t>③</w:t>
      </w:r>
      <w:r>
        <w:rPr>
          <w:rFonts w:hint="eastAsia"/>
          <w:color w:val="auto"/>
          <w:highlight w:val="none"/>
        </w:rPr>
        <w:t>延期时间截止，响应供应商为1家的，由</w:t>
      </w:r>
      <w:r>
        <w:rPr>
          <w:rFonts w:hint="eastAsia" w:ascii="宋体" w:hAnsi="宋体" w:cs="宋体"/>
          <w:color w:val="auto"/>
          <w:szCs w:val="21"/>
          <w:highlight w:val="none"/>
        </w:rPr>
        <w:t>采购人</w:t>
      </w:r>
      <w:r>
        <w:rPr>
          <w:rFonts w:hint="eastAsia"/>
          <w:color w:val="auto"/>
          <w:highlight w:val="none"/>
        </w:rPr>
        <w:t>审核供应商投标文件，</w:t>
      </w:r>
      <w:r>
        <w:rPr>
          <w:rFonts w:hint="eastAsia" w:ascii="宋体" w:hAnsi="宋体" w:cs="宋体"/>
          <w:color w:val="auto"/>
          <w:szCs w:val="21"/>
          <w:highlight w:val="none"/>
        </w:rPr>
        <w:t>确定满足采购方案的条件后，组成谈判小组与供应商谈判。根据采购人内部程序，确定中标人，签订采购合同、支付合同款等。</w:t>
      </w:r>
    </w:p>
    <w:p w14:paraId="7EB209C2">
      <w:pPr>
        <w:spacing w:line="360" w:lineRule="auto"/>
        <w:ind w:firstLine="482" w:firstLineChars="200"/>
        <w:rPr>
          <w:rFonts w:ascii="黑体" w:hAnsi="黑体" w:eastAsia="黑体" w:cs="宋体"/>
          <w:b/>
          <w:bCs/>
          <w:color w:val="auto"/>
          <w:sz w:val="24"/>
          <w:highlight w:val="none"/>
        </w:rPr>
      </w:pPr>
      <w:r>
        <w:rPr>
          <w:rFonts w:hint="eastAsia" w:ascii="黑体" w:hAnsi="黑体" w:eastAsia="黑体" w:cs="宋体"/>
          <w:b/>
          <w:bCs/>
          <w:color w:val="auto"/>
          <w:sz w:val="24"/>
          <w:highlight w:val="none"/>
        </w:rPr>
        <w:t>二、符合性审查</w:t>
      </w:r>
    </w:p>
    <w:p w14:paraId="6777F258">
      <w:pPr>
        <w:spacing w:line="360" w:lineRule="auto"/>
        <w:ind w:firstLine="420" w:firstLineChars="200"/>
        <w:rPr>
          <w:rFonts w:ascii="宋体" w:hAnsi="宋体" w:cs="宋体"/>
          <w:color w:val="auto"/>
          <w:szCs w:val="21"/>
          <w:highlight w:val="none"/>
        </w:rPr>
      </w:pPr>
      <w:bookmarkStart w:id="124" w:name="_Hlk42528882"/>
      <w:r>
        <w:rPr>
          <w:rFonts w:hint="eastAsia" w:ascii="宋体" w:hAnsi="宋体" w:cs="宋体"/>
          <w:color w:val="auto"/>
          <w:szCs w:val="21"/>
          <w:highlight w:val="none"/>
        </w:rPr>
        <w:t>（一）由评审小组对</w:t>
      </w:r>
      <w:r>
        <w:rPr>
          <w:rFonts w:hint="eastAsia" w:ascii="宋体" w:hAnsi="宋体"/>
          <w:color w:val="auto"/>
          <w:szCs w:val="21"/>
          <w:highlight w:val="none"/>
        </w:rPr>
        <w:t>资格审查的合格供应商</w:t>
      </w:r>
      <w:r>
        <w:rPr>
          <w:rFonts w:hint="eastAsia" w:ascii="宋体" w:hAnsi="宋体" w:cs="宋体"/>
          <w:color w:val="auto"/>
          <w:szCs w:val="21"/>
          <w:highlight w:val="none"/>
        </w:rPr>
        <w:t>的响应文件进行符合性审查，以确定其是否满足采购文件的实质性要求。</w:t>
      </w:r>
    </w:p>
    <w:bookmarkEnd w:id="124"/>
    <w:p w14:paraId="72D2E50E">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二）评审小组在对响应文件进行符合性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3F631412">
      <w:pPr>
        <w:spacing w:line="360" w:lineRule="auto"/>
        <w:ind w:firstLine="420" w:firstLineChars="200"/>
        <w:rPr>
          <w:rFonts w:ascii="宋体" w:hAnsi="宋体" w:cs="宋体"/>
          <w:color w:val="auto"/>
          <w:spacing w:val="-6"/>
          <w:szCs w:val="21"/>
          <w:highlight w:val="none"/>
        </w:rPr>
      </w:pPr>
      <w:r>
        <w:rPr>
          <w:rFonts w:hint="eastAsia" w:ascii="宋体" w:hAnsi="宋体" w:cs="宋体"/>
          <w:color w:val="auto"/>
          <w:szCs w:val="21"/>
          <w:highlight w:val="none"/>
        </w:rPr>
        <w:t>（三）评审小组要求供应商澄清、说明或者更正响应文件应当以正式函形式作出。供应商的澄清、说明或者更正应当以正式形式按照评审小组的要求作出明确的澄清、说明或者更正，未按评审小组的要求作出明确澄清、说明或者更正的供应商的响应文件将按照有利于采购人的原则由评审小组进行判定。供应商的澄清、说明或者更正必须由法定代表人或者其授权代表签字或加盖供应商公章</w:t>
      </w:r>
      <w:r>
        <w:rPr>
          <w:rFonts w:hint="eastAsia" w:ascii="宋体" w:hAnsi="宋体" w:cs="宋体"/>
          <w:color w:val="auto"/>
          <w:spacing w:val="-6"/>
          <w:szCs w:val="21"/>
          <w:highlight w:val="none"/>
        </w:rPr>
        <w:t>。</w:t>
      </w:r>
    </w:p>
    <w:p w14:paraId="7E6F0E20">
      <w:pPr>
        <w:spacing w:line="360" w:lineRule="auto"/>
        <w:ind w:firstLine="396" w:firstLineChars="200"/>
        <w:rPr>
          <w:rFonts w:ascii="宋体" w:hAnsi="宋体" w:cs="宋体"/>
          <w:color w:val="auto"/>
          <w:szCs w:val="21"/>
          <w:highlight w:val="none"/>
        </w:rPr>
      </w:pPr>
      <w:r>
        <w:rPr>
          <w:rFonts w:hint="eastAsia" w:ascii="宋体" w:hAnsi="宋体" w:cs="宋体"/>
          <w:color w:val="auto"/>
          <w:spacing w:val="-6"/>
          <w:szCs w:val="21"/>
          <w:highlight w:val="none"/>
        </w:rPr>
        <w:t>（四）</w:t>
      </w:r>
      <w:r>
        <w:rPr>
          <w:rFonts w:hint="eastAsia" w:ascii="宋体" w:hAnsi="宋体" w:cs="宋体"/>
          <w:color w:val="auto"/>
          <w:szCs w:val="21"/>
          <w:highlight w:val="none"/>
        </w:rPr>
        <w:t xml:space="preserve">响应文件报价出现前后不一致的，按照下列规定修正： </w:t>
      </w:r>
    </w:p>
    <w:p w14:paraId="649B47C6">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1.响应文件中报价表内容与响应文件中相应内容不一致的，以报价表为准；</w:t>
      </w:r>
    </w:p>
    <w:p w14:paraId="1571A174">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2.大写金额和小写金额不一致的，以大写金额为准；</w:t>
      </w:r>
    </w:p>
    <w:p w14:paraId="1447D6AD">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3.单价金额小数点或者百分比有明显错位的，以报价表的总价为准，并修改单价；</w:t>
      </w:r>
    </w:p>
    <w:p w14:paraId="39723EB5">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4.总价金额与按单价汇总金额不一致的，以单价金额计算结果为准。</w:t>
      </w:r>
    </w:p>
    <w:p w14:paraId="27BD1617">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同时出现两种以上不一致的，按照以上1-4规定的顺序逐条进行修正。修正后的报价经供应商确认后产生约束力，供应商不确认的，其响应文件按无效响应处理。</w:t>
      </w:r>
    </w:p>
    <w:p w14:paraId="5C431A22">
      <w:pPr>
        <w:spacing w:line="360" w:lineRule="auto"/>
        <w:ind w:firstLine="422" w:firstLineChars="200"/>
        <w:rPr>
          <w:rFonts w:ascii="宋体" w:hAnsi="宋体" w:cs="宋体"/>
          <w:b/>
          <w:bCs/>
          <w:color w:val="auto"/>
          <w:szCs w:val="21"/>
          <w:highlight w:val="none"/>
        </w:rPr>
      </w:pPr>
      <w:r>
        <w:rPr>
          <w:rFonts w:hint="eastAsia" w:ascii="宋体" w:hAnsi="宋体" w:cs="宋体"/>
          <w:b/>
          <w:bCs/>
          <w:color w:val="auto"/>
          <w:szCs w:val="21"/>
          <w:highlight w:val="none"/>
        </w:rPr>
        <w:t>（五）商务技术及报价评审</w:t>
      </w:r>
    </w:p>
    <w:p w14:paraId="526D4229">
      <w:pPr>
        <w:spacing w:line="360" w:lineRule="auto"/>
        <w:ind w:firstLine="422" w:firstLineChars="200"/>
        <w:rPr>
          <w:rFonts w:ascii="宋体" w:hAnsi="宋体" w:cs="宋体"/>
          <w:b/>
          <w:bCs/>
          <w:color w:val="auto"/>
          <w:szCs w:val="21"/>
          <w:highlight w:val="none"/>
        </w:rPr>
      </w:pPr>
      <w:r>
        <w:rPr>
          <w:rFonts w:hint="eastAsia" w:ascii="宋体" w:hAnsi="宋体" w:cs="宋体"/>
          <w:b/>
          <w:bCs/>
          <w:color w:val="auto"/>
          <w:szCs w:val="21"/>
          <w:highlight w:val="none"/>
        </w:rPr>
        <w:t>在评审时，如发现下列情形之一的，将被视为响应文件无效响应处理：</w:t>
      </w:r>
    </w:p>
    <w:p w14:paraId="710DF113">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1.商务技术评审</w:t>
      </w:r>
    </w:p>
    <w:p w14:paraId="177BE000">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（1）响应文件未按采购文件要求签署、盖章；</w:t>
      </w:r>
    </w:p>
    <w:p w14:paraId="6CDA58E4">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 xml:space="preserve">（2）委托代理人未能出具有效身份证或者出具的身份证与授权委托书中的信息不符的； </w:t>
      </w:r>
    </w:p>
    <w:p w14:paraId="22F03790">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（3）响应文件的实质性内容未使用中文表述、使用计量单位不符合采购文件要求；</w:t>
      </w:r>
    </w:p>
    <w:p w14:paraId="0AE3BE1B">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（4）响应文件中的文件资料因填写不齐全或者内容虚假或者出现其他情形而导致被评审小组认定无效；</w:t>
      </w:r>
    </w:p>
    <w:p w14:paraId="1F405ED7">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（5）响应文件含有采购人不能接受的附加条件；</w:t>
      </w:r>
    </w:p>
    <w:p w14:paraId="4FB92A69">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（6）虚假投标，或者出现其他情形而导致被评审小组认定无效；</w:t>
      </w:r>
    </w:p>
    <w:p w14:paraId="64439326">
      <w:pPr>
        <w:spacing w:line="360" w:lineRule="auto"/>
        <w:ind w:firstLine="420" w:firstLineChars="200"/>
        <w:rPr>
          <w:rFonts w:ascii="宋体" w:hAnsi="宋体" w:cs="宋体"/>
          <w:color w:val="auto"/>
          <w:szCs w:val="21"/>
          <w:highlight w:val="none"/>
        </w:rPr>
      </w:pPr>
      <w:bookmarkStart w:id="125" w:name="_Hlk71704147"/>
      <w:r>
        <w:rPr>
          <w:rFonts w:hint="eastAsia" w:ascii="宋体" w:hAnsi="宋体" w:cs="宋体"/>
          <w:color w:val="auto"/>
          <w:szCs w:val="21"/>
          <w:highlight w:val="none"/>
        </w:rPr>
        <w:t>（7）采购文件未载明允许提供备选（替代）投标方案或明确不允许提供备选（替代）投标方案时，供应商提供了备选（替代）投标方案的；</w:t>
      </w:r>
      <w:bookmarkEnd w:id="125"/>
    </w:p>
    <w:p w14:paraId="1FCEF51D">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（8）响应文件标注的项目名称或者项目编号与采购文件标注的项目名称或者项目编号不一致的；</w:t>
      </w:r>
    </w:p>
    <w:p w14:paraId="2F68DCA2">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（9）</w:t>
      </w:r>
      <w:r>
        <w:rPr>
          <w:rFonts w:hint="eastAsia" w:ascii="宋体" w:hAnsi="宋体"/>
          <w:color w:val="auto"/>
          <w:szCs w:val="21"/>
          <w:highlight w:val="none"/>
        </w:rPr>
        <w:t>采购文件明确不允许分包，响应文件拟分包的；</w:t>
      </w:r>
    </w:p>
    <w:p w14:paraId="2C596218">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（10）未响应采购文件的采购内容、工期要求、质量要求等实质性要求；</w:t>
      </w:r>
    </w:p>
    <w:p w14:paraId="51740989">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（11）法律、法规和采购文件规定的其他无效情形。</w:t>
      </w:r>
    </w:p>
    <w:p w14:paraId="706E0BC0">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2.报价评审</w:t>
      </w:r>
    </w:p>
    <w:p w14:paraId="3B7771B4">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（1）响应文件未提供采购文件中规定的“投标报价表”；</w:t>
      </w:r>
    </w:p>
    <w:p w14:paraId="2367B33A">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（2）未采用人民币报价或者未按照采购文件标明的币种报价；</w:t>
      </w:r>
    </w:p>
    <w:p w14:paraId="47B6A66F">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供应商未就所投标分标进行报价或者存在漏项报价；供应商未就所投标分标的单项内容作唯一报价；供应商未就所投标分标的全部内容作完整唯一总价报价；供应商响应文件中存在有选择、有条件报价的（采购文件允许有备选方案或者其他约定的除外）；</w:t>
      </w:r>
    </w:p>
    <w:p w14:paraId="109E17F7">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（4）报价超过最高限价的（如本项目公布了最高限价）；</w:t>
      </w:r>
      <w:bookmarkStart w:id="126" w:name="_Hlk42596405"/>
      <w:r>
        <w:rPr>
          <w:rFonts w:hint="eastAsia" w:ascii="宋体" w:hAnsi="宋体" w:cs="宋体"/>
          <w:color w:val="auto"/>
          <w:szCs w:val="21"/>
          <w:highlight w:val="none"/>
        </w:rPr>
        <w:t xml:space="preserve"> </w:t>
      </w:r>
      <w:bookmarkEnd w:id="126"/>
    </w:p>
    <w:p w14:paraId="7AF7DCB2">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（5）修正后的报价，供应商不确认的；或者经供应商确认修正后的最后报价超过最高限价（如本项目公布了最高限价）；</w:t>
      </w:r>
    </w:p>
    <w:p w14:paraId="4E7CBCA2">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（6）</w:t>
      </w:r>
      <w:r>
        <w:rPr>
          <w:rFonts w:hint="eastAsia" w:ascii="宋体" w:hAnsi="宋体"/>
          <w:color w:val="auto"/>
          <w:szCs w:val="21"/>
          <w:highlight w:val="none"/>
        </w:rPr>
        <w:t>响应文件响应的标的数量及单位与采购文件要求实质性不一致的。</w:t>
      </w:r>
    </w:p>
    <w:p w14:paraId="54ED53D8">
      <w:pPr>
        <w:spacing w:line="360" w:lineRule="auto"/>
        <w:ind w:firstLine="482" w:firstLineChars="200"/>
        <w:rPr>
          <w:rFonts w:ascii="黑体" w:hAnsi="黑体" w:eastAsia="黑体" w:cs="宋体"/>
          <w:b/>
          <w:bCs/>
          <w:color w:val="auto"/>
          <w:sz w:val="24"/>
          <w:highlight w:val="none"/>
        </w:rPr>
      </w:pPr>
      <w:r>
        <w:rPr>
          <w:rFonts w:hint="eastAsia" w:ascii="黑体" w:hAnsi="黑体" w:eastAsia="黑体" w:cs="宋体"/>
          <w:b/>
          <w:bCs/>
          <w:color w:val="auto"/>
          <w:sz w:val="24"/>
          <w:highlight w:val="none"/>
        </w:rPr>
        <w:t>三、比较与评分</w:t>
      </w:r>
    </w:p>
    <w:p w14:paraId="688040A5">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（一）评审方法：综合评分法。</w:t>
      </w:r>
    </w:p>
    <w:p w14:paraId="127901C2">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（二）由评审小组采用综合评分法对有效响应文件进行综合评分。</w:t>
      </w:r>
    </w:p>
    <w:p w14:paraId="77FE2C6E">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（三）评审时，评审小组各成员应当对每个有效响应的文件进行评价、打分，然后汇总每个供应商每项评分因素的得分。</w:t>
      </w:r>
    </w:p>
    <w:p w14:paraId="5B095C02">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1.评审小组按照采购文件中规定的评审标准计算各供应商的报价得分。项目评审过程中，不得去掉最后报价中的最高报价和最低报价。</w:t>
      </w:r>
    </w:p>
    <w:p w14:paraId="32E545B0">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2.以投标人的有效报价的算术平均值为基准价，报价与基准价的差取绝对值。</w:t>
      </w:r>
    </w:p>
    <w:p w14:paraId="075E9DEF">
      <w:pPr>
        <w:spacing w:line="360" w:lineRule="auto"/>
        <w:ind w:firstLine="420" w:firstLineChars="200"/>
        <w:rPr>
          <w:rFonts w:ascii="宋体" w:hAnsi="宋体"/>
          <w:color w:val="auto"/>
          <w:kern w:val="0"/>
          <w:szCs w:val="21"/>
          <w:highlight w:val="none"/>
        </w:rPr>
      </w:pPr>
      <w:r>
        <w:rPr>
          <w:rFonts w:hint="eastAsia" w:ascii="宋体" w:hAnsi="宋体" w:cs="宋体"/>
          <w:color w:val="auto"/>
          <w:szCs w:val="21"/>
          <w:highlight w:val="none"/>
        </w:rPr>
        <w:t>（四）由评审小组根据综合评分情况，按照评审得分由高到低顺序推荐3名成交候选供应商，并编写评</w:t>
      </w:r>
      <w:r>
        <w:rPr>
          <w:rFonts w:hint="eastAsia" w:ascii="宋体" w:hAnsi="宋体"/>
          <w:color w:val="auto"/>
          <w:kern w:val="0"/>
          <w:szCs w:val="21"/>
          <w:highlight w:val="none"/>
        </w:rPr>
        <w:t>审报告。评审得分相同的，按照最后报价由低到高的顺序推荐。</w:t>
      </w:r>
    </w:p>
    <w:p w14:paraId="0225D0EA">
      <w:pPr>
        <w:spacing w:line="360" w:lineRule="auto"/>
        <w:ind w:firstLine="420" w:firstLineChars="200"/>
        <w:rPr>
          <w:rFonts w:ascii="宋体" w:hAnsi="宋体" w:cs="宋体"/>
          <w:color w:val="auto"/>
          <w:szCs w:val="21"/>
          <w:highlight w:val="none"/>
        </w:rPr>
      </w:pPr>
      <w:r>
        <w:rPr>
          <w:rFonts w:hint="eastAsia" w:ascii="宋体" w:hAnsi="宋体"/>
          <w:color w:val="auto"/>
          <w:kern w:val="0"/>
          <w:szCs w:val="21"/>
          <w:highlight w:val="none"/>
        </w:rPr>
        <w:t>（五）评审报告应当由评审小组全体人员签字认可。评审小组成员对评审报告有异议的，评审小组按照少数服从多数的原则推荐成交候选供应商，采购程序继续进行。对评审报告有异议的评审小组成员，应当在报告上签署不同意见并说明理由，由评审小组书面记录相关情况。评审小组成员拒绝在报告上签字又不书面说明其不同意见和理由的，视为同意评审报告。</w:t>
      </w:r>
    </w:p>
    <w:p w14:paraId="507D1396">
      <w:pPr>
        <w:widowControl/>
        <w:spacing w:line="360" w:lineRule="auto"/>
        <w:jc w:val="center"/>
        <w:outlineLvl w:val="1"/>
        <w:rPr>
          <w:rFonts w:ascii="宋体" w:hAnsi="宋体"/>
          <w:b/>
          <w:color w:val="auto"/>
          <w:sz w:val="24"/>
          <w:highlight w:val="none"/>
        </w:rPr>
      </w:pPr>
      <w:r>
        <w:rPr>
          <w:rFonts w:ascii="宋体" w:hAnsi="宋体"/>
          <w:b/>
          <w:color w:val="auto"/>
          <w:sz w:val="32"/>
          <w:szCs w:val="32"/>
          <w:highlight w:val="none"/>
        </w:rPr>
        <w:br w:type="page"/>
      </w:r>
      <w:bookmarkStart w:id="127" w:name="_Toc8831"/>
      <w:bookmarkStart w:id="128" w:name="_Toc5926"/>
      <w:bookmarkStart w:id="129" w:name="_Toc2435"/>
      <w:bookmarkStart w:id="130" w:name="_Toc11826"/>
      <w:bookmarkStart w:id="131" w:name="_Toc12457"/>
      <w:bookmarkStart w:id="132" w:name="_Toc12111"/>
      <w:bookmarkStart w:id="133" w:name="_Toc5956"/>
      <w:bookmarkStart w:id="134" w:name="_Toc20383"/>
      <w:bookmarkStart w:id="135" w:name="_Toc29563"/>
      <w:bookmarkStart w:id="136" w:name="_Toc22384"/>
      <w:bookmarkStart w:id="137" w:name="_Toc7508"/>
      <w:bookmarkStart w:id="138" w:name="_Toc8537"/>
      <w:bookmarkStart w:id="139" w:name="_Toc31098"/>
      <w:bookmarkStart w:id="140" w:name="_Toc30766"/>
      <w:bookmarkStart w:id="141" w:name="_Toc19299"/>
      <w:bookmarkStart w:id="142" w:name="_Toc7639"/>
      <w:bookmarkStart w:id="143" w:name="_Toc23254"/>
      <w:bookmarkStart w:id="144" w:name="_Toc11665"/>
      <w:r>
        <w:rPr>
          <w:rFonts w:hint="eastAsia" w:ascii="宋体" w:hAnsi="宋体"/>
          <w:b/>
          <w:color w:val="auto"/>
          <w:sz w:val="24"/>
          <w:highlight w:val="none"/>
        </w:rPr>
        <w:t>第二节  评审标准</w:t>
      </w:r>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p>
    <w:p w14:paraId="17931352">
      <w:pPr>
        <w:spacing w:line="360" w:lineRule="auto"/>
        <w:ind w:firstLine="420" w:firstLineChars="200"/>
        <w:rPr>
          <w:rFonts w:ascii="宋体" w:hAnsi="宋体"/>
          <w:bCs/>
          <w:color w:val="auto"/>
          <w:szCs w:val="21"/>
          <w:highlight w:val="none"/>
        </w:rPr>
      </w:pPr>
      <w:r>
        <w:rPr>
          <w:rFonts w:hint="eastAsia" w:ascii="宋体" w:hAnsi="宋体"/>
          <w:bCs/>
          <w:color w:val="auto"/>
          <w:szCs w:val="21"/>
          <w:highlight w:val="none"/>
        </w:rPr>
        <w:t>评审小组将以采购文件为评审依据，对</w:t>
      </w:r>
      <w:r>
        <w:rPr>
          <w:rFonts w:hint="eastAsia" w:ascii="宋体" w:hAnsi="宋体"/>
          <w:bCs/>
          <w:color w:val="auto"/>
          <w:szCs w:val="21"/>
          <w:highlight w:val="none"/>
          <w:lang w:eastAsia="zh-CN"/>
        </w:rPr>
        <w:t>投标人</w:t>
      </w:r>
      <w:r>
        <w:rPr>
          <w:rFonts w:hint="eastAsia" w:ascii="宋体" w:hAnsi="宋体"/>
          <w:bCs/>
          <w:color w:val="auto"/>
          <w:szCs w:val="21"/>
          <w:highlight w:val="none"/>
        </w:rPr>
        <w:t>的报价、技术、商务等方面内容按百分制打分。（计分方法按四舍五入取至百分位）</w:t>
      </w:r>
    </w:p>
    <w:tbl>
      <w:tblPr>
        <w:tblStyle w:val="25"/>
        <w:tblW w:w="9118" w:type="dxa"/>
        <w:jc w:val="center"/>
        <w:tblLayout w:type="fixed"/>
        <w:tblCellMar>
          <w:top w:w="28" w:type="dxa"/>
          <w:left w:w="28" w:type="dxa"/>
          <w:bottom w:w="28" w:type="dxa"/>
          <w:right w:w="28" w:type="dxa"/>
        </w:tblCellMar>
      </w:tblPr>
      <w:tblGrid>
        <w:gridCol w:w="592"/>
        <w:gridCol w:w="1385"/>
        <w:gridCol w:w="7141"/>
      </w:tblGrid>
      <w:tr w14:paraId="0873908C">
        <w:tblPrEx>
          <w:tblCellMar>
            <w:top w:w="28" w:type="dxa"/>
            <w:left w:w="28" w:type="dxa"/>
            <w:bottom w:w="28" w:type="dxa"/>
            <w:right w:w="28" w:type="dxa"/>
          </w:tblCellMar>
        </w:tblPrEx>
        <w:trPr>
          <w:trHeight w:val="407" w:hRule="atLeast"/>
          <w:jc w:val="center"/>
        </w:trPr>
        <w:tc>
          <w:tcPr>
            <w:tcW w:w="592" w:type="dxa"/>
            <w:tcBorders>
              <w:top w:val="single" w:color="000000" w:sz="4" w:space="0"/>
              <w:left w:val="single" w:color="000000" w:sz="4" w:space="0"/>
              <w:bottom w:val="single" w:color="000000" w:sz="4" w:space="0"/>
              <w:right w:val="single" w:color="000000" w:sz="4" w:space="0"/>
            </w:tcBorders>
            <w:vAlign w:val="center"/>
          </w:tcPr>
          <w:p w14:paraId="3215C2A5">
            <w:pPr>
              <w:spacing w:line="264" w:lineRule="auto"/>
              <w:jc w:val="center"/>
              <w:rPr>
                <w:rFonts w:ascii="宋体" w:hAnsi="宋体" w:cs="宋体"/>
                <w:b/>
                <w:bCs/>
                <w:color w:val="auto"/>
                <w:szCs w:val="21"/>
                <w:highlight w:val="none"/>
              </w:rPr>
            </w:pPr>
            <w:r>
              <w:rPr>
                <w:rFonts w:hint="eastAsia" w:ascii="宋体" w:hAnsi="宋体" w:cs="宋体"/>
                <w:b/>
                <w:bCs/>
                <w:color w:val="auto"/>
                <w:szCs w:val="21"/>
                <w:highlight w:val="none"/>
              </w:rPr>
              <w:t>序号</w:t>
            </w:r>
          </w:p>
        </w:tc>
        <w:tc>
          <w:tcPr>
            <w:tcW w:w="1385" w:type="dxa"/>
            <w:tcBorders>
              <w:top w:val="single" w:color="000000" w:sz="4" w:space="0"/>
              <w:left w:val="single" w:color="000000" w:sz="4" w:space="0"/>
              <w:bottom w:val="single" w:color="000000" w:sz="4" w:space="0"/>
              <w:right w:val="single" w:color="000000" w:sz="4" w:space="0"/>
            </w:tcBorders>
            <w:vAlign w:val="center"/>
          </w:tcPr>
          <w:p w14:paraId="1F72ACB5">
            <w:pPr>
              <w:widowControl/>
              <w:spacing w:line="264" w:lineRule="auto"/>
              <w:jc w:val="center"/>
              <w:textAlignment w:val="center"/>
              <w:rPr>
                <w:rFonts w:ascii="宋体" w:hAnsi="宋体" w:cs="宋体"/>
                <w:b/>
                <w:bCs/>
                <w:color w:val="auto"/>
                <w:szCs w:val="21"/>
                <w:highlight w:val="none"/>
              </w:rPr>
            </w:pPr>
            <w:r>
              <w:rPr>
                <w:rFonts w:hint="eastAsia" w:ascii="宋体" w:hAnsi="宋体" w:cs="宋体"/>
                <w:b/>
                <w:bCs/>
                <w:color w:val="auto"/>
                <w:szCs w:val="21"/>
                <w:highlight w:val="none"/>
              </w:rPr>
              <w:t>评审因素</w:t>
            </w:r>
          </w:p>
        </w:tc>
        <w:tc>
          <w:tcPr>
            <w:tcW w:w="7141" w:type="dxa"/>
            <w:tcBorders>
              <w:top w:val="single" w:color="000000" w:sz="4" w:space="0"/>
              <w:left w:val="single" w:color="000000" w:sz="4" w:space="0"/>
              <w:bottom w:val="single" w:color="000000" w:sz="4" w:space="0"/>
              <w:right w:val="single" w:color="000000" w:sz="4" w:space="0"/>
            </w:tcBorders>
            <w:vAlign w:val="center"/>
          </w:tcPr>
          <w:p w14:paraId="6A508BE3">
            <w:pPr>
              <w:widowControl/>
              <w:spacing w:line="264" w:lineRule="auto"/>
              <w:jc w:val="center"/>
              <w:textAlignment w:val="center"/>
              <w:rPr>
                <w:rFonts w:ascii="宋体" w:hAnsi="宋体" w:cs="宋体"/>
                <w:b/>
                <w:bCs/>
                <w:color w:val="auto"/>
                <w:szCs w:val="21"/>
                <w:highlight w:val="none"/>
              </w:rPr>
            </w:pPr>
            <w:r>
              <w:rPr>
                <w:rFonts w:hint="eastAsia" w:ascii="宋体" w:hAnsi="宋体" w:cs="宋体"/>
                <w:b/>
                <w:bCs/>
                <w:color w:val="auto"/>
                <w:szCs w:val="21"/>
                <w:highlight w:val="none"/>
              </w:rPr>
              <w:t>评分标准</w:t>
            </w:r>
          </w:p>
        </w:tc>
      </w:tr>
      <w:tr w14:paraId="0C8E1539">
        <w:tblPrEx>
          <w:tblCellMar>
            <w:top w:w="28" w:type="dxa"/>
            <w:left w:w="28" w:type="dxa"/>
            <w:bottom w:w="28" w:type="dxa"/>
            <w:right w:w="28" w:type="dxa"/>
          </w:tblCellMar>
        </w:tblPrEx>
        <w:trPr>
          <w:trHeight w:val="1647" w:hRule="atLeast"/>
          <w:jc w:val="center"/>
        </w:trPr>
        <w:tc>
          <w:tcPr>
            <w:tcW w:w="592" w:type="dxa"/>
            <w:tcBorders>
              <w:top w:val="single" w:color="000000" w:sz="4" w:space="0"/>
              <w:left w:val="single" w:color="000000" w:sz="4" w:space="0"/>
              <w:bottom w:val="single" w:color="000000" w:sz="4" w:space="0"/>
              <w:right w:val="single" w:color="000000" w:sz="4" w:space="0"/>
            </w:tcBorders>
            <w:vAlign w:val="center"/>
          </w:tcPr>
          <w:p w14:paraId="1CAC359B">
            <w:pPr>
              <w:spacing w:line="264" w:lineRule="auto"/>
              <w:jc w:val="center"/>
              <w:rPr>
                <w:rFonts w:ascii="宋体" w:hAnsi="宋体" w:cs="宋体"/>
                <w:color w:val="auto"/>
                <w:szCs w:val="21"/>
                <w:highlight w:val="none"/>
              </w:rPr>
            </w:pPr>
            <w:r>
              <w:rPr>
                <w:rFonts w:hint="eastAsia" w:ascii="宋体" w:hAnsi="宋体" w:cs="宋体"/>
                <w:color w:val="auto"/>
                <w:szCs w:val="21"/>
                <w:highlight w:val="none"/>
              </w:rPr>
              <w:t>一</w:t>
            </w:r>
          </w:p>
        </w:tc>
        <w:tc>
          <w:tcPr>
            <w:tcW w:w="1385" w:type="dxa"/>
            <w:tcBorders>
              <w:top w:val="single" w:color="000000" w:sz="4" w:space="0"/>
              <w:left w:val="single" w:color="000000" w:sz="4" w:space="0"/>
              <w:bottom w:val="single" w:color="000000" w:sz="4" w:space="0"/>
              <w:right w:val="single" w:color="000000" w:sz="4" w:space="0"/>
            </w:tcBorders>
            <w:vAlign w:val="center"/>
          </w:tcPr>
          <w:p w14:paraId="7143D028">
            <w:pPr>
              <w:widowControl/>
              <w:spacing w:line="264" w:lineRule="auto"/>
              <w:jc w:val="center"/>
              <w:textAlignment w:val="center"/>
              <w:rPr>
                <w:rFonts w:ascii="宋体" w:hAnsi="宋体" w:cs="宋体"/>
                <w:color w:val="auto"/>
                <w:szCs w:val="21"/>
                <w:highlight w:val="none"/>
              </w:rPr>
            </w:pPr>
            <w:r>
              <w:rPr>
                <w:rFonts w:hint="eastAsia" w:ascii="宋体" w:hAnsi="宋体" w:cs="宋体"/>
                <w:color w:val="auto"/>
                <w:szCs w:val="21"/>
                <w:highlight w:val="none"/>
              </w:rPr>
              <w:t>价格</w:t>
            </w:r>
          </w:p>
          <w:p w14:paraId="67C0D360">
            <w:pPr>
              <w:widowControl/>
              <w:spacing w:line="264" w:lineRule="auto"/>
              <w:jc w:val="center"/>
              <w:textAlignment w:val="center"/>
              <w:rPr>
                <w:rFonts w:ascii="宋体" w:hAnsi="宋体" w:cs="宋体"/>
                <w:color w:val="auto"/>
                <w:szCs w:val="21"/>
                <w:highlight w:val="none"/>
              </w:rPr>
            </w:pPr>
            <w:r>
              <w:rPr>
                <w:rFonts w:hint="eastAsia" w:ascii="宋体" w:hAnsi="宋体" w:cs="宋体"/>
                <w:color w:val="auto"/>
                <w:szCs w:val="21"/>
                <w:highlight w:val="none"/>
              </w:rPr>
              <w:t>（满分</w:t>
            </w:r>
            <w:r>
              <w:rPr>
                <w:rFonts w:hint="eastAsia" w:ascii="宋体" w:hAnsi="宋体" w:cs="宋体"/>
                <w:color w:val="auto"/>
                <w:szCs w:val="21"/>
                <w:highlight w:val="none"/>
                <w:lang w:val="en-US" w:eastAsia="zh-CN"/>
              </w:rPr>
              <w:t>2</w:t>
            </w:r>
            <w:r>
              <w:rPr>
                <w:rFonts w:hint="eastAsia" w:ascii="宋体" w:hAnsi="宋体" w:cs="宋体"/>
                <w:color w:val="auto"/>
                <w:szCs w:val="21"/>
                <w:highlight w:val="none"/>
              </w:rPr>
              <w:t>0分）</w:t>
            </w:r>
          </w:p>
        </w:tc>
        <w:tc>
          <w:tcPr>
            <w:tcW w:w="7141" w:type="dxa"/>
            <w:tcBorders>
              <w:top w:val="single" w:color="000000" w:sz="4" w:space="0"/>
              <w:left w:val="single" w:color="000000" w:sz="4" w:space="0"/>
              <w:bottom w:val="single" w:color="000000" w:sz="4" w:space="0"/>
              <w:right w:val="single" w:color="000000" w:sz="4" w:space="0"/>
            </w:tcBorders>
            <w:vAlign w:val="center"/>
          </w:tcPr>
          <w:p w14:paraId="7F6E8BA7">
            <w:pPr>
              <w:widowControl/>
              <w:spacing w:line="264" w:lineRule="auto"/>
              <w:ind w:firstLine="420" w:firstLineChars="200"/>
              <w:textAlignment w:val="center"/>
              <w:rPr>
                <w:rFonts w:ascii="宋体" w:hAnsi="宋体" w:cs="宋体"/>
                <w:color w:val="auto"/>
                <w:szCs w:val="21"/>
                <w:highlight w:val="none"/>
              </w:rPr>
            </w:pPr>
            <w:r>
              <w:rPr>
                <w:rFonts w:hint="eastAsia" w:ascii="宋体" w:hAnsi="宋体" w:cs="宋体"/>
                <w:color w:val="auto"/>
                <w:szCs w:val="21"/>
                <w:highlight w:val="none"/>
              </w:rPr>
              <w:t>以投标人的有效报价的算术平均值为基准价。有效报价为：投标人的报价未超过最高控制价，且投标人符合参与条件要求。</w:t>
            </w:r>
          </w:p>
          <w:p w14:paraId="01815249">
            <w:pPr>
              <w:widowControl/>
              <w:spacing w:line="264" w:lineRule="auto"/>
              <w:ind w:firstLine="420" w:firstLineChars="200"/>
              <w:textAlignment w:val="center"/>
              <w:rPr>
                <w:rFonts w:ascii="宋体" w:hAnsi="宋体" w:cs="宋体"/>
                <w:color w:val="auto"/>
                <w:szCs w:val="21"/>
                <w:highlight w:val="none"/>
              </w:rPr>
            </w:pPr>
            <w:r>
              <w:rPr>
                <w:rFonts w:hint="eastAsia" w:ascii="宋体" w:hAnsi="宋体" w:cs="宋体"/>
                <w:color w:val="auto"/>
                <w:szCs w:val="21"/>
                <w:highlight w:val="none"/>
              </w:rPr>
              <w:t>偏差率=100%×（报价-基准价）/基准价。</w:t>
            </w:r>
          </w:p>
          <w:p w14:paraId="14F87E7E">
            <w:pPr>
              <w:widowControl/>
              <w:spacing w:line="264" w:lineRule="auto"/>
              <w:ind w:firstLine="420" w:firstLineChars="200"/>
              <w:textAlignment w:val="center"/>
              <w:rPr>
                <w:rFonts w:ascii="宋体" w:hAnsi="宋体" w:cs="宋体"/>
                <w:color w:val="auto"/>
                <w:szCs w:val="21"/>
                <w:highlight w:val="none"/>
              </w:rPr>
            </w:pPr>
            <w:r>
              <w:rPr>
                <w:rFonts w:hint="eastAsia" w:ascii="宋体" w:hAnsi="宋体" w:cs="宋体"/>
                <w:color w:val="auto"/>
                <w:szCs w:val="21"/>
                <w:highlight w:val="none"/>
              </w:rPr>
              <w:t>若投标人报价&gt;评标基准价，则得分=</w:t>
            </w:r>
            <w:r>
              <w:rPr>
                <w:rFonts w:hint="eastAsia" w:ascii="宋体" w:hAnsi="宋体" w:cs="宋体"/>
                <w:color w:val="auto"/>
                <w:szCs w:val="21"/>
                <w:highlight w:val="none"/>
                <w:lang w:val="en-US" w:eastAsia="zh-CN"/>
              </w:rPr>
              <w:t>2</w:t>
            </w:r>
            <w:r>
              <w:rPr>
                <w:rFonts w:hint="eastAsia" w:ascii="宋体" w:hAnsi="宋体" w:cs="宋体"/>
                <w:color w:val="auto"/>
                <w:szCs w:val="21"/>
                <w:highlight w:val="none"/>
              </w:rPr>
              <w:t>0-∣偏差率∣×100×0.</w:t>
            </w:r>
            <w:r>
              <w:rPr>
                <w:rFonts w:hint="eastAsia" w:ascii="宋体" w:hAnsi="宋体" w:cs="宋体"/>
                <w:color w:val="auto"/>
                <w:szCs w:val="21"/>
                <w:highlight w:val="none"/>
                <w:lang w:val="en-US" w:eastAsia="zh-CN"/>
              </w:rPr>
              <w:t>2</w:t>
            </w:r>
            <w:r>
              <w:rPr>
                <w:rFonts w:hint="eastAsia" w:ascii="宋体" w:hAnsi="宋体" w:cs="宋体"/>
                <w:color w:val="auto"/>
                <w:szCs w:val="21"/>
                <w:highlight w:val="none"/>
              </w:rPr>
              <w:t>；</w:t>
            </w:r>
          </w:p>
          <w:p w14:paraId="13D1F377">
            <w:pPr>
              <w:widowControl/>
              <w:spacing w:line="264" w:lineRule="auto"/>
              <w:ind w:firstLine="420" w:firstLineChars="200"/>
              <w:textAlignment w:val="center"/>
              <w:rPr>
                <w:rFonts w:ascii="宋体" w:hAnsi="宋体" w:cs="宋体"/>
                <w:color w:val="auto"/>
                <w:szCs w:val="21"/>
                <w:highlight w:val="none"/>
              </w:rPr>
            </w:pPr>
            <w:r>
              <w:rPr>
                <w:rFonts w:hint="eastAsia" w:ascii="宋体" w:hAnsi="宋体" w:cs="宋体"/>
                <w:color w:val="auto"/>
                <w:szCs w:val="21"/>
                <w:highlight w:val="none"/>
              </w:rPr>
              <w:t>若投标人报价≤评标基准价，则得分=</w:t>
            </w:r>
            <w:r>
              <w:rPr>
                <w:rFonts w:hint="eastAsia" w:ascii="宋体" w:hAnsi="宋体" w:cs="宋体"/>
                <w:color w:val="auto"/>
                <w:szCs w:val="21"/>
                <w:highlight w:val="none"/>
                <w:lang w:val="en-US" w:eastAsia="zh-CN"/>
              </w:rPr>
              <w:t>2</w:t>
            </w:r>
            <w:r>
              <w:rPr>
                <w:rFonts w:hint="eastAsia" w:ascii="宋体" w:hAnsi="宋体" w:cs="宋体"/>
                <w:color w:val="auto"/>
                <w:szCs w:val="21"/>
                <w:highlight w:val="none"/>
              </w:rPr>
              <w:t>0-∣偏差率∣×100×0.</w:t>
            </w:r>
            <w:r>
              <w:rPr>
                <w:rFonts w:hint="eastAsia" w:ascii="宋体" w:hAnsi="宋体" w:cs="宋体"/>
                <w:color w:val="auto"/>
                <w:szCs w:val="21"/>
                <w:highlight w:val="none"/>
                <w:lang w:val="en-US" w:eastAsia="zh-CN"/>
              </w:rPr>
              <w:t>1</w:t>
            </w:r>
            <w:r>
              <w:rPr>
                <w:rFonts w:hint="eastAsia" w:ascii="宋体" w:hAnsi="宋体" w:cs="宋体"/>
                <w:color w:val="auto"/>
                <w:szCs w:val="21"/>
                <w:highlight w:val="none"/>
              </w:rPr>
              <w:t>。</w:t>
            </w:r>
          </w:p>
          <w:p w14:paraId="63902A49">
            <w:pPr>
              <w:widowControl/>
              <w:spacing w:line="264" w:lineRule="auto"/>
              <w:textAlignment w:val="center"/>
              <w:rPr>
                <w:rFonts w:ascii="宋体" w:hAnsi="宋体" w:cs="宋体"/>
                <w:color w:val="auto"/>
                <w:szCs w:val="21"/>
                <w:highlight w:val="none"/>
              </w:rPr>
            </w:pPr>
            <w:r>
              <w:rPr>
                <w:rFonts w:hint="eastAsia" w:ascii="宋体" w:hAnsi="宋体" w:cs="宋体"/>
                <w:color w:val="auto"/>
                <w:szCs w:val="21"/>
                <w:highlight w:val="none"/>
              </w:rPr>
              <w:t>注：分数取小数点后两位。</w:t>
            </w:r>
          </w:p>
        </w:tc>
      </w:tr>
      <w:tr w14:paraId="092F8C1C">
        <w:tblPrEx>
          <w:tblCellMar>
            <w:top w:w="28" w:type="dxa"/>
            <w:left w:w="28" w:type="dxa"/>
            <w:bottom w:w="28" w:type="dxa"/>
            <w:right w:w="28" w:type="dxa"/>
          </w:tblCellMar>
        </w:tblPrEx>
        <w:trPr>
          <w:trHeight w:val="632" w:hRule="atLeast"/>
          <w:jc w:val="center"/>
        </w:trPr>
        <w:tc>
          <w:tcPr>
            <w:tcW w:w="592" w:type="dxa"/>
            <w:tcBorders>
              <w:top w:val="single" w:color="000000" w:sz="4" w:space="0"/>
              <w:left w:val="single" w:color="000000" w:sz="4" w:space="0"/>
              <w:bottom w:val="single" w:color="auto" w:sz="4" w:space="0"/>
              <w:right w:val="single" w:color="auto" w:sz="4" w:space="0"/>
            </w:tcBorders>
            <w:vAlign w:val="center"/>
          </w:tcPr>
          <w:p w14:paraId="1188173B">
            <w:pPr>
              <w:widowControl/>
              <w:spacing w:line="264" w:lineRule="auto"/>
              <w:jc w:val="center"/>
              <w:textAlignment w:val="center"/>
              <w:rPr>
                <w:rFonts w:ascii="宋体" w:hAnsi="宋体" w:cs="宋体"/>
                <w:color w:val="auto"/>
                <w:szCs w:val="21"/>
                <w:highlight w:val="none"/>
              </w:rPr>
            </w:pPr>
            <w:r>
              <w:rPr>
                <w:rFonts w:hint="eastAsia" w:ascii="宋体" w:hAnsi="宋体" w:cs="宋体"/>
                <w:color w:val="auto"/>
                <w:szCs w:val="21"/>
                <w:highlight w:val="none"/>
              </w:rPr>
              <w:t>二</w:t>
            </w:r>
          </w:p>
        </w:tc>
        <w:tc>
          <w:tcPr>
            <w:tcW w:w="1385" w:type="dxa"/>
            <w:tcBorders>
              <w:top w:val="single" w:color="000000" w:sz="4" w:space="0"/>
              <w:left w:val="single" w:color="auto" w:sz="4" w:space="0"/>
              <w:bottom w:val="single" w:color="000000" w:sz="4" w:space="0"/>
              <w:right w:val="single" w:color="000000" w:sz="4" w:space="0"/>
            </w:tcBorders>
            <w:vAlign w:val="center"/>
          </w:tcPr>
          <w:p w14:paraId="6DF6DA27">
            <w:pPr>
              <w:widowControl/>
              <w:spacing w:line="264" w:lineRule="auto"/>
              <w:jc w:val="center"/>
              <w:textAlignment w:val="center"/>
              <w:rPr>
                <w:rFonts w:ascii="宋体" w:hAnsi="宋体" w:cs="宋体"/>
                <w:color w:val="auto"/>
                <w:szCs w:val="21"/>
                <w:highlight w:val="none"/>
              </w:rPr>
            </w:pPr>
            <w:r>
              <w:rPr>
                <w:rFonts w:hint="eastAsia" w:ascii="宋体" w:hAnsi="宋体" w:cs="宋体"/>
                <w:color w:val="auto"/>
                <w:szCs w:val="21"/>
                <w:highlight w:val="none"/>
              </w:rPr>
              <w:t>资信业绩</w:t>
            </w:r>
          </w:p>
          <w:p w14:paraId="595D1BA4">
            <w:pPr>
              <w:widowControl/>
              <w:spacing w:line="264" w:lineRule="auto"/>
              <w:jc w:val="center"/>
              <w:textAlignment w:val="center"/>
              <w:rPr>
                <w:rFonts w:ascii="宋体" w:hAnsi="宋体" w:cs="宋体"/>
                <w:color w:val="auto"/>
                <w:szCs w:val="21"/>
                <w:highlight w:val="none"/>
              </w:rPr>
            </w:pPr>
            <w:r>
              <w:rPr>
                <w:rFonts w:hint="eastAsia" w:ascii="宋体" w:hAnsi="宋体" w:cs="宋体"/>
                <w:color w:val="auto"/>
                <w:szCs w:val="21"/>
                <w:highlight w:val="none"/>
              </w:rPr>
              <w:t>（满分</w:t>
            </w:r>
            <w:r>
              <w:rPr>
                <w:rFonts w:hint="eastAsia" w:ascii="宋体" w:hAnsi="宋体" w:cs="宋体"/>
                <w:color w:val="auto"/>
                <w:szCs w:val="21"/>
                <w:highlight w:val="none"/>
                <w:lang w:val="en-US" w:eastAsia="zh-CN"/>
              </w:rPr>
              <w:t>18</w:t>
            </w:r>
            <w:r>
              <w:rPr>
                <w:rFonts w:hint="eastAsia" w:ascii="宋体" w:hAnsi="宋体" w:cs="宋体"/>
                <w:color w:val="auto"/>
                <w:szCs w:val="21"/>
                <w:highlight w:val="none"/>
              </w:rPr>
              <w:t>分）</w:t>
            </w:r>
          </w:p>
        </w:tc>
        <w:tc>
          <w:tcPr>
            <w:tcW w:w="7141" w:type="dxa"/>
            <w:tcBorders>
              <w:top w:val="nil"/>
              <w:left w:val="single" w:color="000000" w:sz="4" w:space="0"/>
              <w:bottom w:val="single" w:color="000000" w:sz="4" w:space="0"/>
              <w:right w:val="single" w:color="000000" w:sz="4" w:space="0"/>
            </w:tcBorders>
            <w:vAlign w:val="center"/>
          </w:tcPr>
          <w:p w14:paraId="496B0DE6">
            <w:pPr>
              <w:pStyle w:val="34"/>
              <w:spacing w:after="0" w:line="264" w:lineRule="auto"/>
              <w:ind w:firstLine="420" w:firstLineChars="200"/>
              <w:jc w:val="both"/>
              <w:rPr>
                <w:rFonts w:hint="eastAsia" w:ascii="宋体" w:hAnsi="宋体" w:eastAsia="宋体" w:cs="宋体"/>
                <w:bCs w:val="0"/>
                <w:color w:val="auto"/>
                <w:spacing w:val="0"/>
                <w:kern w:val="2"/>
                <w:sz w:val="21"/>
                <w:szCs w:val="21"/>
                <w:highlight w:val="none"/>
              </w:rPr>
            </w:pPr>
            <w:r>
              <w:rPr>
                <w:rFonts w:hint="eastAsia" w:ascii="宋体" w:hAnsi="宋体" w:eastAsia="宋体" w:cs="宋体"/>
                <w:bCs w:val="0"/>
                <w:color w:val="auto"/>
                <w:spacing w:val="0"/>
                <w:kern w:val="2"/>
                <w:sz w:val="21"/>
                <w:szCs w:val="21"/>
                <w:highlight w:val="none"/>
              </w:rPr>
              <w:t>1.自2021年1月1日起至投标截止之日止，投标人</w:t>
            </w:r>
            <w:r>
              <w:rPr>
                <w:rFonts w:hint="eastAsia" w:ascii="宋体" w:hAnsi="宋体" w:cs="宋体"/>
                <w:bCs w:val="0"/>
                <w:color w:val="auto"/>
                <w:spacing w:val="0"/>
                <w:kern w:val="2"/>
                <w:sz w:val="21"/>
                <w:szCs w:val="21"/>
                <w:highlight w:val="none"/>
                <w:lang w:eastAsia="zh-CN"/>
              </w:rPr>
              <w:t>有</w:t>
            </w:r>
            <w:r>
              <w:rPr>
                <w:rFonts w:hint="eastAsia" w:ascii="宋体" w:hAnsi="宋体" w:eastAsia="宋体" w:cs="宋体"/>
                <w:bCs w:val="0"/>
                <w:color w:val="auto"/>
                <w:spacing w:val="0"/>
                <w:kern w:val="2"/>
                <w:sz w:val="21"/>
                <w:szCs w:val="21"/>
                <w:highlight w:val="none"/>
              </w:rPr>
              <w:t>工程对湿地公园</w:t>
            </w:r>
            <w:r>
              <w:rPr>
                <w:rFonts w:hint="eastAsia" w:ascii="宋体" w:hAnsi="宋体" w:cs="宋体"/>
                <w:bCs w:val="0"/>
                <w:color w:val="auto"/>
                <w:spacing w:val="0"/>
                <w:kern w:val="2"/>
                <w:sz w:val="21"/>
                <w:szCs w:val="21"/>
                <w:highlight w:val="none"/>
                <w:lang w:eastAsia="zh-CN"/>
              </w:rPr>
              <w:t>或</w:t>
            </w:r>
            <w:r>
              <w:rPr>
                <w:rFonts w:hint="eastAsia" w:ascii="宋体" w:hAnsi="宋体" w:eastAsia="宋体" w:cs="宋体"/>
                <w:bCs w:val="0"/>
                <w:color w:val="auto"/>
                <w:spacing w:val="0"/>
                <w:kern w:val="2"/>
                <w:sz w:val="21"/>
                <w:szCs w:val="21"/>
                <w:highlight w:val="none"/>
              </w:rPr>
              <w:t>自然保护区影响评价</w:t>
            </w:r>
            <w:r>
              <w:rPr>
                <w:rFonts w:hint="eastAsia" w:ascii="宋体" w:hAnsi="宋体" w:cs="宋体"/>
                <w:bCs w:val="0"/>
                <w:color w:val="auto"/>
                <w:spacing w:val="0"/>
                <w:kern w:val="2"/>
                <w:sz w:val="21"/>
                <w:szCs w:val="21"/>
                <w:highlight w:val="none"/>
                <w:lang w:eastAsia="zh-CN"/>
              </w:rPr>
              <w:t>报告编制</w:t>
            </w:r>
            <w:r>
              <w:rPr>
                <w:rFonts w:hint="eastAsia" w:ascii="宋体" w:hAnsi="宋体" w:eastAsia="宋体" w:cs="宋体"/>
                <w:bCs w:val="0"/>
                <w:color w:val="auto"/>
                <w:spacing w:val="0"/>
                <w:kern w:val="2"/>
                <w:sz w:val="21"/>
                <w:szCs w:val="21"/>
                <w:highlight w:val="none"/>
              </w:rPr>
              <w:t>业绩的，每项得</w:t>
            </w:r>
            <w:r>
              <w:rPr>
                <w:rFonts w:hint="eastAsia" w:ascii="宋体" w:hAnsi="宋体" w:cs="宋体"/>
                <w:bCs w:val="0"/>
                <w:color w:val="auto"/>
                <w:spacing w:val="0"/>
                <w:kern w:val="2"/>
                <w:sz w:val="21"/>
                <w:szCs w:val="21"/>
                <w:highlight w:val="none"/>
                <w:lang w:val="en-US" w:eastAsia="zh-CN"/>
              </w:rPr>
              <w:t>3</w:t>
            </w:r>
            <w:r>
              <w:rPr>
                <w:rFonts w:hint="eastAsia" w:ascii="宋体" w:hAnsi="宋体" w:eastAsia="宋体" w:cs="宋体"/>
                <w:bCs w:val="0"/>
                <w:color w:val="auto"/>
                <w:spacing w:val="0"/>
                <w:kern w:val="2"/>
                <w:sz w:val="21"/>
                <w:szCs w:val="21"/>
                <w:highlight w:val="none"/>
              </w:rPr>
              <w:t>分；</w:t>
            </w:r>
            <w:r>
              <w:rPr>
                <w:rFonts w:hint="eastAsia" w:ascii="宋体" w:hAnsi="宋体" w:cs="宋体"/>
                <w:bCs w:val="0"/>
                <w:color w:val="auto"/>
                <w:spacing w:val="0"/>
                <w:kern w:val="2"/>
                <w:sz w:val="21"/>
                <w:szCs w:val="21"/>
                <w:highlight w:val="none"/>
                <w:lang w:eastAsia="zh-CN"/>
              </w:rPr>
              <w:t>本项满分</w:t>
            </w:r>
            <w:r>
              <w:rPr>
                <w:rFonts w:hint="eastAsia" w:ascii="宋体" w:hAnsi="宋体" w:cs="宋体"/>
                <w:bCs w:val="0"/>
                <w:color w:val="auto"/>
                <w:spacing w:val="0"/>
                <w:kern w:val="2"/>
                <w:sz w:val="21"/>
                <w:szCs w:val="21"/>
                <w:highlight w:val="none"/>
                <w:lang w:val="en-US" w:eastAsia="zh-CN"/>
              </w:rPr>
              <w:t>15</w:t>
            </w:r>
            <w:r>
              <w:rPr>
                <w:rFonts w:hint="eastAsia" w:ascii="宋体" w:hAnsi="宋体" w:eastAsia="宋体" w:cs="宋体"/>
                <w:bCs w:val="0"/>
                <w:color w:val="auto"/>
                <w:spacing w:val="0"/>
                <w:kern w:val="2"/>
                <w:sz w:val="21"/>
                <w:szCs w:val="21"/>
                <w:highlight w:val="none"/>
              </w:rPr>
              <w:t>分。</w:t>
            </w:r>
          </w:p>
          <w:p w14:paraId="245FB1A8">
            <w:pPr>
              <w:pStyle w:val="34"/>
              <w:spacing w:after="0" w:line="264" w:lineRule="auto"/>
              <w:ind w:firstLine="420" w:firstLineChars="200"/>
              <w:jc w:val="both"/>
              <w:rPr>
                <w:rFonts w:hint="default" w:ascii="宋体" w:hAnsi="宋体" w:cs="宋体"/>
                <w:bCs w:val="0"/>
                <w:color w:val="auto"/>
                <w:spacing w:val="0"/>
                <w:kern w:val="2"/>
                <w:sz w:val="21"/>
                <w:szCs w:val="21"/>
                <w:highlight w:val="none"/>
              </w:rPr>
            </w:pPr>
            <w:r>
              <w:rPr>
                <w:rFonts w:hint="eastAsia" w:ascii="宋体" w:hAnsi="宋体" w:eastAsia="宋体" w:cs="宋体"/>
                <w:bCs w:val="0"/>
                <w:color w:val="auto"/>
                <w:spacing w:val="0"/>
                <w:kern w:val="2"/>
                <w:sz w:val="21"/>
                <w:szCs w:val="21"/>
                <w:highlight w:val="none"/>
              </w:rPr>
              <w:t>注：1.业绩时间以合同签订时间为准；</w:t>
            </w:r>
            <w:r>
              <w:rPr>
                <w:rFonts w:hint="eastAsia" w:ascii="宋体" w:hAnsi="宋体" w:cs="宋体"/>
                <w:bCs w:val="0"/>
                <w:color w:val="auto"/>
                <w:spacing w:val="0"/>
                <w:kern w:val="2"/>
                <w:sz w:val="21"/>
                <w:szCs w:val="21"/>
                <w:highlight w:val="none"/>
                <w:lang w:val="en-US" w:eastAsia="zh-CN"/>
              </w:rPr>
              <w:t>2.同一项目的项目建议书、可行性研究报告编制业绩只计一次分；3</w:t>
            </w:r>
            <w:r>
              <w:rPr>
                <w:rFonts w:hint="eastAsia" w:ascii="宋体" w:hAnsi="宋体" w:eastAsia="宋体" w:cs="宋体"/>
                <w:bCs w:val="0"/>
                <w:color w:val="auto"/>
                <w:spacing w:val="0"/>
                <w:kern w:val="2"/>
                <w:sz w:val="21"/>
                <w:szCs w:val="21"/>
                <w:highlight w:val="none"/>
              </w:rPr>
              <w:t>.业绩须提供以下证明材料扫描件或复印件：</w:t>
            </w:r>
            <w:r>
              <w:rPr>
                <w:rFonts w:hint="eastAsia" w:ascii="宋体" w:hAnsi="宋体" w:cs="宋体"/>
                <w:bCs w:val="0"/>
                <w:color w:val="auto"/>
                <w:spacing w:val="0"/>
                <w:kern w:val="2"/>
                <w:sz w:val="21"/>
                <w:szCs w:val="21"/>
                <w:highlight w:val="none"/>
                <w:lang w:eastAsia="zh-CN"/>
              </w:rPr>
              <w:t>（</w:t>
            </w:r>
            <w:r>
              <w:rPr>
                <w:rFonts w:hint="eastAsia" w:ascii="宋体" w:hAnsi="宋体" w:cs="宋体"/>
                <w:bCs w:val="0"/>
                <w:color w:val="auto"/>
                <w:spacing w:val="0"/>
                <w:kern w:val="2"/>
                <w:sz w:val="21"/>
                <w:szCs w:val="21"/>
                <w:highlight w:val="none"/>
                <w:lang w:val="en-US" w:eastAsia="zh-CN"/>
              </w:rPr>
              <w:t>1</w:t>
            </w:r>
            <w:r>
              <w:rPr>
                <w:rFonts w:hint="eastAsia" w:ascii="宋体" w:hAnsi="宋体" w:cs="宋体"/>
                <w:bCs w:val="0"/>
                <w:color w:val="auto"/>
                <w:spacing w:val="0"/>
                <w:kern w:val="2"/>
                <w:sz w:val="21"/>
                <w:szCs w:val="21"/>
                <w:highlight w:val="none"/>
                <w:lang w:eastAsia="zh-CN"/>
              </w:rPr>
              <w:t>）</w:t>
            </w:r>
            <w:r>
              <w:rPr>
                <w:rFonts w:hint="eastAsia" w:ascii="宋体" w:hAnsi="宋体" w:eastAsia="宋体" w:cs="宋体"/>
                <w:bCs w:val="0"/>
                <w:color w:val="auto"/>
                <w:spacing w:val="0"/>
                <w:kern w:val="2"/>
                <w:sz w:val="21"/>
                <w:szCs w:val="21"/>
                <w:highlight w:val="none"/>
              </w:rPr>
              <w:t>业绩合同（至少包含首页和盖章页，且须体现服务内容）；</w:t>
            </w:r>
            <w:r>
              <w:rPr>
                <w:rFonts w:hint="eastAsia" w:ascii="宋体" w:hAnsi="宋体" w:cs="宋体"/>
                <w:bCs w:val="0"/>
                <w:color w:val="auto"/>
                <w:spacing w:val="0"/>
                <w:kern w:val="2"/>
                <w:sz w:val="21"/>
                <w:szCs w:val="21"/>
                <w:highlight w:val="none"/>
                <w:lang w:eastAsia="zh-CN"/>
              </w:rPr>
              <w:t>（</w:t>
            </w:r>
            <w:r>
              <w:rPr>
                <w:rFonts w:hint="eastAsia" w:ascii="宋体" w:hAnsi="宋体" w:cs="宋体"/>
                <w:bCs w:val="0"/>
                <w:color w:val="auto"/>
                <w:spacing w:val="0"/>
                <w:kern w:val="2"/>
                <w:sz w:val="21"/>
                <w:szCs w:val="21"/>
                <w:highlight w:val="none"/>
                <w:lang w:val="en-US" w:eastAsia="zh-CN"/>
              </w:rPr>
              <w:t>2</w:t>
            </w:r>
            <w:r>
              <w:rPr>
                <w:rFonts w:hint="eastAsia" w:ascii="宋体" w:hAnsi="宋体" w:cs="宋体"/>
                <w:bCs w:val="0"/>
                <w:color w:val="auto"/>
                <w:spacing w:val="0"/>
                <w:kern w:val="2"/>
                <w:sz w:val="21"/>
                <w:szCs w:val="21"/>
                <w:highlight w:val="none"/>
                <w:lang w:eastAsia="zh-CN"/>
              </w:rPr>
              <w:t>）</w:t>
            </w:r>
            <w:r>
              <w:rPr>
                <w:rFonts w:hint="eastAsia" w:ascii="宋体" w:hAnsi="宋体" w:eastAsia="宋体" w:cs="宋体"/>
                <w:bCs w:val="0"/>
                <w:color w:val="auto"/>
                <w:spacing w:val="0"/>
                <w:kern w:val="2"/>
                <w:sz w:val="21"/>
                <w:szCs w:val="21"/>
                <w:highlight w:val="none"/>
              </w:rPr>
              <w:t>业绩对应的</w:t>
            </w:r>
            <w:r>
              <w:rPr>
                <w:rFonts w:hint="eastAsia" w:ascii="宋体" w:hAnsi="宋体" w:cs="宋体"/>
                <w:bCs w:val="0"/>
                <w:color w:val="auto"/>
                <w:spacing w:val="0"/>
                <w:kern w:val="2"/>
                <w:sz w:val="21"/>
                <w:szCs w:val="21"/>
                <w:highlight w:val="none"/>
                <w:lang w:eastAsia="zh-CN"/>
              </w:rPr>
              <w:t>成果</w:t>
            </w:r>
            <w:r>
              <w:rPr>
                <w:rFonts w:hint="eastAsia" w:ascii="宋体" w:hAnsi="宋体" w:eastAsia="宋体" w:cs="宋体"/>
                <w:bCs w:val="0"/>
                <w:color w:val="auto"/>
                <w:spacing w:val="0"/>
                <w:kern w:val="2"/>
                <w:sz w:val="21"/>
                <w:szCs w:val="21"/>
                <w:highlight w:val="none"/>
              </w:rPr>
              <w:t>报告（至少包含封面和著录页）和</w:t>
            </w:r>
            <w:r>
              <w:rPr>
                <w:rFonts w:hint="eastAsia" w:ascii="宋体" w:hAnsi="宋体" w:cs="宋体"/>
                <w:bCs w:val="0"/>
                <w:color w:val="auto"/>
                <w:spacing w:val="0"/>
                <w:kern w:val="2"/>
                <w:sz w:val="21"/>
                <w:szCs w:val="21"/>
                <w:highlight w:val="none"/>
                <w:lang w:eastAsia="zh-CN"/>
              </w:rPr>
              <w:t>成果批复文件或评审（评估、验收）意见</w:t>
            </w:r>
            <w:r>
              <w:rPr>
                <w:rFonts w:hint="eastAsia" w:ascii="宋体" w:hAnsi="宋体" w:eastAsia="宋体" w:cs="宋体"/>
                <w:bCs w:val="0"/>
                <w:color w:val="auto"/>
                <w:spacing w:val="0"/>
                <w:kern w:val="2"/>
                <w:sz w:val="21"/>
                <w:szCs w:val="21"/>
                <w:highlight w:val="none"/>
              </w:rPr>
              <w:t>；</w:t>
            </w:r>
            <w:r>
              <w:rPr>
                <w:rFonts w:hint="eastAsia" w:ascii="宋体" w:hAnsi="宋体" w:cs="宋体"/>
                <w:bCs w:val="0"/>
                <w:color w:val="auto"/>
                <w:spacing w:val="0"/>
                <w:kern w:val="2"/>
                <w:sz w:val="21"/>
                <w:szCs w:val="21"/>
                <w:highlight w:val="none"/>
                <w:lang w:eastAsia="zh-CN"/>
              </w:rPr>
              <w:t>（</w:t>
            </w:r>
            <w:r>
              <w:rPr>
                <w:rFonts w:hint="eastAsia" w:ascii="宋体" w:hAnsi="宋体" w:cs="宋体"/>
                <w:bCs w:val="0"/>
                <w:color w:val="auto"/>
                <w:spacing w:val="0"/>
                <w:kern w:val="2"/>
                <w:sz w:val="21"/>
                <w:szCs w:val="21"/>
                <w:highlight w:val="none"/>
                <w:lang w:val="en-US" w:eastAsia="zh-CN"/>
              </w:rPr>
              <w:t>3</w:t>
            </w:r>
            <w:r>
              <w:rPr>
                <w:rFonts w:hint="eastAsia" w:ascii="宋体" w:hAnsi="宋体" w:cs="宋体"/>
                <w:bCs w:val="0"/>
                <w:color w:val="auto"/>
                <w:spacing w:val="0"/>
                <w:kern w:val="2"/>
                <w:sz w:val="21"/>
                <w:szCs w:val="21"/>
                <w:highlight w:val="none"/>
                <w:lang w:eastAsia="zh-CN"/>
              </w:rPr>
              <w:t>）证明材料均加盖公章。</w:t>
            </w:r>
            <w:r>
              <w:rPr>
                <w:rFonts w:hint="eastAsia" w:ascii="宋体" w:hAnsi="宋体" w:eastAsia="宋体" w:cs="宋体"/>
                <w:bCs w:val="0"/>
                <w:color w:val="auto"/>
                <w:spacing w:val="0"/>
                <w:kern w:val="2"/>
                <w:sz w:val="21"/>
                <w:szCs w:val="21"/>
                <w:highlight w:val="none"/>
              </w:rPr>
              <w:t>未按要求提供相关证明材料的不得分。</w:t>
            </w:r>
          </w:p>
          <w:p w14:paraId="42CD3984">
            <w:pPr>
              <w:pStyle w:val="34"/>
              <w:spacing w:after="0" w:line="264" w:lineRule="auto"/>
              <w:ind w:firstLine="420" w:firstLineChars="200"/>
              <w:jc w:val="both"/>
              <w:rPr>
                <w:rFonts w:hint="default" w:ascii="宋体" w:hAnsi="宋体" w:eastAsia="宋体" w:cs="宋体"/>
                <w:bCs w:val="0"/>
                <w:color w:val="auto"/>
                <w:spacing w:val="0"/>
                <w:kern w:val="2"/>
                <w:sz w:val="21"/>
                <w:szCs w:val="21"/>
                <w:highlight w:val="none"/>
                <w:lang w:val="en-US" w:eastAsia="zh-CN"/>
              </w:rPr>
            </w:pPr>
            <w:r>
              <w:rPr>
                <w:rFonts w:hint="eastAsia" w:ascii="宋体" w:hAnsi="宋体" w:cs="宋体"/>
                <w:bCs w:val="0"/>
                <w:color w:val="auto"/>
                <w:spacing w:val="0"/>
                <w:kern w:val="2"/>
                <w:sz w:val="21"/>
                <w:szCs w:val="21"/>
                <w:highlight w:val="none"/>
                <w:lang w:val="en-US" w:eastAsia="zh-CN"/>
              </w:rPr>
              <w:t>2</w:t>
            </w:r>
            <w:r>
              <w:rPr>
                <w:rFonts w:hint="eastAsia" w:ascii="宋体" w:hAnsi="宋体" w:eastAsia="宋体" w:cs="宋体"/>
                <w:bCs w:val="0"/>
                <w:color w:val="auto"/>
                <w:spacing w:val="0"/>
                <w:kern w:val="2"/>
                <w:sz w:val="21"/>
                <w:szCs w:val="21"/>
                <w:highlight w:val="none"/>
              </w:rPr>
              <w:t>.</w:t>
            </w:r>
            <w:r>
              <w:rPr>
                <w:rFonts w:hint="default" w:ascii="宋体" w:hAnsi="宋体" w:cs="宋体"/>
                <w:bCs w:val="0"/>
                <w:color w:val="auto"/>
                <w:spacing w:val="0"/>
                <w:kern w:val="2"/>
                <w:sz w:val="21"/>
                <w:szCs w:val="21"/>
                <w:highlight w:val="none"/>
              </w:rPr>
              <w:t>具有工程咨询</w:t>
            </w:r>
            <w:r>
              <w:rPr>
                <w:rFonts w:hint="eastAsia" w:ascii="宋体" w:hAnsi="宋体" w:cs="宋体"/>
                <w:bCs w:val="0"/>
                <w:color w:val="auto"/>
                <w:spacing w:val="0"/>
                <w:kern w:val="2"/>
                <w:sz w:val="21"/>
                <w:szCs w:val="21"/>
                <w:highlight w:val="none"/>
                <w:lang w:eastAsia="zh-CN"/>
              </w:rPr>
              <w:t>乙</w:t>
            </w:r>
            <w:r>
              <w:rPr>
                <w:rFonts w:hint="default" w:ascii="宋体" w:hAnsi="宋体" w:cs="宋体"/>
                <w:bCs w:val="0"/>
                <w:color w:val="auto"/>
                <w:spacing w:val="0"/>
                <w:kern w:val="2"/>
                <w:sz w:val="21"/>
                <w:szCs w:val="21"/>
                <w:highlight w:val="none"/>
              </w:rPr>
              <w:t>级资信（农业、林业、生态建设和环境工程）或林业调查规划设计</w:t>
            </w:r>
            <w:r>
              <w:rPr>
                <w:rFonts w:hint="eastAsia" w:ascii="宋体" w:hAnsi="宋体" w:cs="宋体"/>
                <w:bCs w:val="0"/>
                <w:color w:val="auto"/>
                <w:spacing w:val="0"/>
                <w:kern w:val="2"/>
                <w:sz w:val="21"/>
                <w:szCs w:val="21"/>
                <w:highlight w:val="none"/>
                <w:lang w:eastAsia="zh-CN"/>
              </w:rPr>
              <w:t>乙级</w:t>
            </w:r>
            <w:r>
              <w:rPr>
                <w:rFonts w:hint="default" w:ascii="宋体" w:hAnsi="宋体" w:cs="宋体"/>
                <w:bCs w:val="0"/>
                <w:color w:val="auto"/>
                <w:spacing w:val="0"/>
                <w:kern w:val="2"/>
                <w:sz w:val="21"/>
                <w:szCs w:val="21"/>
                <w:highlight w:val="none"/>
              </w:rPr>
              <w:t>资质的，得</w:t>
            </w:r>
            <w:r>
              <w:rPr>
                <w:rFonts w:hint="eastAsia" w:ascii="宋体" w:hAnsi="宋体" w:cs="宋体"/>
                <w:bCs w:val="0"/>
                <w:color w:val="auto"/>
                <w:spacing w:val="0"/>
                <w:kern w:val="2"/>
                <w:sz w:val="21"/>
                <w:szCs w:val="21"/>
                <w:highlight w:val="none"/>
                <w:lang w:val="en-US" w:eastAsia="zh-CN"/>
              </w:rPr>
              <w:t>1</w:t>
            </w:r>
            <w:r>
              <w:rPr>
                <w:rFonts w:hint="default" w:ascii="宋体" w:hAnsi="宋体" w:cs="宋体"/>
                <w:bCs w:val="0"/>
                <w:color w:val="auto"/>
                <w:spacing w:val="0"/>
                <w:kern w:val="2"/>
                <w:sz w:val="21"/>
                <w:szCs w:val="21"/>
                <w:highlight w:val="none"/>
              </w:rPr>
              <w:t>分</w:t>
            </w:r>
            <w:r>
              <w:rPr>
                <w:rFonts w:hint="eastAsia" w:ascii="宋体" w:hAnsi="宋体" w:cs="宋体"/>
                <w:bCs w:val="0"/>
                <w:color w:val="auto"/>
                <w:spacing w:val="0"/>
                <w:kern w:val="2"/>
                <w:sz w:val="21"/>
                <w:szCs w:val="21"/>
                <w:highlight w:val="none"/>
                <w:lang w:eastAsia="zh-CN"/>
              </w:rPr>
              <w:t>；</w:t>
            </w:r>
            <w:r>
              <w:rPr>
                <w:rFonts w:hint="default" w:ascii="宋体" w:hAnsi="宋体" w:cs="宋体"/>
                <w:bCs w:val="0"/>
                <w:color w:val="auto"/>
                <w:spacing w:val="0"/>
                <w:kern w:val="2"/>
                <w:sz w:val="21"/>
                <w:szCs w:val="21"/>
                <w:highlight w:val="none"/>
              </w:rPr>
              <w:t>具有工程咨询甲级资信（农业、林业、生态建设和环境工程）或工程咨询综合甲级资信或林业调查规划设计</w:t>
            </w:r>
            <w:r>
              <w:rPr>
                <w:rFonts w:hint="eastAsia" w:ascii="宋体" w:hAnsi="宋体" w:cs="宋体"/>
                <w:bCs w:val="0"/>
                <w:color w:val="auto"/>
                <w:spacing w:val="0"/>
                <w:kern w:val="2"/>
                <w:sz w:val="21"/>
                <w:szCs w:val="21"/>
                <w:highlight w:val="none"/>
                <w:lang w:eastAsia="zh-CN"/>
              </w:rPr>
              <w:t>乙级</w:t>
            </w:r>
            <w:r>
              <w:rPr>
                <w:rFonts w:hint="default" w:ascii="宋体" w:hAnsi="宋体" w:cs="宋体"/>
                <w:bCs w:val="0"/>
                <w:color w:val="auto"/>
                <w:spacing w:val="0"/>
                <w:kern w:val="2"/>
                <w:sz w:val="21"/>
                <w:szCs w:val="21"/>
                <w:highlight w:val="none"/>
              </w:rPr>
              <w:t>资质的，得</w:t>
            </w:r>
            <w:r>
              <w:rPr>
                <w:rFonts w:hint="eastAsia" w:ascii="宋体" w:hAnsi="宋体" w:cs="宋体"/>
                <w:bCs w:val="0"/>
                <w:color w:val="auto"/>
                <w:spacing w:val="0"/>
                <w:kern w:val="2"/>
                <w:sz w:val="21"/>
                <w:szCs w:val="21"/>
                <w:highlight w:val="none"/>
                <w:lang w:val="en-US" w:eastAsia="zh-CN"/>
              </w:rPr>
              <w:t>3</w:t>
            </w:r>
            <w:r>
              <w:rPr>
                <w:rFonts w:hint="default" w:ascii="宋体" w:hAnsi="宋体" w:cs="宋体"/>
                <w:bCs w:val="0"/>
                <w:color w:val="auto"/>
                <w:spacing w:val="0"/>
                <w:kern w:val="2"/>
                <w:sz w:val="21"/>
                <w:szCs w:val="21"/>
                <w:highlight w:val="none"/>
              </w:rPr>
              <w:t>分。</w:t>
            </w:r>
            <w:r>
              <w:rPr>
                <w:rFonts w:hint="eastAsia" w:ascii="宋体" w:hAnsi="宋体" w:cs="宋体"/>
                <w:bCs w:val="0"/>
                <w:color w:val="auto"/>
                <w:spacing w:val="0"/>
                <w:kern w:val="2"/>
                <w:sz w:val="21"/>
                <w:szCs w:val="21"/>
                <w:highlight w:val="none"/>
                <w:lang w:eastAsia="zh-CN"/>
              </w:rPr>
              <w:t>本项满分</w:t>
            </w:r>
            <w:r>
              <w:rPr>
                <w:rFonts w:hint="eastAsia" w:ascii="宋体" w:hAnsi="宋体" w:cs="宋体"/>
                <w:bCs w:val="0"/>
                <w:color w:val="auto"/>
                <w:spacing w:val="0"/>
                <w:kern w:val="2"/>
                <w:sz w:val="21"/>
                <w:szCs w:val="21"/>
                <w:highlight w:val="none"/>
                <w:lang w:val="en-US" w:eastAsia="zh-CN"/>
              </w:rPr>
              <w:t>3</w:t>
            </w:r>
            <w:r>
              <w:rPr>
                <w:rFonts w:hint="eastAsia" w:ascii="宋体" w:hAnsi="宋体" w:eastAsia="宋体" w:cs="宋体"/>
                <w:bCs w:val="0"/>
                <w:color w:val="auto"/>
                <w:spacing w:val="0"/>
                <w:kern w:val="2"/>
                <w:sz w:val="21"/>
                <w:szCs w:val="21"/>
                <w:highlight w:val="none"/>
              </w:rPr>
              <w:t>分。</w:t>
            </w:r>
          </w:p>
          <w:p w14:paraId="0B21DC0A">
            <w:pPr>
              <w:pStyle w:val="34"/>
              <w:spacing w:after="0" w:line="264" w:lineRule="auto"/>
              <w:ind w:firstLine="460" w:firstLineChars="200"/>
              <w:jc w:val="both"/>
              <w:rPr>
                <w:color w:val="auto"/>
                <w:highlight w:val="none"/>
              </w:rPr>
            </w:pPr>
            <w:r>
              <w:rPr>
                <w:rFonts w:hint="eastAsia"/>
                <w:kern w:val="2"/>
                <w:sz w:val="21"/>
                <w:szCs w:val="21"/>
              </w:rPr>
              <w:t>注：需提供</w:t>
            </w:r>
            <w:r>
              <w:rPr>
                <w:rFonts w:hint="eastAsia"/>
                <w:kern w:val="2"/>
                <w:sz w:val="21"/>
                <w:szCs w:val="21"/>
                <w:lang w:eastAsia="zh-CN"/>
              </w:rPr>
              <w:t>资信或资质</w:t>
            </w:r>
            <w:r>
              <w:rPr>
                <w:rFonts w:hint="eastAsia"/>
                <w:kern w:val="2"/>
                <w:sz w:val="21"/>
                <w:szCs w:val="21"/>
              </w:rPr>
              <w:t>证书复印件作为评审依据，证明材料均加盖公章，未按要求提供相关证明材料的不得分。</w:t>
            </w:r>
          </w:p>
        </w:tc>
      </w:tr>
      <w:tr w14:paraId="124095C7">
        <w:tblPrEx>
          <w:tblCellMar>
            <w:top w:w="28" w:type="dxa"/>
            <w:left w:w="28" w:type="dxa"/>
            <w:bottom w:w="28" w:type="dxa"/>
            <w:right w:w="28" w:type="dxa"/>
          </w:tblCellMar>
        </w:tblPrEx>
        <w:trPr>
          <w:trHeight w:val="1372" w:hRule="atLeast"/>
          <w:jc w:val="center"/>
        </w:trPr>
        <w:tc>
          <w:tcPr>
            <w:tcW w:w="592" w:type="dxa"/>
            <w:tcBorders>
              <w:top w:val="single" w:color="auto" w:sz="4" w:space="0"/>
              <w:left w:val="single" w:color="000000" w:sz="4" w:space="0"/>
              <w:bottom w:val="single" w:color="auto" w:sz="4" w:space="0"/>
              <w:right w:val="single" w:color="auto" w:sz="4" w:space="0"/>
            </w:tcBorders>
            <w:vAlign w:val="center"/>
          </w:tcPr>
          <w:p w14:paraId="70A8A053">
            <w:pPr>
              <w:spacing w:line="264" w:lineRule="auto"/>
              <w:jc w:val="center"/>
              <w:textAlignment w:val="center"/>
              <w:rPr>
                <w:rFonts w:ascii="宋体" w:hAnsi="宋体" w:cs="宋体"/>
                <w:color w:val="auto"/>
                <w:szCs w:val="21"/>
                <w:highlight w:val="none"/>
              </w:rPr>
            </w:pPr>
            <w:r>
              <w:rPr>
                <w:rFonts w:hint="eastAsia" w:ascii="宋体" w:hAnsi="宋体" w:cs="宋体"/>
                <w:color w:val="auto"/>
                <w:szCs w:val="21"/>
                <w:highlight w:val="none"/>
              </w:rPr>
              <w:t>三</w:t>
            </w:r>
          </w:p>
        </w:tc>
        <w:tc>
          <w:tcPr>
            <w:tcW w:w="1385" w:type="dxa"/>
            <w:tcBorders>
              <w:top w:val="single" w:color="000000" w:sz="4" w:space="0"/>
              <w:left w:val="single" w:color="auto" w:sz="4" w:space="0"/>
              <w:bottom w:val="single" w:color="000000" w:sz="4" w:space="0"/>
              <w:right w:val="single" w:color="000000" w:sz="4" w:space="0"/>
            </w:tcBorders>
            <w:vAlign w:val="center"/>
          </w:tcPr>
          <w:p w14:paraId="77D02185">
            <w:pPr>
              <w:widowControl/>
              <w:spacing w:line="264" w:lineRule="auto"/>
              <w:jc w:val="center"/>
              <w:textAlignment w:val="center"/>
              <w:rPr>
                <w:rFonts w:ascii="宋体" w:hAnsi="宋体" w:cs="宋体"/>
                <w:color w:val="auto"/>
                <w:szCs w:val="21"/>
                <w:highlight w:val="none"/>
              </w:rPr>
            </w:pPr>
            <w:r>
              <w:rPr>
                <w:rFonts w:hint="eastAsia" w:ascii="宋体" w:hAnsi="宋体" w:cs="宋体"/>
                <w:color w:val="auto"/>
                <w:szCs w:val="21"/>
                <w:highlight w:val="none"/>
              </w:rPr>
              <w:t>人员配置</w:t>
            </w:r>
          </w:p>
          <w:p w14:paraId="7E1B20DA">
            <w:pPr>
              <w:widowControl/>
              <w:spacing w:line="264" w:lineRule="auto"/>
              <w:jc w:val="center"/>
              <w:textAlignment w:val="center"/>
              <w:rPr>
                <w:rFonts w:ascii="宋体" w:hAnsi="宋体" w:cs="宋体"/>
                <w:color w:val="auto"/>
                <w:szCs w:val="21"/>
                <w:highlight w:val="none"/>
              </w:rPr>
            </w:pPr>
            <w:r>
              <w:rPr>
                <w:rFonts w:hint="eastAsia" w:ascii="宋体" w:hAnsi="宋体" w:cs="宋体"/>
                <w:color w:val="auto"/>
                <w:szCs w:val="21"/>
                <w:highlight w:val="none"/>
              </w:rPr>
              <w:t>（满分</w:t>
            </w:r>
            <w:r>
              <w:rPr>
                <w:rFonts w:hint="eastAsia" w:ascii="宋体" w:hAnsi="宋体" w:cs="宋体"/>
                <w:color w:val="auto"/>
                <w:szCs w:val="21"/>
                <w:highlight w:val="none"/>
                <w:lang w:val="en-US" w:eastAsia="zh-CN"/>
              </w:rPr>
              <w:t>10</w:t>
            </w:r>
            <w:r>
              <w:rPr>
                <w:rFonts w:hint="eastAsia" w:ascii="宋体" w:hAnsi="宋体" w:cs="宋体"/>
                <w:color w:val="auto"/>
                <w:szCs w:val="21"/>
                <w:highlight w:val="none"/>
              </w:rPr>
              <w:t>分）</w:t>
            </w:r>
          </w:p>
        </w:tc>
        <w:tc>
          <w:tcPr>
            <w:tcW w:w="7141" w:type="dxa"/>
            <w:tcBorders>
              <w:top w:val="single" w:color="000000" w:sz="4" w:space="0"/>
              <w:left w:val="single" w:color="000000" w:sz="4" w:space="0"/>
              <w:bottom w:val="single" w:color="000000" w:sz="4" w:space="0"/>
              <w:right w:val="single" w:color="000000" w:sz="4" w:space="0"/>
            </w:tcBorders>
            <w:vAlign w:val="center"/>
          </w:tcPr>
          <w:p w14:paraId="6A237DCF">
            <w:pPr>
              <w:pStyle w:val="34"/>
              <w:spacing w:before="0" w:after="0" w:line="264" w:lineRule="auto"/>
              <w:ind w:firstLine="420" w:firstLineChars="200"/>
              <w:rPr>
                <w:rFonts w:hint="eastAsia" w:ascii="宋体" w:hAnsi="宋体" w:cs="宋体"/>
                <w:bCs w:val="0"/>
                <w:color w:val="auto"/>
                <w:spacing w:val="0"/>
                <w:kern w:val="2"/>
                <w:sz w:val="21"/>
                <w:szCs w:val="21"/>
                <w:highlight w:val="none"/>
              </w:rPr>
            </w:pPr>
            <w:r>
              <w:rPr>
                <w:rFonts w:hint="eastAsia" w:ascii="宋体" w:hAnsi="宋体" w:cs="宋体"/>
                <w:bCs w:val="0"/>
                <w:color w:val="auto"/>
                <w:spacing w:val="0"/>
                <w:kern w:val="2"/>
                <w:sz w:val="21"/>
                <w:szCs w:val="21"/>
                <w:highlight w:val="none"/>
              </w:rPr>
              <w:t>拟投入人员（</w:t>
            </w:r>
            <w:bookmarkStart w:id="145" w:name="OLE_LINK20"/>
            <w:r>
              <w:rPr>
                <w:rFonts w:hint="eastAsia" w:ascii="宋体" w:hAnsi="宋体" w:cs="宋体"/>
                <w:bCs w:val="0"/>
                <w:color w:val="auto"/>
                <w:spacing w:val="0"/>
                <w:kern w:val="2"/>
                <w:sz w:val="21"/>
                <w:szCs w:val="21"/>
                <w:highlight w:val="none"/>
              </w:rPr>
              <w:t>项目负责人</w:t>
            </w:r>
            <w:bookmarkEnd w:id="145"/>
            <w:r>
              <w:rPr>
                <w:rFonts w:hint="eastAsia" w:ascii="宋体" w:hAnsi="宋体" w:cs="宋体"/>
                <w:bCs w:val="0"/>
                <w:color w:val="auto"/>
                <w:spacing w:val="0"/>
                <w:kern w:val="2"/>
                <w:sz w:val="21"/>
                <w:szCs w:val="21"/>
                <w:highlight w:val="none"/>
              </w:rPr>
              <w:t>之外）中，具有高级职称（林业工程相关专业）的，每人得2分；具有中级职称（林业工程相关专业）的，每人得1分；本项满分10分。</w:t>
            </w:r>
          </w:p>
          <w:p w14:paraId="76E189AD">
            <w:pPr>
              <w:pStyle w:val="34"/>
              <w:spacing w:before="0" w:after="0" w:line="264" w:lineRule="auto"/>
              <w:ind w:firstLine="420" w:firstLineChars="200"/>
              <w:rPr>
                <w:rFonts w:hint="eastAsia" w:ascii="宋体" w:hAnsi="宋体" w:eastAsia="宋体" w:cs="宋体"/>
                <w:color w:val="auto"/>
                <w:sz w:val="21"/>
                <w:szCs w:val="21"/>
                <w:highlight w:val="none"/>
                <w:lang w:eastAsia="zh-CN"/>
              </w:rPr>
            </w:pPr>
            <w:r>
              <w:rPr>
                <w:rFonts w:hint="eastAsia" w:ascii="宋体" w:hAnsi="宋体" w:cs="宋体"/>
                <w:bCs w:val="0"/>
                <w:color w:val="auto"/>
                <w:spacing w:val="0"/>
                <w:kern w:val="2"/>
                <w:sz w:val="21"/>
                <w:szCs w:val="21"/>
                <w:highlight w:val="none"/>
              </w:rPr>
              <w:t>注：同一人员不重复计分。需提</w:t>
            </w:r>
            <w:r>
              <w:rPr>
                <w:rFonts w:hint="eastAsia" w:ascii="宋体" w:hAnsi="宋体" w:cs="宋体"/>
                <w:bCs w:val="0"/>
                <w:color w:val="auto"/>
                <w:spacing w:val="0"/>
                <w:kern w:val="2"/>
                <w:sz w:val="21"/>
                <w:szCs w:val="21"/>
                <w:highlight w:val="none"/>
                <w:lang w:eastAsia="zh-CN"/>
              </w:rPr>
              <w:t>供职称</w:t>
            </w:r>
            <w:r>
              <w:rPr>
                <w:rFonts w:hint="eastAsia" w:ascii="宋体" w:hAnsi="宋体" w:cs="宋体"/>
                <w:bCs w:val="0"/>
                <w:color w:val="auto"/>
                <w:spacing w:val="0"/>
                <w:kern w:val="2"/>
                <w:sz w:val="21"/>
                <w:szCs w:val="21"/>
                <w:highlight w:val="none"/>
              </w:rPr>
              <w:t>证书复印件作为评审依据，证明材料均需加盖公章，未按要求提供相关证明材料的不得分</w:t>
            </w:r>
          </w:p>
        </w:tc>
      </w:tr>
      <w:tr w14:paraId="788A70E0">
        <w:tblPrEx>
          <w:tblCellMar>
            <w:top w:w="28" w:type="dxa"/>
            <w:left w:w="28" w:type="dxa"/>
            <w:bottom w:w="28" w:type="dxa"/>
            <w:right w:w="28" w:type="dxa"/>
          </w:tblCellMar>
        </w:tblPrEx>
        <w:trPr>
          <w:trHeight w:val="789" w:hRule="atLeast"/>
          <w:jc w:val="center"/>
        </w:trPr>
        <w:tc>
          <w:tcPr>
            <w:tcW w:w="592" w:type="dxa"/>
            <w:tcBorders>
              <w:top w:val="single" w:color="auto" w:sz="4" w:space="0"/>
              <w:left w:val="single" w:color="000000" w:sz="4" w:space="0"/>
              <w:bottom w:val="single" w:color="auto" w:sz="4" w:space="0"/>
              <w:right w:val="single" w:color="auto" w:sz="4" w:space="0"/>
            </w:tcBorders>
            <w:vAlign w:val="center"/>
          </w:tcPr>
          <w:p w14:paraId="0CF16A0C">
            <w:pPr>
              <w:spacing w:line="264" w:lineRule="auto"/>
              <w:jc w:val="center"/>
              <w:rPr>
                <w:rFonts w:ascii="宋体" w:hAnsi="宋体" w:cs="宋体"/>
                <w:color w:val="auto"/>
                <w:szCs w:val="21"/>
                <w:highlight w:val="none"/>
              </w:rPr>
            </w:pPr>
            <w:r>
              <w:rPr>
                <w:rFonts w:hint="eastAsia" w:ascii="宋体" w:hAnsi="宋体" w:cs="宋体"/>
                <w:color w:val="auto"/>
                <w:szCs w:val="21"/>
                <w:highlight w:val="none"/>
              </w:rPr>
              <w:t>四</w:t>
            </w:r>
          </w:p>
        </w:tc>
        <w:tc>
          <w:tcPr>
            <w:tcW w:w="1385" w:type="dxa"/>
            <w:tcBorders>
              <w:top w:val="single" w:color="000000" w:sz="4" w:space="0"/>
              <w:left w:val="single" w:color="auto" w:sz="4" w:space="0"/>
              <w:bottom w:val="single" w:color="000000" w:sz="4" w:space="0"/>
              <w:right w:val="single" w:color="000000" w:sz="4" w:space="0"/>
            </w:tcBorders>
            <w:vAlign w:val="center"/>
          </w:tcPr>
          <w:p w14:paraId="7353BBF3">
            <w:pPr>
              <w:widowControl/>
              <w:spacing w:line="264" w:lineRule="auto"/>
              <w:jc w:val="center"/>
              <w:textAlignment w:val="center"/>
              <w:rPr>
                <w:rFonts w:ascii="宋体" w:hAnsi="宋体" w:cs="宋体"/>
                <w:color w:val="auto"/>
                <w:szCs w:val="21"/>
                <w:highlight w:val="none"/>
              </w:rPr>
            </w:pPr>
            <w:r>
              <w:rPr>
                <w:rFonts w:hint="eastAsia" w:ascii="宋体" w:hAnsi="宋体" w:cs="宋体"/>
                <w:color w:val="auto"/>
                <w:szCs w:val="21"/>
                <w:highlight w:val="none"/>
                <w:lang w:eastAsia="zh-CN"/>
              </w:rPr>
              <w:t>评价</w:t>
            </w:r>
            <w:r>
              <w:rPr>
                <w:rFonts w:hint="eastAsia" w:ascii="宋体" w:hAnsi="宋体" w:cs="宋体"/>
                <w:color w:val="auto"/>
                <w:szCs w:val="21"/>
                <w:highlight w:val="none"/>
              </w:rPr>
              <w:t>方案</w:t>
            </w:r>
          </w:p>
          <w:p w14:paraId="0E0E0A05">
            <w:pPr>
              <w:widowControl/>
              <w:spacing w:line="264" w:lineRule="auto"/>
              <w:jc w:val="center"/>
              <w:textAlignment w:val="center"/>
              <w:rPr>
                <w:rFonts w:ascii="宋体" w:hAnsi="宋体" w:cs="宋体"/>
                <w:color w:val="auto"/>
                <w:szCs w:val="21"/>
                <w:highlight w:val="none"/>
              </w:rPr>
            </w:pPr>
            <w:r>
              <w:rPr>
                <w:rFonts w:hint="eastAsia" w:ascii="宋体" w:hAnsi="宋体" w:cs="宋体"/>
                <w:color w:val="auto"/>
                <w:szCs w:val="21"/>
                <w:highlight w:val="none"/>
              </w:rPr>
              <w:t>（满分</w:t>
            </w:r>
            <w:r>
              <w:rPr>
                <w:rFonts w:hint="eastAsia" w:ascii="宋体" w:hAnsi="宋体" w:cs="宋体"/>
                <w:color w:val="auto"/>
                <w:szCs w:val="21"/>
                <w:highlight w:val="none"/>
                <w:lang w:val="en-US" w:eastAsia="zh-CN"/>
              </w:rPr>
              <w:t>52</w:t>
            </w:r>
            <w:r>
              <w:rPr>
                <w:rFonts w:hint="eastAsia" w:ascii="宋体" w:hAnsi="宋体" w:cs="宋体"/>
                <w:color w:val="auto"/>
                <w:szCs w:val="21"/>
                <w:highlight w:val="none"/>
              </w:rPr>
              <w:t>分）</w:t>
            </w:r>
          </w:p>
        </w:tc>
        <w:tc>
          <w:tcPr>
            <w:tcW w:w="7141" w:type="dxa"/>
            <w:tcBorders>
              <w:top w:val="single" w:color="000000" w:sz="4" w:space="0"/>
              <w:left w:val="single" w:color="000000" w:sz="4" w:space="0"/>
              <w:bottom w:val="single" w:color="000000" w:sz="4" w:space="0"/>
              <w:right w:val="single" w:color="000000" w:sz="4" w:space="0"/>
            </w:tcBorders>
            <w:vAlign w:val="center"/>
          </w:tcPr>
          <w:p w14:paraId="17A1D46C">
            <w:pPr>
              <w:widowControl/>
              <w:spacing w:line="264" w:lineRule="auto"/>
              <w:ind w:firstLine="422" w:firstLineChars="200"/>
              <w:textAlignment w:val="center"/>
              <w:rPr>
                <w:rFonts w:ascii="宋体" w:hAnsi="宋体" w:cs="宋体"/>
                <w:color w:val="auto"/>
                <w:szCs w:val="21"/>
                <w:highlight w:val="none"/>
              </w:rPr>
            </w:pPr>
            <w:r>
              <w:rPr>
                <w:rFonts w:hint="eastAsia" w:ascii="宋体" w:hAnsi="宋体" w:cs="宋体"/>
                <w:b/>
                <w:color w:val="auto"/>
                <w:szCs w:val="21"/>
                <w:highlight w:val="none"/>
              </w:rPr>
              <w:t>优：</w:t>
            </w:r>
            <w:r>
              <w:rPr>
                <w:rFonts w:hint="eastAsia" w:ascii="宋体" w:hAnsi="宋体" w:cs="宋体"/>
                <w:color w:val="auto"/>
                <w:szCs w:val="21"/>
                <w:highlight w:val="none"/>
              </w:rPr>
              <w:t>工作思路清晰，内容全面</w:t>
            </w:r>
            <w:r>
              <w:rPr>
                <w:rFonts w:hint="eastAsia" w:ascii="宋体" w:hAnsi="宋体" w:cs="宋体"/>
                <w:color w:val="auto"/>
                <w:szCs w:val="21"/>
                <w:highlight w:val="none"/>
                <w:lang w:eastAsia="zh-CN"/>
              </w:rPr>
              <w:t>翔实</w:t>
            </w:r>
            <w:r>
              <w:rPr>
                <w:rFonts w:hint="eastAsia" w:ascii="宋体" w:hAnsi="宋体" w:cs="宋体"/>
                <w:color w:val="auto"/>
                <w:szCs w:val="21"/>
                <w:highlight w:val="none"/>
              </w:rPr>
              <w:t>，对本项目重点难点分析准确到位，进度计划安排合理，各阶段工作安排得当，质量、进度保障措施合理、可行，针对性强，能很好地满足采购需求</w:t>
            </w:r>
            <w:r>
              <w:rPr>
                <w:rFonts w:hint="eastAsia" w:ascii="宋体" w:hAnsi="宋体" w:cs="宋体"/>
                <w:color w:val="auto"/>
                <w:szCs w:val="21"/>
                <w:highlight w:val="none"/>
                <w:lang w:eastAsia="zh-CN"/>
              </w:rPr>
              <w:t>的，得</w:t>
            </w:r>
            <w:r>
              <w:rPr>
                <w:rFonts w:hint="eastAsia" w:ascii="宋体" w:hAnsi="宋体" w:cs="宋体"/>
                <w:color w:val="auto"/>
                <w:szCs w:val="21"/>
                <w:highlight w:val="none"/>
                <w:lang w:val="en-US" w:eastAsia="zh-CN"/>
              </w:rPr>
              <w:t>52</w:t>
            </w:r>
            <w:r>
              <w:rPr>
                <w:rFonts w:hint="eastAsia" w:ascii="宋体" w:hAnsi="宋体" w:cs="宋体"/>
                <w:color w:val="auto"/>
                <w:szCs w:val="21"/>
                <w:highlight w:val="none"/>
              </w:rPr>
              <w:t>分；</w:t>
            </w:r>
          </w:p>
          <w:p w14:paraId="716E324A">
            <w:pPr>
              <w:widowControl/>
              <w:spacing w:line="264" w:lineRule="auto"/>
              <w:ind w:firstLine="422" w:firstLineChars="200"/>
              <w:textAlignment w:val="center"/>
              <w:rPr>
                <w:rFonts w:ascii="宋体" w:hAnsi="宋体" w:cs="宋体"/>
                <w:color w:val="auto"/>
                <w:szCs w:val="21"/>
                <w:highlight w:val="none"/>
              </w:rPr>
            </w:pPr>
            <w:r>
              <w:rPr>
                <w:rFonts w:hint="eastAsia" w:ascii="宋体" w:hAnsi="宋体" w:cs="宋体"/>
                <w:b/>
                <w:color w:val="auto"/>
                <w:szCs w:val="21"/>
                <w:highlight w:val="none"/>
              </w:rPr>
              <w:t>良：</w:t>
            </w:r>
            <w:r>
              <w:rPr>
                <w:rFonts w:hint="eastAsia" w:ascii="宋体" w:hAnsi="宋体" w:cs="宋体"/>
                <w:color w:val="auto"/>
                <w:szCs w:val="21"/>
                <w:highlight w:val="none"/>
              </w:rPr>
              <w:t>工作思路较清晰，内容较</w:t>
            </w:r>
            <w:r>
              <w:rPr>
                <w:rFonts w:hint="eastAsia" w:ascii="宋体" w:hAnsi="宋体" w:cs="宋体"/>
                <w:color w:val="auto"/>
                <w:szCs w:val="21"/>
                <w:highlight w:val="none"/>
                <w:lang w:eastAsia="zh-CN"/>
              </w:rPr>
              <w:t>翔实</w:t>
            </w:r>
            <w:r>
              <w:rPr>
                <w:rFonts w:hint="eastAsia" w:ascii="宋体" w:hAnsi="宋体" w:cs="宋体"/>
                <w:color w:val="auto"/>
                <w:szCs w:val="21"/>
                <w:highlight w:val="none"/>
              </w:rPr>
              <w:t>，对本项目重点难点分析比较准确到位，进度计划安排较合理，提出的工作保障措施可行、针对性较强，满足采购需求</w:t>
            </w:r>
            <w:r>
              <w:rPr>
                <w:rFonts w:hint="eastAsia" w:ascii="宋体" w:hAnsi="宋体" w:cs="宋体"/>
                <w:color w:val="auto"/>
                <w:szCs w:val="21"/>
                <w:highlight w:val="none"/>
                <w:lang w:eastAsia="zh-CN"/>
              </w:rPr>
              <w:t>的，得</w:t>
            </w:r>
            <w:r>
              <w:rPr>
                <w:rFonts w:hint="eastAsia" w:ascii="宋体" w:hAnsi="宋体" w:cs="宋体"/>
                <w:color w:val="auto"/>
                <w:szCs w:val="21"/>
                <w:highlight w:val="none"/>
                <w:lang w:val="en-US" w:eastAsia="zh-CN"/>
              </w:rPr>
              <w:t>44</w:t>
            </w:r>
            <w:r>
              <w:rPr>
                <w:rFonts w:hint="eastAsia" w:ascii="宋体" w:hAnsi="宋体" w:cs="宋体"/>
                <w:color w:val="auto"/>
                <w:szCs w:val="21"/>
                <w:highlight w:val="none"/>
              </w:rPr>
              <w:t>分；</w:t>
            </w:r>
          </w:p>
          <w:p w14:paraId="6999481F">
            <w:pPr>
              <w:widowControl/>
              <w:spacing w:line="264" w:lineRule="auto"/>
              <w:ind w:firstLine="422" w:firstLineChars="200"/>
              <w:textAlignment w:val="center"/>
              <w:rPr>
                <w:rFonts w:ascii="宋体" w:hAnsi="宋体" w:cs="宋体"/>
                <w:color w:val="auto"/>
                <w:szCs w:val="21"/>
                <w:highlight w:val="none"/>
              </w:rPr>
            </w:pPr>
            <w:r>
              <w:rPr>
                <w:rFonts w:hint="eastAsia" w:ascii="宋体" w:hAnsi="宋体" w:cs="宋体"/>
                <w:b/>
                <w:color w:val="auto"/>
                <w:szCs w:val="21"/>
                <w:highlight w:val="none"/>
              </w:rPr>
              <w:t>中：</w:t>
            </w:r>
            <w:r>
              <w:rPr>
                <w:rFonts w:hint="eastAsia" w:ascii="宋体" w:hAnsi="宋体" w:cs="宋体"/>
                <w:color w:val="auto"/>
                <w:szCs w:val="21"/>
                <w:highlight w:val="none"/>
              </w:rPr>
              <w:t>工作思路基本清晰，内容基本</w:t>
            </w:r>
            <w:r>
              <w:rPr>
                <w:rFonts w:hint="eastAsia" w:ascii="宋体" w:hAnsi="宋体" w:cs="宋体"/>
                <w:color w:val="auto"/>
                <w:szCs w:val="21"/>
                <w:highlight w:val="none"/>
                <w:lang w:eastAsia="zh-CN"/>
              </w:rPr>
              <w:t>翔实</w:t>
            </w:r>
            <w:r>
              <w:rPr>
                <w:rFonts w:hint="eastAsia" w:ascii="宋体" w:hAnsi="宋体" w:cs="宋体"/>
                <w:color w:val="auto"/>
                <w:szCs w:val="21"/>
                <w:highlight w:val="none"/>
              </w:rPr>
              <w:t>，对本项目重点要点分析基本准确到位，进度计划工期安排一般，提出的工作保障措施基本可行、针对性一般，基本满足采购需求的</w:t>
            </w:r>
            <w:r>
              <w:rPr>
                <w:rFonts w:hint="eastAsia" w:ascii="宋体" w:hAnsi="宋体" w:cs="宋体"/>
                <w:color w:val="auto"/>
                <w:szCs w:val="21"/>
                <w:highlight w:val="none"/>
                <w:lang w:eastAsia="zh-CN"/>
              </w:rPr>
              <w:t>，得</w:t>
            </w:r>
            <w:r>
              <w:rPr>
                <w:rFonts w:hint="eastAsia" w:ascii="宋体" w:hAnsi="宋体" w:cs="宋体"/>
                <w:color w:val="auto"/>
                <w:szCs w:val="21"/>
                <w:highlight w:val="none"/>
                <w:lang w:val="en-US" w:eastAsia="zh-CN"/>
              </w:rPr>
              <w:t>36</w:t>
            </w:r>
            <w:r>
              <w:rPr>
                <w:rFonts w:hint="eastAsia" w:ascii="宋体" w:hAnsi="宋体" w:cs="宋体"/>
                <w:color w:val="auto"/>
                <w:szCs w:val="21"/>
                <w:highlight w:val="none"/>
              </w:rPr>
              <w:t>分；</w:t>
            </w:r>
          </w:p>
          <w:p w14:paraId="5BD28164">
            <w:pPr>
              <w:widowControl/>
              <w:spacing w:line="264" w:lineRule="auto"/>
              <w:ind w:firstLine="422" w:firstLineChars="200"/>
              <w:textAlignment w:val="center"/>
              <w:rPr>
                <w:rFonts w:hint="eastAsia" w:ascii="宋体" w:hAnsi="宋体" w:cs="宋体"/>
                <w:b/>
                <w:color w:val="auto"/>
                <w:szCs w:val="21"/>
                <w:highlight w:val="none"/>
              </w:rPr>
            </w:pPr>
            <w:r>
              <w:rPr>
                <w:rFonts w:hint="eastAsia" w:ascii="宋体" w:hAnsi="宋体" w:cs="宋体"/>
                <w:b/>
                <w:color w:val="auto"/>
                <w:szCs w:val="21"/>
                <w:highlight w:val="none"/>
              </w:rPr>
              <w:t>差：方案不能满足采购需求</w:t>
            </w:r>
            <w:r>
              <w:rPr>
                <w:rFonts w:hint="eastAsia" w:ascii="宋体" w:hAnsi="宋体" w:cs="宋体"/>
                <w:b/>
                <w:color w:val="auto"/>
                <w:szCs w:val="21"/>
                <w:highlight w:val="none"/>
                <w:lang w:eastAsia="zh-CN"/>
              </w:rPr>
              <w:t>的</w:t>
            </w:r>
            <w:r>
              <w:rPr>
                <w:rFonts w:hint="eastAsia" w:ascii="宋体" w:hAnsi="宋体" w:cs="宋体"/>
                <w:b/>
                <w:color w:val="auto"/>
                <w:szCs w:val="21"/>
                <w:highlight w:val="none"/>
              </w:rPr>
              <w:t>（0分）。</w:t>
            </w:r>
          </w:p>
          <w:p w14:paraId="5AB444AB">
            <w:pPr>
              <w:widowControl/>
              <w:spacing w:line="264" w:lineRule="auto"/>
              <w:ind w:firstLine="422" w:firstLineChars="200"/>
              <w:textAlignment w:val="center"/>
              <w:rPr>
                <w:rFonts w:hint="eastAsia" w:ascii="宋体" w:hAnsi="宋体" w:cs="宋体"/>
                <w:b/>
                <w:color w:val="auto"/>
                <w:szCs w:val="21"/>
                <w:highlight w:val="none"/>
              </w:rPr>
            </w:pPr>
          </w:p>
        </w:tc>
      </w:tr>
      <w:tr w14:paraId="625A7B65">
        <w:tblPrEx>
          <w:tblCellMar>
            <w:top w:w="28" w:type="dxa"/>
            <w:left w:w="28" w:type="dxa"/>
            <w:bottom w:w="28" w:type="dxa"/>
            <w:right w:w="28" w:type="dxa"/>
          </w:tblCellMar>
        </w:tblPrEx>
        <w:trPr>
          <w:trHeight w:val="413" w:hRule="atLeast"/>
          <w:jc w:val="center"/>
        </w:trPr>
        <w:tc>
          <w:tcPr>
            <w:tcW w:w="592" w:type="dxa"/>
            <w:tcBorders>
              <w:top w:val="single" w:color="auto" w:sz="4" w:space="0"/>
              <w:left w:val="single" w:color="000000" w:sz="4" w:space="0"/>
              <w:bottom w:val="single" w:color="auto" w:sz="4" w:space="0"/>
              <w:right w:val="single" w:color="auto" w:sz="4" w:space="0"/>
            </w:tcBorders>
            <w:vAlign w:val="center"/>
          </w:tcPr>
          <w:p w14:paraId="11E988EF">
            <w:pPr>
              <w:widowControl/>
              <w:spacing w:line="264" w:lineRule="auto"/>
              <w:jc w:val="center"/>
              <w:textAlignment w:val="center"/>
              <w:rPr>
                <w:rFonts w:ascii="宋体" w:hAnsi="宋体" w:cs="宋体"/>
                <w:color w:val="auto"/>
                <w:szCs w:val="21"/>
                <w:highlight w:val="none"/>
              </w:rPr>
            </w:pPr>
            <w:r>
              <w:rPr>
                <w:rFonts w:hint="eastAsia" w:ascii="宋体" w:hAnsi="宋体" w:cs="宋体"/>
                <w:color w:val="auto"/>
                <w:szCs w:val="21"/>
                <w:highlight w:val="none"/>
              </w:rPr>
              <w:t>五</w:t>
            </w:r>
          </w:p>
        </w:tc>
        <w:tc>
          <w:tcPr>
            <w:tcW w:w="8526" w:type="dxa"/>
            <w:gridSpan w:val="2"/>
            <w:tcBorders>
              <w:top w:val="single" w:color="000000" w:sz="4" w:space="0"/>
              <w:left w:val="single" w:color="auto" w:sz="4" w:space="0"/>
              <w:bottom w:val="single" w:color="000000" w:sz="4" w:space="0"/>
              <w:right w:val="single" w:color="000000" w:sz="4" w:space="0"/>
            </w:tcBorders>
            <w:vAlign w:val="center"/>
          </w:tcPr>
          <w:p w14:paraId="4DB4D6B6">
            <w:pPr>
              <w:widowControl/>
              <w:spacing w:line="264" w:lineRule="auto"/>
              <w:textAlignment w:val="center"/>
              <w:rPr>
                <w:rFonts w:ascii="宋体" w:hAnsi="宋体" w:cs="宋体"/>
                <w:color w:val="auto"/>
                <w:szCs w:val="21"/>
                <w:highlight w:val="none"/>
              </w:rPr>
            </w:pPr>
            <w:r>
              <w:rPr>
                <w:rFonts w:hint="eastAsia" w:ascii="宋体" w:hAnsi="宋体" w:cs="宋体"/>
                <w:color w:val="auto"/>
                <w:szCs w:val="21"/>
                <w:highlight w:val="none"/>
              </w:rPr>
              <w:t>总分=价格分+业绩分+人员配置分+</w:t>
            </w:r>
            <w:r>
              <w:rPr>
                <w:rFonts w:hint="eastAsia" w:ascii="宋体" w:hAnsi="宋体" w:cs="宋体"/>
                <w:color w:val="auto"/>
                <w:szCs w:val="21"/>
                <w:highlight w:val="none"/>
                <w:lang w:eastAsia="zh-CN"/>
              </w:rPr>
              <w:t>评价</w:t>
            </w:r>
            <w:r>
              <w:rPr>
                <w:rFonts w:hint="eastAsia" w:ascii="宋体" w:hAnsi="宋体" w:cs="宋体"/>
                <w:color w:val="auto"/>
                <w:szCs w:val="21"/>
                <w:highlight w:val="none"/>
              </w:rPr>
              <w:t>方案分</w:t>
            </w:r>
          </w:p>
        </w:tc>
      </w:tr>
    </w:tbl>
    <w:p w14:paraId="6B867BB2">
      <w:pPr>
        <w:keepNext w:val="0"/>
        <w:keepLines w:val="0"/>
        <w:pageBreakBefore w:val="0"/>
        <w:widowControl w:val="0"/>
        <w:kinsoku/>
        <w:wordWrap/>
        <w:overflowPunct/>
        <w:topLinePunct w:val="0"/>
        <w:autoSpaceDE/>
        <w:autoSpaceDN/>
        <w:bidi w:val="0"/>
        <w:adjustRightInd w:val="0"/>
        <w:snapToGrid w:val="0"/>
        <w:spacing w:line="240" w:lineRule="auto"/>
        <w:textAlignment w:val="auto"/>
        <w:rPr>
          <w:rFonts w:ascii="宋体" w:hAnsi="宋体"/>
          <w:bCs/>
          <w:color w:val="auto"/>
          <w:szCs w:val="21"/>
          <w:highlight w:val="none"/>
        </w:rPr>
      </w:pPr>
    </w:p>
    <w:p w14:paraId="5F987331">
      <w:pPr>
        <w:rPr>
          <w:color w:val="auto"/>
          <w:highlight w:val="none"/>
        </w:rPr>
      </w:pPr>
      <w:r>
        <w:rPr>
          <w:rFonts w:hint="eastAsia"/>
          <w:color w:val="auto"/>
          <w:highlight w:val="none"/>
        </w:rPr>
        <w:br w:type="page"/>
      </w:r>
    </w:p>
    <w:p w14:paraId="23DF3DC9">
      <w:pPr>
        <w:pStyle w:val="10"/>
        <w:rPr>
          <w:color w:val="auto"/>
          <w:highlight w:val="none"/>
        </w:rPr>
      </w:pPr>
    </w:p>
    <w:p w14:paraId="750F3B1C">
      <w:pPr>
        <w:rPr>
          <w:color w:val="auto"/>
          <w:highlight w:val="none"/>
        </w:rPr>
      </w:pPr>
    </w:p>
    <w:p w14:paraId="25F21A85">
      <w:pPr>
        <w:pStyle w:val="2"/>
        <w:spacing w:before="0" w:after="0" w:line="579" w:lineRule="auto"/>
        <w:jc w:val="center"/>
        <w:rPr>
          <w:color w:val="auto"/>
          <w:sz w:val="28"/>
          <w:szCs w:val="28"/>
          <w:highlight w:val="none"/>
        </w:rPr>
      </w:pPr>
      <w:bookmarkStart w:id="146" w:name="_Toc7276"/>
      <w:bookmarkStart w:id="147" w:name="_Toc29925"/>
      <w:bookmarkStart w:id="148" w:name="_Toc15213"/>
      <w:bookmarkStart w:id="149" w:name="_Toc9218"/>
      <w:bookmarkStart w:id="150" w:name="_Toc2378"/>
      <w:bookmarkStart w:id="151" w:name="_Toc15131"/>
      <w:bookmarkStart w:id="152" w:name="_Toc1499"/>
      <w:bookmarkStart w:id="153" w:name="_Toc31993"/>
      <w:bookmarkStart w:id="154" w:name="_Toc4151"/>
      <w:bookmarkStart w:id="155" w:name="_Toc23131"/>
      <w:bookmarkStart w:id="156" w:name="_Toc32255"/>
      <w:bookmarkStart w:id="157" w:name="_Toc1925"/>
      <w:bookmarkStart w:id="158" w:name="_Toc1264"/>
      <w:bookmarkStart w:id="159" w:name="_Toc16244"/>
      <w:bookmarkStart w:id="160" w:name="_Toc13809"/>
      <w:bookmarkStart w:id="161" w:name="_Toc5116"/>
      <w:bookmarkStart w:id="162" w:name="_Toc10128"/>
      <w:r>
        <w:rPr>
          <w:rFonts w:hint="eastAsia"/>
          <w:color w:val="auto"/>
          <w:sz w:val="28"/>
          <w:szCs w:val="28"/>
          <w:highlight w:val="none"/>
        </w:rPr>
        <w:t>第五章 响应文件格式</w:t>
      </w:r>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p>
    <w:p w14:paraId="28C68315">
      <w:pPr>
        <w:spacing w:line="240" w:lineRule="atLeast"/>
        <w:rPr>
          <w:rFonts w:ascii="仿宋_GB2312" w:hAnsi="仿宋_GB2312" w:eastAsia="仿宋_GB2312" w:cs="仿宋_GB2312"/>
          <w:bCs/>
          <w:color w:val="auto"/>
          <w:sz w:val="32"/>
          <w:szCs w:val="32"/>
          <w:highlight w:val="none"/>
        </w:rPr>
      </w:pPr>
    </w:p>
    <w:p w14:paraId="643C196C">
      <w:pPr>
        <w:snapToGrid w:val="0"/>
        <w:spacing w:before="120" w:beforeLines="50" w:after="50" w:line="360" w:lineRule="auto"/>
        <w:jc w:val="left"/>
        <w:rPr>
          <w:rFonts w:ascii="宋体" w:hAnsi="宋体"/>
          <w:b/>
          <w:color w:val="auto"/>
          <w:sz w:val="24"/>
          <w:highlight w:val="none"/>
        </w:rPr>
      </w:pPr>
      <w:bookmarkStart w:id="163" w:name="_Toc71365925"/>
      <w:bookmarkStart w:id="164" w:name="_Toc44229899"/>
      <w:bookmarkStart w:id="165" w:name="_Toc35611438"/>
      <w:bookmarkStart w:id="166" w:name="_Toc31728084"/>
      <w:bookmarkStart w:id="167" w:name="_Toc31723070"/>
      <w:bookmarkStart w:id="168" w:name="_Toc35611516"/>
      <w:r>
        <w:rPr>
          <w:b/>
          <w:color w:val="auto"/>
          <w:sz w:val="32"/>
          <w:szCs w:val="32"/>
          <w:highlight w:val="none"/>
        </w:rPr>
        <w:br w:type="page"/>
      </w:r>
      <w:bookmarkEnd w:id="163"/>
      <w:bookmarkEnd w:id="164"/>
      <w:bookmarkEnd w:id="165"/>
      <w:bookmarkEnd w:id="166"/>
      <w:bookmarkEnd w:id="167"/>
      <w:bookmarkEnd w:id="168"/>
    </w:p>
    <w:p w14:paraId="05B2FA97">
      <w:pPr>
        <w:snapToGrid w:val="0"/>
        <w:spacing w:before="120" w:beforeLines="50" w:after="50"/>
        <w:rPr>
          <w:rFonts w:ascii="宋体" w:hAnsi="宋体"/>
          <w:bCs/>
          <w:color w:val="auto"/>
          <w:sz w:val="32"/>
          <w:szCs w:val="20"/>
          <w:highlight w:val="none"/>
        </w:rPr>
      </w:pPr>
      <w:r>
        <w:rPr>
          <w:rFonts w:hint="eastAsia" w:ascii="宋体" w:hAnsi="宋体"/>
          <w:color w:val="auto"/>
          <w:sz w:val="24"/>
          <w:highlight w:val="none"/>
        </w:rPr>
        <w:t xml:space="preserve">                                                    </w:t>
      </w:r>
    </w:p>
    <w:p w14:paraId="5457F360">
      <w:pPr>
        <w:snapToGrid w:val="0"/>
        <w:spacing w:before="120" w:beforeLines="50" w:after="50"/>
        <w:rPr>
          <w:rFonts w:ascii="宋体" w:hAnsi="宋体"/>
          <w:color w:val="auto"/>
          <w:sz w:val="24"/>
          <w:szCs w:val="20"/>
          <w:highlight w:val="none"/>
        </w:rPr>
      </w:pPr>
    </w:p>
    <w:p w14:paraId="4C995160">
      <w:pPr>
        <w:snapToGrid w:val="0"/>
        <w:spacing w:before="120" w:beforeLines="50" w:line="360" w:lineRule="auto"/>
        <w:jc w:val="center"/>
        <w:rPr>
          <w:rFonts w:hint="eastAsia" w:ascii="宋体" w:hAnsi="宋体" w:cs="宋体"/>
          <w:b/>
          <w:bCs/>
          <w:color w:val="auto"/>
          <w:sz w:val="36"/>
          <w:szCs w:val="36"/>
          <w:highlight w:val="none"/>
          <w:lang w:eastAsia="zh-CN"/>
        </w:rPr>
      </w:pPr>
      <w:r>
        <w:rPr>
          <w:rFonts w:hint="eastAsia" w:ascii="宋体" w:hAnsi="宋体" w:cs="宋体"/>
          <w:b/>
          <w:bCs/>
          <w:color w:val="auto"/>
          <w:sz w:val="36"/>
          <w:szCs w:val="36"/>
          <w:highlight w:val="none"/>
        </w:rPr>
        <w:t>红水河（曹渡河口至桥巩）三级航道</w:t>
      </w:r>
      <w:r>
        <w:rPr>
          <w:rFonts w:hint="eastAsia" w:ascii="宋体" w:hAnsi="宋体" w:cs="宋体"/>
          <w:b/>
          <w:bCs/>
          <w:color w:val="auto"/>
          <w:sz w:val="36"/>
          <w:szCs w:val="36"/>
          <w:highlight w:val="none"/>
          <w:lang w:eastAsia="zh-CN"/>
        </w:rPr>
        <w:t>工程对广西忻城</w:t>
      </w:r>
    </w:p>
    <w:p w14:paraId="233DE10E">
      <w:pPr>
        <w:snapToGrid w:val="0"/>
        <w:spacing w:before="120" w:beforeLines="50" w:line="360" w:lineRule="auto"/>
        <w:jc w:val="center"/>
        <w:rPr>
          <w:rFonts w:ascii="黑体" w:hAnsi="黑体" w:eastAsia="黑体" w:cs="黑体"/>
          <w:color w:val="auto"/>
          <w:sz w:val="36"/>
          <w:szCs w:val="36"/>
          <w:highlight w:val="none"/>
        </w:rPr>
      </w:pPr>
      <w:r>
        <w:rPr>
          <w:rFonts w:hint="eastAsia" w:ascii="宋体" w:hAnsi="宋体" w:cs="宋体"/>
          <w:b/>
          <w:bCs/>
          <w:color w:val="auto"/>
          <w:sz w:val="36"/>
          <w:szCs w:val="36"/>
          <w:highlight w:val="none"/>
          <w:lang w:eastAsia="zh-CN"/>
        </w:rPr>
        <w:t>乐滩国家湿地公园生态影响评价服务</w:t>
      </w:r>
      <w:r>
        <w:rPr>
          <w:rFonts w:hint="eastAsia" w:ascii="宋体" w:hAnsi="宋体" w:cs="宋体"/>
          <w:b/>
          <w:bCs/>
          <w:color w:val="auto"/>
          <w:sz w:val="36"/>
          <w:szCs w:val="36"/>
          <w:highlight w:val="none"/>
        </w:rPr>
        <w:t>采购</w:t>
      </w:r>
    </w:p>
    <w:p w14:paraId="3638B3BC">
      <w:pPr>
        <w:snapToGrid w:val="0"/>
        <w:spacing w:before="120" w:beforeLines="50" w:after="50"/>
        <w:jc w:val="center"/>
        <w:rPr>
          <w:rFonts w:ascii="宋体" w:hAnsi="宋体" w:cs="宋体"/>
          <w:bCs/>
          <w:color w:val="auto"/>
          <w:sz w:val="32"/>
          <w:szCs w:val="32"/>
          <w:highlight w:val="none"/>
        </w:rPr>
      </w:pPr>
    </w:p>
    <w:p w14:paraId="7ECD192E">
      <w:pPr>
        <w:snapToGrid w:val="0"/>
        <w:spacing w:before="120" w:beforeLines="50" w:after="50"/>
        <w:jc w:val="center"/>
        <w:rPr>
          <w:rFonts w:ascii="黑体" w:hAnsi="黑体" w:eastAsia="黑体" w:cs="黑体"/>
          <w:bCs/>
          <w:color w:val="auto"/>
          <w:sz w:val="84"/>
          <w:szCs w:val="84"/>
          <w:highlight w:val="none"/>
        </w:rPr>
      </w:pPr>
      <w:r>
        <w:rPr>
          <w:rFonts w:hint="eastAsia" w:ascii="黑体" w:hAnsi="黑体" w:eastAsia="黑体" w:cs="黑体"/>
          <w:bCs/>
          <w:color w:val="auto"/>
          <w:sz w:val="84"/>
          <w:szCs w:val="84"/>
          <w:highlight w:val="none"/>
        </w:rPr>
        <w:t>响 应 文 件</w:t>
      </w:r>
    </w:p>
    <w:p w14:paraId="5D274D21">
      <w:pPr>
        <w:snapToGrid w:val="0"/>
        <w:spacing w:before="120" w:beforeLines="50" w:after="50"/>
        <w:jc w:val="center"/>
        <w:rPr>
          <w:rFonts w:ascii="方正小标宋简体" w:hAnsi="方正小标宋简体" w:eastAsia="方正小标宋简体" w:cs="方正小标宋简体"/>
          <w:bCs/>
          <w:color w:val="auto"/>
          <w:sz w:val="44"/>
          <w:szCs w:val="44"/>
          <w:highlight w:val="none"/>
        </w:rPr>
      </w:pPr>
    </w:p>
    <w:p w14:paraId="73D622CE">
      <w:pPr>
        <w:snapToGrid w:val="0"/>
        <w:spacing w:before="120" w:beforeLines="50" w:after="50"/>
        <w:jc w:val="center"/>
        <w:rPr>
          <w:rFonts w:ascii="方正小标宋简体" w:hAnsi="方正小标宋简体" w:eastAsia="方正小标宋简体" w:cs="方正小标宋简体"/>
          <w:bCs/>
          <w:color w:val="auto"/>
          <w:sz w:val="32"/>
          <w:szCs w:val="32"/>
          <w:highlight w:val="none"/>
        </w:rPr>
      </w:pPr>
    </w:p>
    <w:p w14:paraId="3214BA98">
      <w:pPr>
        <w:snapToGrid w:val="0"/>
        <w:spacing w:before="120" w:beforeLines="50" w:after="50"/>
        <w:rPr>
          <w:rFonts w:ascii="宋体" w:hAnsi="宋体"/>
          <w:bCs/>
          <w:color w:val="auto"/>
          <w:sz w:val="24"/>
          <w:szCs w:val="20"/>
          <w:highlight w:val="none"/>
        </w:rPr>
      </w:pPr>
    </w:p>
    <w:p w14:paraId="41941762">
      <w:pPr>
        <w:snapToGrid w:val="0"/>
        <w:spacing w:before="120" w:beforeLines="50" w:after="50"/>
        <w:rPr>
          <w:rFonts w:ascii="宋体" w:hAnsi="宋体"/>
          <w:bCs/>
          <w:color w:val="auto"/>
          <w:sz w:val="24"/>
          <w:szCs w:val="20"/>
          <w:highlight w:val="none"/>
        </w:rPr>
      </w:pPr>
    </w:p>
    <w:p w14:paraId="011F923C">
      <w:pPr>
        <w:snapToGrid w:val="0"/>
        <w:spacing w:before="120" w:beforeLines="50" w:after="50"/>
        <w:rPr>
          <w:rFonts w:ascii="宋体" w:hAnsi="宋体"/>
          <w:bCs/>
          <w:color w:val="auto"/>
          <w:sz w:val="24"/>
          <w:szCs w:val="20"/>
          <w:highlight w:val="none"/>
        </w:rPr>
      </w:pPr>
    </w:p>
    <w:p w14:paraId="6B9DCA68">
      <w:pPr>
        <w:snapToGrid w:val="0"/>
        <w:spacing w:before="120" w:beforeLines="50" w:after="50"/>
        <w:ind w:firstLine="640" w:firstLineChars="200"/>
        <w:rPr>
          <w:rFonts w:ascii="宋体" w:hAnsi="宋体" w:cs="仿宋_GB2312"/>
          <w:bCs/>
          <w:color w:val="auto"/>
          <w:sz w:val="32"/>
          <w:szCs w:val="32"/>
          <w:highlight w:val="none"/>
        </w:rPr>
      </w:pPr>
    </w:p>
    <w:p w14:paraId="28781C0B">
      <w:pPr>
        <w:snapToGrid w:val="0"/>
        <w:spacing w:before="120" w:beforeLines="50" w:after="50"/>
        <w:ind w:firstLine="720" w:firstLineChars="225"/>
        <w:rPr>
          <w:rFonts w:ascii="宋体" w:hAnsi="宋体" w:cs="仿宋_GB2312"/>
          <w:bCs/>
          <w:color w:val="auto"/>
          <w:sz w:val="32"/>
          <w:szCs w:val="32"/>
          <w:highlight w:val="none"/>
        </w:rPr>
      </w:pPr>
    </w:p>
    <w:p w14:paraId="0BFCADD2">
      <w:pPr>
        <w:snapToGrid w:val="0"/>
        <w:spacing w:before="120" w:beforeLines="50" w:after="50"/>
        <w:ind w:firstLine="720" w:firstLineChars="225"/>
        <w:rPr>
          <w:rFonts w:ascii="宋体" w:hAnsi="宋体" w:cs="仿宋_GB2312"/>
          <w:bCs/>
          <w:color w:val="auto"/>
          <w:sz w:val="32"/>
          <w:szCs w:val="32"/>
          <w:highlight w:val="none"/>
        </w:rPr>
      </w:pPr>
      <w:r>
        <w:rPr>
          <w:rFonts w:hint="eastAsia" w:ascii="宋体" w:hAnsi="宋体" w:cs="仿宋_GB2312"/>
          <w:bCs/>
          <w:color w:val="auto"/>
          <w:sz w:val="32"/>
          <w:szCs w:val="32"/>
          <w:highlight w:val="none"/>
        </w:rPr>
        <w:t>供应商名称：</w:t>
      </w:r>
      <w:r>
        <w:rPr>
          <w:rFonts w:hint="eastAsia" w:ascii="宋体" w:hAnsi="宋体" w:cs="仿宋_GB2312"/>
          <w:bCs/>
          <w:color w:val="auto"/>
          <w:sz w:val="32"/>
          <w:szCs w:val="32"/>
          <w:highlight w:val="none"/>
          <w:u w:val="single"/>
        </w:rPr>
        <w:t xml:space="preserve">                         </w:t>
      </w:r>
      <w:r>
        <w:rPr>
          <w:rFonts w:hint="eastAsia" w:ascii="宋体" w:hAnsi="宋体" w:cs="仿宋_GB2312"/>
          <w:bCs/>
          <w:color w:val="auto"/>
          <w:sz w:val="32"/>
          <w:szCs w:val="32"/>
          <w:highlight w:val="none"/>
        </w:rPr>
        <w:t>（盖单位公章）</w:t>
      </w:r>
    </w:p>
    <w:p w14:paraId="40B11F34">
      <w:pPr>
        <w:snapToGrid w:val="0"/>
        <w:spacing w:before="120" w:beforeLines="50" w:after="50"/>
        <w:ind w:firstLine="720" w:firstLineChars="225"/>
        <w:rPr>
          <w:rFonts w:ascii="宋体" w:hAnsi="宋体" w:cs="仿宋_GB2312"/>
          <w:bCs/>
          <w:color w:val="auto"/>
          <w:sz w:val="32"/>
          <w:szCs w:val="32"/>
          <w:highlight w:val="none"/>
        </w:rPr>
      </w:pPr>
      <w:r>
        <w:rPr>
          <w:rFonts w:hint="eastAsia" w:ascii="宋体" w:hAnsi="宋体" w:cs="仿宋_GB2312"/>
          <w:bCs/>
          <w:color w:val="auto"/>
          <w:sz w:val="32"/>
          <w:szCs w:val="32"/>
          <w:highlight w:val="none"/>
        </w:rPr>
        <w:t>法定代表人或其委托代理人：</w:t>
      </w:r>
      <w:r>
        <w:rPr>
          <w:rFonts w:hint="eastAsia" w:ascii="宋体" w:hAnsi="宋体" w:cs="仿宋_GB2312"/>
          <w:bCs/>
          <w:color w:val="auto"/>
          <w:sz w:val="32"/>
          <w:szCs w:val="32"/>
          <w:highlight w:val="none"/>
          <w:u w:val="single"/>
        </w:rPr>
        <w:t xml:space="preserve">           </w:t>
      </w:r>
      <w:r>
        <w:rPr>
          <w:rFonts w:hint="eastAsia" w:ascii="宋体" w:hAnsi="宋体" w:cs="仿宋_GB2312"/>
          <w:bCs/>
          <w:color w:val="auto"/>
          <w:sz w:val="32"/>
          <w:szCs w:val="32"/>
          <w:highlight w:val="none"/>
        </w:rPr>
        <w:t>（签字）</w:t>
      </w:r>
    </w:p>
    <w:p w14:paraId="08622B40">
      <w:pPr>
        <w:snapToGrid w:val="0"/>
        <w:spacing w:before="120" w:beforeLines="50" w:after="50"/>
        <w:ind w:firstLine="720" w:firstLineChars="225"/>
        <w:rPr>
          <w:rFonts w:ascii="宋体" w:hAnsi="宋体" w:cs="仿宋_GB2312"/>
          <w:bCs/>
          <w:color w:val="auto"/>
          <w:sz w:val="32"/>
          <w:szCs w:val="32"/>
          <w:highlight w:val="none"/>
        </w:rPr>
      </w:pPr>
    </w:p>
    <w:p w14:paraId="35C82ADA">
      <w:pPr>
        <w:pStyle w:val="5"/>
        <w:snapToGrid w:val="0"/>
        <w:spacing w:before="50" w:after="50"/>
        <w:ind w:firstLine="720" w:firstLineChars="225"/>
        <w:rPr>
          <w:rFonts w:ascii="宋体" w:hAnsi="宋体" w:cs="仿宋_GB2312"/>
          <w:bCs/>
          <w:color w:val="auto"/>
          <w:sz w:val="32"/>
          <w:szCs w:val="32"/>
          <w:highlight w:val="none"/>
        </w:rPr>
      </w:pPr>
    </w:p>
    <w:p w14:paraId="3D35DCE8">
      <w:pPr>
        <w:pStyle w:val="5"/>
        <w:snapToGrid w:val="0"/>
        <w:spacing w:before="50" w:after="50"/>
        <w:ind w:firstLine="720" w:firstLineChars="225"/>
        <w:rPr>
          <w:rFonts w:ascii="宋体" w:hAnsi="宋体" w:cs="仿宋_GB2312"/>
          <w:bCs/>
          <w:color w:val="auto"/>
          <w:sz w:val="32"/>
          <w:szCs w:val="32"/>
          <w:highlight w:val="none"/>
        </w:rPr>
      </w:pPr>
    </w:p>
    <w:p w14:paraId="2E8087B6">
      <w:pPr>
        <w:pStyle w:val="5"/>
        <w:snapToGrid w:val="0"/>
        <w:spacing w:before="50" w:after="50"/>
        <w:ind w:firstLine="720" w:firstLineChars="225"/>
        <w:rPr>
          <w:rFonts w:ascii="宋体" w:hAnsi="宋体" w:cs="仿宋_GB2312"/>
          <w:bCs/>
          <w:color w:val="auto"/>
          <w:sz w:val="32"/>
          <w:szCs w:val="32"/>
          <w:highlight w:val="none"/>
        </w:rPr>
      </w:pPr>
    </w:p>
    <w:p w14:paraId="341C3B28">
      <w:pPr>
        <w:pStyle w:val="5"/>
        <w:snapToGrid w:val="0"/>
        <w:spacing w:before="50" w:after="50"/>
        <w:ind w:firstLine="1280" w:firstLineChars="400"/>
        <w:rPr>
          <w:rFonts w:ascii="宋体" w:hAnsi="宋体" w:cs="仿宋_GB2312"/>
          <w:bCs/>
          <w:color w:val="auto"/>
          <w:sz w:val="32"/>
          <w:szCs w:val="32"/>
          <w:highlight w:val="none"/>
        </w:rPr>
      </w:pPr>
    </w:p>
    <w:p w14:paraId="37996249">
      <w:pPr>
        <w:snapToGrid w:val="0"/>
        <w:spacing w:before="120" w:beforeLines="50" w:after="50"/>
        <w:jc w:val="center"/>
        <w:rPr>
          <w:rFonts w:ascii="宋体" w:hAnsi="宋体" w:cs="仿宋_GB2312"/>
          <w:color w:val="auto"/>
          <w:sz w:val="32"/>
          <w:szCs w:val="32"/>
          <w:highlight w:val="none"/>
        </w:rPr>
      </w:pPr>
      <w:r>
        <w:rPr>
          <w:rFonts w:hint="eastAsia" w:ascii="宋体" w:hAnsi="宋体" w:cs="仿宋_GB2312"/>
          <w:color w:val="auto"/>
          <w:sz w:val="32"/>
          <w:szCs w:val="32"/>
          <w:highlight w:val="none"/>
          <w:u w:val="single"/>
        </w:rPr>
        <w:t xml:space="preserve">      </w:t>
      </w:r>
      <w:r>
        <w:rPr>
          <w:rFonts w:hint="eastAsia" w:ascii="宋体" w:hAnsi="宋体" w:cs="仿宋_GB2312"/>
          <w:color w:val="auto"/>
          <w:sz w:val="32"/>
          <w:szCs w:val="32"/>
          <w:highlight w:val="none"/>
        </w:rPr>
        <w:t>年</w:t>
      </w:r>
      <w:r>
        <w:rPr>
          <w:rFonts w:hint="eastAsia" w:ascii="宋体" w:hAnsi="宋体" w:cs="仿宋_GB2312"/>
          <w:color w:val="auto"/>
          <w:sz w:val="32"/>
          <w:szCs w:val="32"/>
          <w:highlight w:val="none"/>
          <w:u w:val="single"/>
        </w:rPr>
        <w:t xml:space="preserve">    </w:t>
      </w:r>
      <w:r>
        <w:rPr>
          <w:rFonts w:hint="eastAsia" w:ascii="宋体" w:hAnsi="宋体" w:cs="仿宋_GB2312"/>
          <w:color w:val="auto"/>
          <w:sz w:val="32"/>
          <w:szCs w:val="32"/>
          <w:highlight w:val="none"/>
        </w:rPr>
        <w:t>月</w:t>
      </w:r>
      <w:r>
        <w:rPr>
          <w:rFonts w:hint="eastAsia" w:ascii="宋体" w:hAnsi="宋体" w:cs="仿宋_GB2312"/>
          <w:color w:val="auto"/>
          <w:sz w:val="32"/>
          <w:szCs w:val="32"/>
          <w:highlight w:val="none"/>
          <w:u w:val="single"/>
        </w:rPr>
        <w:t xml:space="preserve">    </w:t>
      </w:r>
      <w:r>
        <w:rPr>
          <w:rFonts w:hint="eastAsia" w:ascii="宋体" w:hAnsi="宋体" w:cs="仿宋_GB2312"/>
          <w:color w:val="auto"/>
          <w:sz w:val="32"/>
          <w:szCs w:val="32"/>
          <w:highlight w:val="none"/>
        </w:rPr>
        <w:t>日</w:t>
      </w:r>
    </w:p>
    <w:p w14:paraId="4621B798">
      <w:pPr>
        <w:snapToGrid w:val="0"/>
        <w:spacing w:before="120" w:beforeLines="50" w:after="50" w:line="360" w:lineRule="auto"/>
        <w:jc w:val="center"/>
        <w:outlineLvl w:val="1"/>
        <w:rPr>
          <w:rFonts w:ascii="宋体" w:hAnsi="宋体"/>
          <w:b/>
          <w:bCs/>
          <w:color w:val="auto"/>
          <w:sz w:val="36"/>
          <w:szCs w:val="36"/>
          <w:highlight w:val="none"/>
        </w:rPr>
      </w:pPr>
      <w:r>
        <w:rPr>
          <w:rFonts w:ascii="宋体" w:hAnsi="宋体"/>
          <w:color w:val="auto"/>
          <w:sz w:val="24"/>
          <w:highlight w:val="none"/>
        </w:rPr>
        <w:br w:type="page"/>
      </w:r>
      <w:bookmarkStart w:id="169" w:name="_Toc16677"/>
      <w:bookmarkStart w:id="170" w:name="_Toc19485"/>
      <w:bookmarkStart w:id="171" w:name="_Toc24563"/>
      <w:bookmarkStart w:id="172" w:name="_Toc13495"/>
      <w:bookmarkStart w:id="173" w:name="_Toc5241"/>
      <w:bookmarkStart w:id="174" w:name="_Toc28937"/>
      <w:bookmarkStart w:id="175" w:name="_Toc14424"/>
      <w:bookmarkStart w:id="176" w:name="_Toc5315"/>
      <w:bookmarkStart w:id="177" w:name="_Toc26440"/>
      <w:bookmarkStart w:id="178" w:name="_Toc30735"/>
      <w:bookmarkStart w:id="179" w:name="_Toc31133"/>
      <w:bookmarkStart w:id="180" w:name="_Toc26665"/>
      <w:bookmarkStart w:id="181" w:name="_Toc15878"/>
      <w:bookmarkStart w:id="182" w:name="_Toc13623"/>
      <w:bookmarkStart w:id="183" w:name="_Toc30697"/>
      <w:bookmarkStart w:id="184" w:name="_Toc25838"/>
      <w:bookmarkStart w:id="185" w:name="_Toc23403"/>
      <w:r>
        <w:rPr>
          <w:rFonts w:hint="eastAsia" w:ascii="宋体" w:hAnsi="宋体"/>
          <w:b/>
          <w:bCs/>
          <w:color w:val="auto"/>
          <w:sz w:val="36"/>
          <w:szCs w:val="36"/>
          <w:highlight w:val="none"/>
        </w:rPr>
        <w:t>目录</w:t>
      </w:r>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p>
    <w:p w14:paraId="614AA498">
      <w:pPr>
        <w:snapToGrid w:val="0"/>
        <w:spacing w:before="120" w:beforeLines="50" w:after="50"/>
        <w:rPr>
          <w:rFonts w:ascii="宋体" w:hAnsi="宋体"/>
          <w:color w:val="auto"/>
          <w:sz w:val="24"/>
          <w:szCs w:val="20"/>
          <w:highlight w:val="none"/>
        </w:rPr>
      </w:pPr>
    </w:p>
    <w:p w14:paraId="6DA1A672">
      <w:pPr>
        <w:snapToGrid w:val="0"/>
        <w:spacing w:before="120" w:beforeLines="50" w:after="50"/>
        <w:ind w:firstLine="480" w:firstLineChars="200"/>
        <w:rPr>
          <w:rFonts w:ascii="宋体" w:hAnsi="宋体"/>
          <w:color w:val="auto"/>
          <w:sz w:val="24"/>
          <w:szCs w:val="20"/>
          <w:highlight w:val="none"/>
        </w:rPr>
      </w:pPr>
      <w:r>
        <w:rPr>
          <w:rFonts w:hint="eastAsia" w:ascii="宋体" w:hAnsi="宋体"/>
          <w:color w:val="auto"/>
          <w:sz w:val="24"/>
          <w:szCs w:val="20"/>
          <w:highlight w:val="none"/>
        </w:rPr>
        <w:t>一、投标函</w:t>
      </w:r>
    </w:p>
    <w:p w14:paraId="1BE99042">
      <w:pPr>
        <w:snapToGrid w:val="0"/>
        <w:spacing w:before="120" w:beforeLines="50" w:after="50"/>
        <w:ind w:firstLine="480" w:firstLineChars="200"/>
        <w:rPr>
          <w:rFonts w:ascii="宋体" w:hAnsi="宋体"/>
          <w:color w:val="auto"/>
          <w:sz w:val="24"/>
          <w:szCs w:val="20"/>
          <w:highlight w:val="none"/>
        </w:rPr>
      </w:pPr>
      <w:r>
        <w:rPr>
          <w:rFonts w:hint="eastAsia" w:ascii="宋体" w:hAnsi="宋体"/>
          <w:color w:val="auto"/>
          <w:sz w:val="24"/>
          <w:szCs w:val="20"/>
          <w:highlight w:val="none"/>
        </w:rPr>
        <w:t>二、法定代表人身份证明（适用于无委托代理人的情况）</w:t>
      </w:r>
    </w:p>
    <w:p w14:paraId="2AA70503">
      <w:pPr>
        <w:snapToGrid w:val="0"/>
        <w:spacing w:before="120" w:beforeLines="50" w:after="50"/>
        <w:ind w:firstLine="480" w:firstLineChars="200"/>
        <w:rPr>
          <w:rFonts w:ascii="宋体" w:hAnsi="宋体"/>
          <w:color w:val="auto"/>
          <w:sz w:val="24"/>
          <w:szCs w:val="20"/>
          <w:highlight w:val="none"/>
        </w:rPr>
      </w:pPr>
      <w:r>
        <w:rPr>
          <w:rFonts w:hint="eastAsia" w:ascii="宋体" w:hAnsi="宋体"/>
          <w:color w:val="auto"/>
          <w:sz w:val="24"/>
          <w:szCs w:val="20"/>
          <w:highlight w:val="none"/>
        </w:rPr>
        <w:t>二、授权委托书（适用于有委托代理人的情况）</w:t>
      </w:r>
    </w:p>
    <w:p w14:paraId="4183113A">
      <w:pPr>
        <w:snapToGrid w:val="0"/>
        <w:spacing w:before="120" w:beforeLines="50" w:after="50"/>
        <w:ind w:firstLine="480" w:firstLineChars="200"/>
        <w:rPr>
          <w:rFonts w:ascii="宋体" w:hAnsi="宋体"/>
          <w:color w:val="auto"/>
          <w:sz w:val="24"/>
          <w:szCs w:val="20"/>
          <w:highlight w:val="none"/>
        </w:rPr>
      </w:pPr>
      <w:r>
        <w:rPr>
          <w:rFonts w:hint="eastAsia" w:ascii="宋体" w:hAnsi="宋体"/>
          <w:color w:val="auto"/>
          <w:sz w:val="24"/>
          <w:szCs w:val="20"/>
          <w:highlight w:val="none"/>
        </w:rPr>
        <w:t>三、报价清单</w:t>
      </w:r>
    </w:p>
    <w:p w14:paraId="00DAB573">
      <w:pPr>
        <w:snapToGrid w:val="0"/>
        <w:spacing w:before="120" w:beforeLines="50" w:after="50"/>
        <w:ind w:firstLine="480" w:firstLineChars="200"/>
        <w:rPr>
          <w:rFonts w:ascii="宋体" w:hAnsi="宋体"/>
          <w:color w:val="auto"/>
          <w:sz w:val="24"/>
          <w:szCs w:val="20"/>
          <w:highlight w:val="none"/>
        </w:rPr>
      </w:pPr>
      <w:r>
        <w:rPr>
          <w:rFonts w:hint="eastAsia" w:ascii="宋体" w:hAnsi="宋体"/>
          <w:color w:val="auto"/>
          <w:sz w:val="24"/>
          <w:szCs w:val="20"/>
          <w:highlight w:val="none"/>
        </w:rPr>
        <w:t>四、资格审查资料</w:t>
      </w:r>
    </w:p>
    <w:p w14:paraId="6342BB23">
      <w:pPr>
        <w:snapToGrid w:val="0"/>
        <w:spacing w:before="120" w:beforeLines="50" w:after="50"/>
        <w:ind w:firstLine="480" w:firstLineChars="200"/>
        <w:rPr>
          <w:rFonts w:ascii="宋体" w:hAnsi="宋体"/>
          <w:color w:val="auto"/>
          <w:sz w:val="24"/>
          <w:szCs w:val="20"/>
          <w:highlight w:val="none"/>
        </w:rPr>
      </w:pPr>
      <w:r>
        <w:rPr>
          <w:rFonts w:hint="eastAsia" w:ascii="宋体" w:hAnsi="宋体"/>
          <w:color w:val="auto"/>
          <w:sz w:val="24"/>
          <w:szCs w:val="20"/>
          <w:highlight w:val="none"/>
        </w:rPr>
        <w:t>(一)投标人基本情况表</w:t>
      </w:r>
    </w:p>
    <w:p w14:paraId="6BEA6655">
      <w:pPr>
        <w:snapToGrid w:val="0"/>
        <w:spacing w:before="120" w:beforeLines="50" w:after="50"/>
        <w:ind w:firstLine="480" w:firstLineChars="200"/>
        <w:rPr>
          <w:rFonts w:ascii="宋体" w:hAnsi="宋体"/>
          <w:color w:val="auto"/>
          <w:sz w:val="24"/>
          <w:szCs w:val="20"/>
          <w:highlight w:val="none"/>
        </w:rPr>
      </w:pPr>
      <w:r>
        <w:rPr>
          <w:rFonts w:hint="eastAsia" w:ascii="宋体" w:hAnsi="宋体"/>
          <w:color w:val="auto"/>
          <w:sz w:val="24"/>
          <w:szCs w:val="20"/>
          <w:highlight w:val="none"/>
        </w:rPr>
        <w:t>(二)近年的业绩证明文件</w:t>
      </w:r>
    </w:p>
    <w:p w14:paraId="686FA126">
      <w:pPr>
        <w:snapToGrid w:val="0"/>
        <w:spacing w:before="120" w:beforeLines="50" w:after="50"/>
        <w:ind w:firstLine="480" w:firstLineChars="200"/>
        <w:rPr>
          <w:rFonts w:ascii="宋体" w:hAnsi="宋体"/>
          <w:color w:val="auto"/>
          <w:sz w:val="24"/>
          <w:szCs w:val="20"/>
          <w:highlight w:val="none"/>
        </w:rPr>
      </w:pPr>
      <w:r>
        <w:rPr>
          <w:rFonts w:hint="eastAsia" w:ascii="宋体" w:hAnsi="宋体"/>
          <w:color w:val="auto"/>
          <w:sz w:val="24"/>
          <w:szCs w:val="20"/>
          <w:highlight w:val="none"/>
        </w:rPr>
        <w:t>(三)供应商信用及守法证明材料</w:t>
      </w:r>
    </w:p>
    <w:p w14:paraId="6A917961">
      <w:pPr>
        <w:snapToGrid w:val="0"/>
        <w:spacing w:before="120" w:beforeLines="50" w:after="50"/>
        <w:ind w:firstLine="480" w:firstLineChars="200"/>
        <w:rPr>
          <w:rFonts w:ascii="宋体" w:hAnsi="宋体"/>
          <w:color w:val="auto"/>
          <w:sz w:val="24"/>
          <w:szCs w:val="20"/>
          <w:highlight w:val="none"/>
        </w:rPr>
      </w:pPr>
      <w:r>
        <w:rPr>
          <w:rFonts w:hint="eastAsia" w:ascii="宋体" w:hAnsi="宋体"/>
          <w:color w:val="auto"/>
          <w:sz w:val="24"/>
          <w:szCs w:val="20"/>
          <w:highlight w:val="none"/>
        </w:rPr>
        <w:t>(四)拟投入的主要人员表</w:t>
      </w:r>
    </w:p>
    <w:p w14:paraId="67DD5C21">
      <w:pPr>
        <w:snapToGrid w:val="0"/>
        <w:spacing w:before="120" w:beforeLines="50" w:after="50"/>
        <w:ind w:firstLine="480" w:firstLineChars="200"/>
        <w:rPr>
          <w:rFonts w:ascii="宋体" w:hAnsi="宋体"/>
          <w:color w:val="auto"/>
          <w:sz w:val="24"/>
          <w:szCs w:val="20"/>
          <w:highlight w:val="none"/>
        </w:rPr>
      </w:pPr>
      <w:r>
        <w:rPr>
          <w:rFonts w:hint="eastAsia" w:ascii="宋体" w:hAnsi="宋体"/>
          <w:color w:val="auto"/>
          <w:sz w:val="24"/>
          <w:szCs w:val="20"/>
          <w:highlight w:val="none"/>
        </w:rPr>
        <w:t>五、</w:t>
      </w:r>
      <w:r>
        <w:rPr>
          <w:rFonts w:hint="eastAsia" w:ascii="宋体" w:hAnsi="宋体"/>
          <w:color w:val="auto"/>
          <w:sz w:val="24"/>
          <w:szCs w:val="20"/>
          <w:highlight w:val="none"/>
          <w:lang w:eastAsia="zh-CN"/>
        </w:rPr>
        <w:t>评价</w:t>
      </w:r>
      <w:r>
        <w:rPr>
          <w:rFonts w:hint="eastAsia" w:ascii="宋体" w:hAnsi="宋体"/>
          <w:color w:val="auto"/>
          <w:sz w:val="24"/>
          <w:szCs w:val="20"/>
          <w:highlight w:val="none"/>
        </w:rPr>
        <w:t>方案</w:t>
      </w:r>
    </w:p>
    <w:p w14:paraId="3633D862">
      <w:pPr>
        <w:snapToGrid w:val="0"/>
        <w:spacing w:before="120" w:beforeLines="50" w:after="50"/>
        <w:ind w:firstLine="480" w:firstLineChars="200"/>
        <w:rPr>
          <w:rFonts w:hint="eastAsia" w:ascii="宋体" w:hAnsi="宋体" w:eastAsia="宋体"/>
          <w:color w:val="auto"/>
          <w:sz w:val="24"/>
          <w:szCs w:val="20"/>
          <w:highlight w:val="none"/>
          <w:lang w:eastAsia="zh-CN"/>
        </w:rPr>
      </w:pPr>
      <w:r>
        <w:rPr>
          <w:rFonts w:hint="eastAsia" w:ascii="宋体" w:hAnsi="宋体"/>
          <w:color w:val="auto"/>
          <w:sz w:val="24"/>
          <w:szCs w:val="20"/>
          <w:highlight w:val="none"/>
          <w:lang w:eastAsia="zh-CN"/>
        </w:rPr>
        <w:t>六、质保期服务计划</w:t>
      </w:r>
    </w:p>
    <w:p w14:paraId="79B2A09A">
      <w:pPr>
        <w:snapToGrid w:val="0"/>
        <w:spacing w:before="120" w:beforeLines="50" w:after="50"/>
        <w:ind w:firstLine="480" w:firstLineChars="200"/>
        <w:rPr>
          <w:rFonts w:ascii="宋体" w:hAnsi="宋体"/>
          <w:color w:val="auto"/>
          <w:sz w:val="24"/>
          <w:szCs w:val="20"/>
          <w:highlight w:val="none"/>
        </w:rPr>
      </w:pPr>
      <w:r>
        <w:rPr>
          <w:rFonts w:hint="eastAsia" w:ascii="宋体" w:hAnsi="宋体"/>
          <w:color w:val="auto"/>
          <w:sz w:val="24"/>
          <w:szCs w:val="20"/>
          <w:highlight w:val="none"/>
          <w:lang w:eastAsia="zh-CN"/>
        </w:rPr>
        <w:t>七</w:t>
      </w:r>
      <w:r>
        <w:rPr>
          <w:rFonts w:hint="eastAsia" w:ascii="宋体" w:hAnsi="宋体"/>
          <w:color w:val="auto"/>
          <w:sz w:val="24"/>
          <w:szCs w:val="20"/>
          <w:highlight w:val="none"/>
        </w:rPr>
        <w:t>、其他资料</w:t>
      </w:r>
    </w:p>
    <w:p w14:paraId="030A5F1C">
      <w:pPr>
        <w:spacing w:line="300" w:lineRule="auto"/>
        <w:rPr>
          <w:rFonts w:ascii="宋体" w:hAnsi="宋体"/>
          <w:color w:val="auto"/>
          <w:szCs w:val="21"/>
          <w:highlight w:val="none"/>
        </w:rPr>
      </w:pPr>
    </w:p>
    <w:p w14:paraId="0A014649">
      <w:pPr>
        <w:spacing w:line="300" w:lineRule="auto"/>
        <w:rPr>
          <w:rFonts w:ascii="宋体" w:hAnsi="宋体"/>
          <w:color w:val="auto"/>
          <w:szCs w:val="21"/>
          <w:highlight w:val="none"/>
        </w:rPr>
      </w:pPr>
    </w:p>
    <w:p w14:paraId="60EE60F1">
      <w:pPr>
        <w:spacing w:line="300" w:lineRule="auto"/>
        <w:rPr>
          <w:rFonts w:ascii="宋体" w:hAnsi="宋体"/>
          <w:color w:val="auto"/>
          <w:szCs w:val="21"/>
          <w:highlight w:val="none"/>
        </w:rPr>
      </w:pPr>
    </w:p>
    <w:p w14:paraId="12E6A4BD">
      <w:pPr>
        <w:spacing w:line="300" w:lineRule="auto"/>
        <w:rPr>
          <w:rFonts w:ascii="宋体" w:hAnsi="宋体"/>
          <w:color w:val="auto"/>
          <w:szCs w:val="21"/>
          <w:highlight w:val="none"/>
        </w:rPr>
      </w:pPr>
    </w:p>
    <w:p w14:paraId="1FC873C1">
      <w:pPr>
        <w:jc w:val="center"/>
        <w:outlineLvl w:val="1"/>
        <w:rPr>
          <w:rFonts w:ascii="黑体" w:hAnsi="黑体" w:eastAsia="黑体" w:cs="黑体"/>
          <w:color w:val="auto"/>
          <w:sz w:val="36"/>
          <w:szCs w:val="36"/>
          <w:highlight w:val="none"/>
        </w:rPr>
      </w:pPr>
      <w:r>
        <w:rPr>
          <w:rFonts w:ascii="宋体" w:hAnsi="宋体"/>
          <w:color w:val="auto"/>
          <w:szCs w:val="21"/>
          <w:highlight w:val="none"/>
        </w:rPr>
        <w:br w:type="page"/>
      </w:r>
      <w:bookmarkStart w:id="186" w:name="_Toc10457"/>
      <w:bookmarkStart w:id="187" w:name="_Toc32689"/>
      <w:bookmarkStart w:id="188" w:name="_Toc31846"/>
      <w:bookmarkStart w:id="189" w:name="_Toc1292"/>
      <w:bookmarkStart w:id="190" w:name="_Toc1932"/>
      <w:bookmarkStart w:id="191" w:name="_Toc12166"/>
      <w:bookmarkStart w:id="192" w:name="_Toc1093"/>
      <w:bookmarkStart w:id="193" w:name="_Toc1714"/>
      <w:bookmarkStart w:id="194" w:name="_Toc26818"/>
      <w:bookmarkStart w:id="195" w:name="_Toc29629"/>
      <w:bookmarkStart w:id="196" w:name="_Toc5505"/>
      <w:bookmarkStart w:id="197" w:name="_Toc26409"/>
      <w:bookmarkStart w:id="198" w:name="_Toc12749"/>
      <w:bookmarkStart w:id="199" w:name="_Toc27795"/>
      <w:bookmarkStart w:id="200" w:name="_Toc16202"/>
      <w:bookmarkStart w:id="201" w:name="_Toc30651"/>
      <w:bookmarkStart w:id="202" w:name="_Toc13574"/>
      <w:r>
        <w:rPr>
          <w:rFonts w:hint="eastAsia" w:ascii="黑体" w:hAnsi="黑体" w:eastAsia="黑体" w:cs="黑体"/>
          <w:color w:val="auto"/>
          <w:sz w:val="36"/>
          <w:szCs w:val="36"/>
          <w:highlight w:val="none"/>
        </w:rPr>
        <w:t>一、投标函</w:t>
      </w:r>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p>
    <w:p w14:paraId="4F23C989">
      <w:pPr>
        <w:spacing w:line="320" w:lineRule="exact"/>
        <w:jc w:val="center"/>
        <w:rPr>
          <w:rFonts w:ascii="宋体" w:hAnsi="宋体"/>
          <w:b/>
          <w:color w:val="auto"/>
          <w:sz w:val="32"/>
          <w:szCs w:val="32"/>
          <w:highlight w:val="none"/>
        </w:rPr>
      </w:pPr>
    </w:p>
    <w:p w14:paraId="27D30725">
      <w:pPr>
        <w:jc w:val="center"/>
        <w:rPr>
          <w:rFonts w:ascii="宋体" w:hAnsi="宋体"/>
          <w:b/>
          <w:color w:val="auto"/>
          <w:sz w:val="32"/>
          <w:szCs w:val="32"/>
          <w:highlight w:val="none"/>
        </w:rPr>
      </w:pPr>
      <w:r>
        <w:rPr>
          <w:rFonts w:hint="eastAsia" w:ascii="宋体" w:hAnsi="宋体"/>
          <w:b/>
          <w:color w:val="auto"/>
          <w:sz w:val="32"/>
          <w:szCs w:val="32"/>
          <w:highlight w:val="none"/>
        </w:rPr>
        <w:t>投标函</w:t>
      </w:r>
    </w:p>
    <w:p w14:paraId="4706E6C2">
      <w:pPr>
        <w:spacing w:line="320" w:lineRule="exact"/>
        <w:jc w:val="center"/>
        <w:rPr>
          <w:rFonts w:ascii="宋体" w:hAnsi="宋体"/>
          <w:color w:val="auto"/>
          <w:sz w:val="24"/>
          <w:szCs w:val="20"/>
          <w:highlight w:val="none"/>
        </w:rPr>
      </w:pPr>
    </w:p>
    <w:p w14:paraId="25A07742">
      <w:pPr>
        <w:spacing w:line="360" w:lineRule="auto"/>
        <w:contextualSpacing/>
        <w:rPr>
          <w:rFonts w:ascii="宋体" w:hAnsi="宋体" w:cs="宋体"/>
          <w:color w:val="auto"/>
          <w:sz w:val="24"/>
          <w:highlight w:val="none"/>
        </w:rPr>
      </w:pPr>
      <w:r>
        <w:rPr>
          <w:rFonts w:hint="eastAsia" w:ascii="宋体" w:hAnsi="宋体" w:cs="宋体"/>
          <w:color w:val="auto"/>
          <w:sz w:val="24"/>
          <w:highlight w:val="none"/>
          <w:u w:val="single"/>
          <w:lang w:eastAsia="zh-CN"/>
        </w:rPr>
        <w:t>广西壮族自治区水运发展中心</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w:t>
      </w:r>
    </w:p>
    <w:p w14:paraId="34143A41">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1.我方已仔细研究了</w:t>
      </w:r>
      <w:r>
        <w:rPr>
          <w:rFonts w:hint="eastAsia" w:ascii="宋体" w:hAnsi="宋体" w:cs="宋体"/>
          <w:color w:val="auto"/>
          <w:sz w:val="24"/>
          <w:highlight w:val="none"/>
          <w:u w:val="single"/>
        </w:rPr>
        <w:t xml:space="preserve"> </w:t>
      </w:r>
      <w:r>
        <w:rPr>
          <w:rFonts w:hint="eastAsia" w:ascii="宋体" w:hAnsi="宋体" w:cs="宋体"/>
          <w:bCs/>
          <w:color w:val="auto"/>
          <w:sz w:val="24"/>
          <w:highlight w:val="none"/>
          <w:u w:val="single"/>
        </w:rPr>
        <w:t>红水河（曹渡河口至桥巩）三级航道</w:t>
      </w:r>
      <w:r>
        <w:rPr>
          <w:rFonts w:hint="eastAsia" w:ascii="宋体" w:hAnsi="宋体" w:cs="宋体"/>
          <w:bCs/>
          <w:color w:val="auto"/>
          <w:sz w:val="24"/>
          <w:highlight w:val="none"/>
          <w:u w:val="single"/>
          <w:lang w:eastAsia="zh-CN"/>
        </w:rPr>
        <w:t>工程对广西忻城乐滩国家湿地公园生态影响评价服务</w:t>
      </w:r>
      <w:r>
        <w:rPr>
          <w:rFonts w:hint="eastAsia" w:ascii="宋体" w:hAnsi="宋体" w:cs="宋体"/>
          <w:bCs/>
          <w:color w:val="auto"/>
          <w:sz w:val="24"/>
          <w:highlight w:val="none"/>
          <w:u w:val="single"/>
          <w:lang w:val="en-US" w:eastAsia="zh-CN"/>
        </w:rPr>
        <w:t xml:space="preserve"> </w:t>
      </w:r>
      <w:r>
        <w:rPr>
          <w:rFonts w:hint="eastAsia" w:ascii="宋体" w:hAnsi="宋体" w:cs="宋体"/>
          <w:bCs/>
          <w:color w:val="auto"/>
          <w:sz w:val="24"/>
          <w:highlight w:val="none"/>
          <w:u w:val="none"/>
          <w:lang w:eastAsia="zh-CN"/>
        </w:rPr>
        <w:t>采购文件的全部内容</w:t>
      </w:r>
      <w:r>
        <w:rPr>
          <w:rFonts w:hint="eastAsia" w:ascii="宋体" w:hAnsi="宋体" w:cs="宋体"/>
          <w:color w:val="auto"/>
          <w:sz w:val="24"/>
          <w:highlight w:val="none"/>
        </w:rPr>
        <w:t>，愿意以人民币（大写）</w:t>
      </w:r>
      <w:r>
        <w:rPr>
          <w:rFonts w:hint="eastAsia" w:ascii="宋体" w:hAnsi="宋体" w:cs="宋体"/>
          <w:color w:val="auto"/>
          <w:sz w:val="24"/>
          <w:highlight w:val="none"/>
          <w:u w:val="single"/>
        </w:rPr>
        <w:t xml:space="preserve">             （¥               ）</w:t>
      </w:r>
      <w:r>
        <w:rPr>
          <w:rFonts w:hint="eastAsia" w:ascii="宋体" w:hAnsi="宋体" w:cs="宋体"/>
          <w:color w:val="auto"/>
          <w:sz w:val="24"/>
          <w:highlight w:val="none"/>
        </w:rPr>
        <w:t>的投标总报价（其中，增值税税率为</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），工期：</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日历天，按合同约定完成</w:t>
      </w:r>
      <w:r>
        <w:rPr>
          <w:rFonts w:hint="eastAsia" w:ascii="宋体" w:hAnsi="宋体" w:cs="宋体"/>
          <w:color w:val="auto"/>
          <w:sz w:val="24"/>
          <w:highlight w:val="none"/>
          <w:lang w:eastAsia="zh-CN"/>
        </w:rPr>
        <w:t>项目影响评价</w:t>
      </w:r>
      <w:r>
        <w:rPr>
          <w:rFonts w:hint="eastAsia" w:ascii="宋体" w:hAnsi="宋体" w:cs="宋体"/>
          <w:color w:val="auto"/>
          <w:sz w:val="24"/>
          <w:highlight w:val="none"/>
        </w:rPr>
        <w:t>工作</w:t>
      </w:r>
      <w:r>
        <w:rPr>
          <w:rFonts w:hint="eastAsia" w:ascii="宋体" w:hAnsi="宋体" w:cs="宋体"/>
          <w:color w:val="auto"/>
          <w:sz w:val="24"/>
          <w:highlight w:val="none"/>
          <w:lang w:eastAsia="zh-CN"/>
        </w:rPr>
        <w:t>，并提供质保期服务</w:t>
      </w:r>
      <w:r>
        <w:rPr>
          <w:rFonts w:hint="eastAsia" w:ascii="宋体" w:hAnsi="宋体" w:cs="宋体"/>
          <w:color w:val="auto"/>
          <w:sz w:val="24"/>
          <w:highlight w:val="none"/>
        </w:rPr>
        <w:t>。</w:t>
      </w:r>
    </w:p>
    <w:p w14:paraId="4651286E">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2.我方的响应文件包括下列内容：：</w:t>
      </w:r>
    </w:p>
    <w:p w14:paraId="4D9CE094">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（1）投标函；</w:t>
      </w:r>
    </w:p>
    <w:p w14:paraId="2B5E26BA">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（2）法定代表人身份证明或授权委托书；</w:t>
      </w:r>
    </w:p>
    <w:p w14:paraId="7592CA68">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（3）报价清单；</w:t>
      </w:r>
    </w:p>
    <w:p w14:paraId="08739605">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（4）资格审查资料；</w:t>
      </w:r>
    </w:p>
    <w:p w14:paraId="7A98833B">
      <w:pPr>
        <w:spacing w:line="360" w:lineRule="auto"/>
        <w:ind w:firstLine="480" w:firstLineChars="200"/>
        <w:contextualSpacing/>
        <w:rPr>
          <w:rFonts w:hint="eastAsia" w:ascii="宋体" w:hAnsi="宋体" w:eastAsia="宋体" w:cs="宋体"/>
          <w:color w:val="auto"/>
          <w:sz w:val="24"/>
          <w:highlight w:val="none"/>
          <w:lang w:eastAsia="zh-CN"/>
        </w:rPr>
      </w:pPr>
      <w:r>
        <w:rPr>
          <w:rFonts w:hint="eastAsia" w:ascii="宋体" w:hAnsi="宋体" w:cs="宋体"/>
          <w:color w:val="auto"/>
          <w:sz w:val="24"/>
          <w:highlight w:val="none"/>
        </w:rPr>
        <w:t>（5）</w:t>
      </w:r>
      <w:r>
        <w:rPr>
          <w:rFonts w:hint="eastAsia" w:ascii="宋体" w:hAnsi="宋体" w:cs="宋体"/>
          <w:color w:val="auto"/>
          <w:sz w:val="24"/>
          <w:highlight w:val="none"/>
          <w:lang w:eastAsia="zh-CN"/>
        </w:rPr>
        <w:t>评价</w:t>
      </w:r>
      <w:r>
        <w:rPr>
          <w:rFonts w:hint="eastAsia" w:ascii="宋体" w:hAnsi="宋体" w:cs="宋体"/>
          <w:color w:val="auto"/>
          <w:sz w:val="24"/>
          <w:highlight w:val="none"/>
        </w:rPr>
        <w:t>方案</w:t>
      </w:r>
      <w:r>
        <w:rPr>
          <w:rFonts w:hint="eastAsia" w:ascii="宋体" w:hAnsi="宋体" w:cs="宋体"/>
          <w:color w:val="auto"/>
          <w:sz w:val="24"/>
          <w:highlight w:val="none"/>
          <w:lang w:eastAsia="zh-CN"/>
        </w:rPr>
        <w:t>；</w:t>
      </w:r>
    </w:p>
    <w:p w14:paraId="51827505">
      <w:pPr>
        <w:spacing w:line="360" w:lineRule="auto"/>
        <w:ind w:firstLine="480" w:firstLineChars="200"/>
        <w:contextualSpacing/>
        <w:rPr>
          <w:rFonts w:hint="eastAsia" w:ascii="宋体" w:hAnsi="宋体" w:eastAsia="宋体" w:cs="宋体"/>
          <w:color w:val="auto"/>
          <w:sz w:val="24"/>
          <w:highlight w:val="none"/>
          <w:lang w:eastAsia="zh-CN"/>
        </w:rPr>
      </w:pPr>
      <w:r>
        <w:rPr>
          <w:rFonts w:hint="eastAsia" w:ascii="宋体" w:hAnsi="宋体" w:cs="宋体"/>
          <w:color w:val="auto"/>
          <w:sz w:val="24"/>
          <w:highlight w:val="none"/>
          <w:lang w:eastAsia="zh-CN"/>
        </w:rPr>
        <w:t>（</w:t>
      </w:r>
      <w:r>
        <w:rPr>
          <w:rFonts w:hint="eastAsia" w:ascii="宋体" w:hAnsi="宋体" w:cs="宋体"/>
          <w:color w:val="auto"/>
          <w:sz w:val="24"/>
          <w:highlight w:val="none"/>
          <w:lang w:val="en-US" w:eastAsia="zh-CN"/>
        </w:rPr>
        <w:t>6</w:t>
      </w:r>
      <w:r>
        <w:rPr>
          <w:rFonts w:hint="eastAsia" w:ascii="宋体" w:hAnsi="宋体" w:cs="宋体"/>
          <w:color w:val="auto"/>
          <w:sz w:val="24"/>
          <w:highlight w:val="none"/>
          <w:lang w:eastAsia="zh-CN"/>
        </w:rPr>
        <w:t>）</w:t>
      </w:r>
      <w:r>
        <w:rPr>
          <w:rFonts w:hint="eastAsia" w:ascii="宋体" w:hAnsi="宋体" w:cs="宋体"/>
          <w:color w:val="auto"/>
          <w:sz w:val="24"/>
          <w:highlight w:val="none"/>
        </w:rPr>
        <w:t>质保期服务计划</w:t>
      </w:r>
      <w:r>
        <w:rPr>
          <w:rFonts w:hint="eastAsia" w:ascii="宋体" w:hAnsi="宋体" w:cs="宋体"/>
          <w:color w:val="auto"/>
          <w:sz w:val="24"/>
          <w:highlight w:val="none"/>
          <w:lang w:eastAsia="zh-CN"/>
        </w:rPr>
        <w:t>。</w:t>
      </w:r>
    </w:p>
    <w:p w14:paraId="594D6233">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响应文件的上述组成部分如存在内容不一致的，以投标函为准。</w:t>
      </w:r>
    </w:p>
    <w:p w14:paraId="4D7F332E">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3.我方承诺在采购文件规定的投标有效期内不撤销响应文件。</w:t>
      </w:r>
    </w:p>
    <w:p w14:paraId="5BB65173">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4.如我方中标，我方承诺：</w:t>
      </w:r>
    </w:p>
    <w:p w14:paraId="6EF54532">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（1）在收到中标通知书后，在中标通知书规定的期限内与你方签订合同；</w:t>
      </w:r>
    </w:p>
    <w:p w14:paraId="1B451348">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（2）在签订合同时不向你方提出附加条件；</w:t>
      </w:r>
    </w:p>
    <w:p w14:paraId="61CB768F">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（3）在合同约定的期限内完成合同规定的全部义务。</w:t>
      </w:r>
    </w:p>
    <w:p w14:paraId="11B9D9A8">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5.我方在此声明，所递交的响应文件及有关资料内容完整、真实和准确。</w:t>
      </w:r>
    </w:p>
    <w:p w14:paraId="0FD88A2D">
      <w:pPr>
        <w:pStyle w:val="13"/>
        <w:tabs>
          <w:tab w:val="left" w:pos="939"/>
        </w:tabs>
        <w:spacing w:line="360" w:lineRule="auto"/>
        <w:ind w:left="0" w:leftChars="0" w:firstLine="480" w:firstLineChars="200"/>
        <w:rPr>
          <w:rFonts w:hint="default" w:ascii="宋体" w:hAnsi="宋体" w:eastAsia="宋体" w:cs="宋体"/>
          <w:color w:val="auto"/>
          <w:sz w:val="24"/>
          <w:highlight w:val="none"/>
          <w:lang w:val="en-US" w:eastAsia="zh-CN"/>
        </w:rPr>
      </w:pPr>
      <w:r>
        <w:rPr>
          <w:rFonts w:hint="eastAsia" w:ascii="宋体" w:hAnsi="宋体" w:cs="宋体"/>
          <w:color w:val="auto"/>
          <w:sz w:val="24"/>
          <w:highlight w:val="none"/>
          <w:lang w:val="en-US" w:eastAsia="zh-CN"/>
        </w:rPr>
        <w:t>6.项目负责人姓名：</w:t>
      </w:r>
    </w:p>
    <w:p w14:paraId="3F307FBE">
      <w:pPr>
        <w:pStyle w:val="5"/>
        <w:overflowPunct w:val="0"/>
        <w:spacing w:line="520" w:lineRule="exact"/>
        <w:ind w:firstLine="0"/>
        <w:jc w:val="center"/>
        <w:rPr>
          <w:rFonts w:hint="eastAsia"/>
          <w:color w:val="auto"/>
          <w:sz w:val="24"/>
          <w:highlight w:val="none"/>
        </w:rPr>
      </w:pPr>
    </w:p>
    <w:p w14:paraId="741EA3AF">
      <w:pPr>
        <w:pStyle w:val="5"/>
        <w:overflowPunct w:val="0"/>
        <w:spacing w:line="520" w:lineRule="exact"/>
        <w:ind w:firstLine="0"/>
        <w:jc w:val="center"/>
        <w:rPr>
          <w:color w:val="auto"/>
          <w:sz w:val="24"/>
          <w:highlight w:val="none"/>
        </w:rPr>
      </w:pPr>
      <w:r>
        <w:rPr>
          <w:rFonts w:hint="eastAsia"/>
          <w:color w:val="auto"/>
          <w:sz w:val="24"/>
          <w:highlight w:val="none"/>
        </w:rPr>
        <w:t>供应商名称：</w:t>
      </w:r>
      <w:r>
        <w:rPr>
          <w:rFonts w:hint="eastAsia"/>
          <w:color w:val="auto"/>
          <w:sz w:val="24"/>
          <w:highlight w:val="none"/>
          <w:u w:val="single"/>
        </w:rPr>
        <w:t xml:space="preserve">                         </w:t>
      </w:r>
      <w:r>
        <w:rPr>
          <w:rFonts w:hint="eastAsia"/>
          <w:color w:val="auto"/>
          <w:sz w:val="24"/>
          <w:highlight w:val="none"/>
        </w:rPr>
        <w:t>（盖单位公章）</w:t>
      </w:r>
    </w:p>
    <w:p w14:paraId="4FE2CECE">
      <w:pPr>
        <w:pStyle w:val="5"/>
        <w:overflowPunct w:val="0"/>
        <w:spacing w:line="520" w:lineRule="exact"/>
        <w:ind w:firstLine="1478" w:firstLineChars="616"/>
        <w:rPr>
          <w:color w:val="auto"/>
          <w:sz w:val="24"/>
          <w:highlight w:val="none"/>
        </w:rPr>
      </w:pPr>
      <w:r>
        <w:rPr>
          <w:rFonts w:hint="eastAsia"/>
          <w:color w:val="auto"/>
          <w:sz w:val="24"/>
          <w:highlight w:val="none"/>
        </w:rPr>
        <w:t>法定代表人或其委托代理人：</w:t>
      </w:r>
      <w:r>
        <w:rPr>
          <w:rFonts w:hint="eastAsia"/>
          <w:color w:val="auto"/>
          <w:sz w:val="24"/>
          <w:highlight w:val="none"/>
          <w:u w:val="single"/>
        </w:rPr>
        <w:t xml:space="preserve">           </w:t>
      </w:r>
      <w:r>
        <w:rPr>
          <w:rFonts w:hint="eastAsia"/>
          <w:color w:val="auto"/>
          <w:sz w:val="24"/>
          <w:highlight w:val="none"/>
        </w:rPr>
        <w:t>（签字）</w:t>
      </w:r>
    </w:p>
    <w:p w14:paraId="31396F6C">
      <w:pPr>
        <w:pStyle w:val="5"/>
        <w:overflowPunct w:val="0"/>
        <w:spacing w:line="520" w:lineRule="exact"/>
        <w:ind w:firstLine="3998" w:firstLineChars="1666"/>
        <w:rPr>
          <w:color w:val="auto"/>
          <w:sz w:val="24"/>
          <w:highlight w:val="none"/>
        </w:rPr>
      </w:pPr>
      <w:r>
        <w:rPr>
          <w:rFonts w:hint="eastAsia"/>
          <w:color w:val="auto"/>
          <w:sz w:val="24"/>
          <w:highlight w:val="none"/>
          <w:u w:val="single"/>
        </w:rPr>
        <w:t xml:space="preserve">      </w:t>
      </w:r>
      <w:r>
        <w:rPr>
          <w:rFonts w:hint="eastAsia"/>
          <w:color w:val="auto"/>
          <w:sz w:val="24"/>
          <w:highlight w:val="none"/>
        </w:rPr>
        <w:t>年</w:t>
      </w:r>
      <w:r>
        <w:rPr>
          <w:rFonts w:hint="eastAsia"/>
          <w:color w:val="auto"/>
          <w:sz w:val="24"/>
          <w:highlight w:val="none"/>
          <w:u w:val="single"/>
        </w:rPr>
        <w:t xml:space="preserve">    </w:t>
      </w:r>
      <w:r>
        <w:rPr>
          <w:rFonts w:hint="eastAsia"/>
          <w:color w:val="auto"/>
          <w:sz w:val="24"/>
          <w:highlight w:val="none"/>
        </w:rPr>
        <w:t>月</w:t>
      </w:r>
      <w:r>
        <w:rPr>
          <w:rFonts w:hint="eastAsia"/>
          <w:color w:val="auto"/>
          <w:sz w:val="24"/>
          <w:highlight w:val="none"/>
          <w:u w:val="single"/>
        </w:rPr>
        <w:t xml:space="preserve">    </w:t>
      </w:r>
      <w:r>
        <w:rPr>
          <w:rFonts w:hint="eastAsia"/>
          <w:color w:val="auto"/>
          <w:sz w:val="24"/>
          <w:highlight w:val="none"/>
        </w:rPr>
        <w:t>日</w:t>
      </w:r>
    </w:p>
    <w:p w14:paraId="097F88C1">
      <w:pPr>
        <w:rPr>
          <w:rFonts w:ascii="宋体" w:hAnsi="宋体" w:cs="仿宋_GB2312"/>
          <w:color w:val="auto"/>
          <w:sz w:val="24"/>
          <w:highlight w:val="none"/>
        </w:rPr>
      </w:pPr>
      <w:r>
        <w:rPr>
          <w:rFonts w:hint="eastAsia" w:ascii="宋体" w:hAnsi="宋体" w:cs="仿宋_GB2312"/>
          <w:color w:val="auto"/>
          <w:sz w:val="24"/>
          <w:highlight w:val="none"/>
        </w:rPr>
        <w:br w:type="page"/>
      </w:r>
    </w:p>
    <w:p w14:paraId="6656C914">
      <w:pPr>
        <w:snapToGrid w:val="0"/>
        <w:spacing w:line="360" w:lineRule="auto"/>
        <w:jc w:val="center"/>
        <w:outlineLvl w:val="1"/>
        <w:rPr>
          <w:rFonts w:ascii="黑体" w:hAnsi="黑体" w:eastAsia="黑体" w:cs="黑体"/>
          <w:color w:val="auto"/>
          <w:sz w:val="36"/>
          <w:szCs w:val="36"/>
          <w:highlight w:val="none"/>
        </w:rPr>
      </w:pPr>
      <w:bookmarkStart w:id="203" w:name="_Toc10185"/>
      <w:bookmarkStart w:id="204" w:name="_Toc19398"/>
      <w:bookmarkStart w:id="205" w:name="_Toc27814"/>
      <w:bookmarkStart w:id="206" w:name="_Toc9179"/>
      <w:bookmarkStart w:id="207" w:name="_Toc32548"/>
      <w:bookmarkStart w:id="208" w:name="_Toc15603"/>
      <w:bookmarkStart w:id="209" w:name="_Toc354"/>
      <w:bookmarkStart w:id="210" w:name="_Toc18934"/>
      <w:bookmarkStart w:id="211" w:name="_Toc31750"/>
      <w:bookmarkStart w:id="212" w:name="_Toc10364"/>
      <w:bookmarkStart w:id="213" w:name="_Toc24718"/>
      <w:bookmarkStart w:id="214" w:name="_Toc11484"/>
      <w:bookmarkStart w:id="215" w:name="_Toc21225"/>
      <w:bookmarkStart w:id="216" w:name="_Toc15253"/>
      <w:bookmarkStart w:id="217" w:name="_Toc23605"/>
      <w:bookmarkStart w:id="218" w:name="_Toc13937"/>
      <w:bookmarkStart w:id="219" w:name="_Toc30881"/>
      <w:r>
        <w:rPr>
          <w:rFonts w:hint="eastAsia" w:ascii="黑体" w:hAnsi="黑体" w:eastAsia="黑体" w:cs="黑体"/>
          <w:color w:val="auto"/>
          <w:sz w:val="36"/>
          <w:szCs w:val="36"/>
          <w:highlight w:val="none"/>
        </w:rPr>
        <w:t>二、法定代表人身份证明</w:t>
      </w:r>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p>
    <w:p w14:paraId="5A9F5C84">
      <w:pPr>
        <w:snapToGrid w:val="0"/>
        <w:spacing w:line="360" w:lineRule="auto"/>
        <w:ind w:firstLine="480" w:firstLineChars="200"/>
        <w:rPr>
          <w:rFonts w:ascii="宋体" w:hAnsi="宋体" w:cs="仿宋_GB2312"/>
          <w:color w:val="auto"/>
          <w:sz w:val="24"/>
          <w:highlight w:val="none"/>
        </w:rPr>
      </w:pPr>
    </w:p>
    <w:p w14:paraId="0F982FDA">
      <w:pPr>
        <w:pStyle w:val="34"/>
        <w:jc w:val="center"/>
        <w:rPr>
          <w:color w:val="auto"/>
          <w:highlight w:val="none"/>
        </w:rPr>
      </w:pPr>
      <w:r>
        <w:rPr>
          <w:rFonts w:hint="eastAsia" w:ascii="宋体" w:hAnsi="宋体"/>
          <w:b/>
          <w:color w:val="auto"/>
          <w:sz w:val="28"/>
          <w:szCs w:val="28"/>
          <w:highlight w:val="none"/>
        </w:rPr>
        <w:t>法定代表人身份证明</w:t>
      </w:r>
    </w:p>
    <w:p w14:paraId="7C818078">
      <w:pPr>
        <w:pStyle w:val="34"/>
        <w:rPr>
          <w:rFonts w:ascii="宋体" w:hAnsi="宋体" w:cs="仿宋_GB2312"/>
          <w:color w:val="auto"/>
          <w:highlight w:val="none"/>
        </w:rPr>
      </w:pPr>
    </w:p>
    <w:p w14:paraId="02C2EE68">
      <w:pPr>
        <w:pStyle w:val="10"/>
        <w:rPr>
          <w:color w:val="auto"/>
          <w:highlight w:val="none"/>
        </w:rPr>
      </w:pPr>
    </w:p>
    <w:p w14:paraId="30634F48">
      <w:pPr>
        <w:snapToGrid w:val="0"/>
        <w:spacing w:line="360" w:lineRule="auto"/>
        <w:ind w:firstLine="480" w:firstLineChars="200"/>
        <w:rPr>
          <w:rFonts w:ascii="宋体" w:hAnsi="宋体" w:cs="仿宋_GB2312"/>
          <w:color w:val="auto"/>
          <w:sz w:val="24"/>
          <w:highlight w:val="none"/>
          <w:u w:val="single"/>
        </w:rPr>
      </w:pPr>
      <w:r>
        <w:rPr>
          <w:rFonts w:hint="eastAsia" w:ascii="宋体" w:hAnsi="宋体" w:cs="仿宋_GB2312"/>
          <w:color w:val="auto"/>
          <w:sz w:val="24"/>
          <w:highlight w:val="none"/>
        </w:rPr>
        <w:t>供应商名称：</w:t>
      </w:r>
      <w:r>
        <w:rPr>
          <w:rFonts w:hint="eastAsia" w:ascii="宋体" w:hAnsi="宋体" w:cs="仿宋_GB2312"/>
          <w:color w:val="auto"/>
          <w:sz w:val="24"/>
          <w:highlight w:val="none"/>
          <w:u w:val="single"/>
        </w:rPr>
        <w:t xml:space="preserve">                                 </w:t>
      </w:r>
    </w:p>
    <w:p w14:paraId="3DE0C7BB">
      <w:pPr>
        <w:snapToGrid w:val="0"/>
        <w:spacing w:line="360" w:lineRule="auto"/>
        <w:ind w:firstLine="480" w:firstLineChars="200"/>
        <w:rPr>
          <w:rFonts w:ascii="宋体" w:hAnsi="宋体" w:cs="仿宋_GB2312"/>
          <w:color w:val="auto"/>
          <w:sz w:val="24"/>
          <w:highlight w:val="none"/>
        </w:rPr>
      </w:pPr>
      <w:r>
        <w:rPr>
          <w:rFonts w:hint="eastAsia" w:ascii="宋体" w:hAnsi="宋体" w:cs="仿宋_GB2312"/>
          <w:color w:val="auto"/>
          <w:sz w:val="24"/>
          <w:highlight w:val="none"/>
        </w:rPr>
        <w:t>姓名：</w:t>
      </w:r>
      <w:r>
        <w:rPr>
          <w:rFonts w:hint="eastAsia" w:ascii="宋体" w:hAnsi="宋体" w:cs="仿宋_GB2312"/>
          <w:color w:val="auto"/>
          <w:sz w:val="24"/>
          <w:highlight w:val="none"/>
          <w:u w:val="single"/>
        </w:rPr>
        <w:t xml:space="preserve">            </w:t>
      </w:r>
      <w:r>
        <w:rPr>
          <w:rFonts w:hint="eastAsia" w:ascii="宋体" w:hAnsi="宋体" w:cs="仿宋_GB2312"/>
          <w:color w:val="auto"/>
          <w:sz w:val="24"/>
          <w:highlight w:val="none"/>
        </w:rPr>
        <w:t>性别：</w:t>
      </w:r>
      <w:r>
        <w:rPr>
          <w:rFonts w:hint="eastAsia" w:ascii="宋体" w:hAnsi="宋体" w:cs="仿宋_GB2312"/>
          <w:color w:val="auto"/>
          <w:sz w:val="24"/>
          <w:highlight w:val="none"/>
          <w:u w:val="single"/>
        </w:rPr>
        <w:t xml:space="preserve">     </w:t>
      </w:r>
      <w:r>
        <w:rPr>
          <w:rFonts w:hint="eastAsia" w:ascii="宋体" w:hAnsi="宋体" w:cs="仿宋_GB2312"/>
          <w:color w:val="auto"/>
          <w:sz w:val="24"/>
          <w:highlight w:val="none"/>
        </w:rPr>
        <w:t>年龄：</w:t>
      </w:r>
      <w:r>
        <w:rPr>
          <w:rFonts w:hint="eastAsia" w:ascii="宋体" w:hAnsi="宋体" w:cs="仿宋_GB2312"/>
          <w:color w:val="auto"/>
          <w:sz w:val="24"/>
          <w:highlight w:val="none"/>
          <w:u w:val="single"/>
        </w:rPr>
        <w:t xml:space="preserve">       </w:t>
      </w:r>
      <w:r>
        <w:rPr>
          <w:rFonts w:hint="eastAsia" w:ascii="宋体" w:hAnsi="宋体" w:cs="仿宋_GB2312"/>
          <w:color w:val="auto"/>
          <w:sz w:val="24"/>
          <w:highlight w:val="none"/>
        </w:rPr>
        <w:t>职务：</w:t>
      </w:r>
      <w:r>
        <w:rPr>
          <w:rFonts w:hint="eastAsia" w:ascii="宋体" w:hAnsi="宋体" w:cs="仿宋_GB2312"/>
          <w:color w:val="auto"/>
          <w:sz w:val="24"/>
          <w:highlight w:val="none"/>
          <w:u w:val="single"/>
        </w:rPr>
        <w:t xml:space="preserve">         </w:t>
      </w:r>
    </w:p>
    <w:p w14:paraId="64153C95">
      <w:pPr>
        <w:snapToGrid w:val="0"/>
        <w:spacing w:line="360" w:lineRule="auto"/>
        <w:ind w:firstLine="480" w:firstLineChars="200"/>
        <w:rPr>
          <w:rFonts w:ascii="宋体" w:hAnsi="宋体" w:cs="仿宋_GB2312"/>
          <w:color w:val="auto"/>
          <w:sz w:val="24"/>
          <w:highlight w:val="none"/>
        </w:rPr>
      </w:pPr>
      <w:r>
        <w:rPr>
          <w:rFonts w:hint="eastAsia" w:ascii="宋体" w:hAnsi="宋体" w:cs="仿宋_GB2312"/>
          <w:color w:val="auto"/>
          <w:sz w:val="24"/>
          <w:highlight w:val="none"/>
        </w:rPr>
        <w:t>系</w:t>
      </w:r>
      <w:r>
        <w:rPr>
          <w:rFonts w:hint="eastAsia" w:ascii="宋体" w:hAnsi="宋体" w:cs="仿宋_GB2312"/>
          <w:color w:val="auto"/>
          <w:sz w:val="24"/>
          <w:highlight w:val="none"/>
          <w:u w:val="single"/>
        </w:rPr>
        <w:t xml:space="preserve">                            </w:t>
      </w:r>
      <w:r>
        <w:rPr>
          <w:rFonts w:hint="eastAsia" w:ascii="宋体" w:hAnsi="宋体" w:cs="仿宋_GB2312"/>
          <w:color w:val="auto"/>
          <w:sz w:val="24"/>
          <w:highlight w:val="none"/>
        </w:rPr>
        <w:t>（供应商名称）的法定代表人。</w:t>
      </w:r>
    </w:p>
    <w:p w14:paraId="5BD07546">
      <w:pPr>
        <w:pStyle w:val="10"/>
        <w:ind w:firstLine="1200" w:firstLineChars="500"/>
        <w:rPr>
          <w:color w:val="auto"/>
          <w:highlight w:val="none"/>
        </w:rPr>
      </w:pPr>
      <w:r>
        <w:rPr>
          <w:rFonts w:hint="eastAsia" w:ascii="宋体" w:hAnsi="宋体" w:cs="仿宋_GB2312"/>
          <w:color w:val="auto"/>
          <w:sz w:val="24"/>
          <w:highlight w:val="none"/>
        </w:rPr>
        <w:t>特此证明。</w:t>
      </w:r>
    </w:p>
    <w:p w14:paraId="0B539523">
      <w:pPr>
        <w:snapToGrid w:val="0"/>
        <w:spacing w:line="360" w:lineRule="auto"/>
        <w:ind w:firstLine="480" w:firstLineChars="200"/>
        <w:rPr>
          <w:rFonts w:ascii="宋体" w:hAnsi="宋体" w:cs="仿宋_GB2312"/>
          <w:color w:val="auto"/>
          <w:sz w:val="24"/>
          <w:highlight w:val="none"/>
        </w:rPr>
      </w:pPr>
    </w:p>
    <w:p w14:paraId="59DF698C">
      <w:pPr>
        <w:snapToGrid w:val="0"/>
        <w:spacing w:line="360" w:lineRule="auto"/>
        <w:ind w:firstLine="480" w:firstLineChars="200"/>
        <w:rPr>
          <w:rFonts w:ascii="宋体" w:hAnsi="宋体" w:cs="仿宋_GB2312"/>
          <w:color w:val="auto"/>
          <w:sz w:val="24"/>
          <w:highlight w:val="none"/>
        </w:rPr>
      </w:pPr>
      <w:r>
        <w:rPr>
          <w:rFonts w:hint="eastAsia" w:ascii="宋体" w:hAnsi="宋体" w:cs="仿宋_GB2312"/>
          <w:color w:val="auto"/>
          <w:sz w:val="24"/>
          <w:highlight w:val="none"/>
        </w:rPr>
        <w:t>附：法定代表人身份证复印件</w:t>
      </w:r>
    </w:p>
    <w:p w14:paraId="58777729">
      <w:pPr>
        <w:pStyle w:val="10"/>
        <w:rPr>
          <w:color w:val="auto"/>
          <w:highlight w:val="none"/>
        </w:rPr>
      </w:pPr>
    </w:p>
    <w:p w14:paraId="4BD3BDBC">
      <w:pPr>
        <w:pStyle w:val="10"/>
        <w:rPr>
          <w:color w:val="auto"/>
          <w:highlight w:val="none"/>
        </w:rPr>
      </w:pPr>
    </w:p>
    <w:p w14:paraId="2BBDDE12">
      <w:pPr>
        <w:pStyle w:val="10"/>
        <w:rPr>
          <w:color w:val="auto"/>
          <w:highlight w:val="none"/>
        </w:rPr>
      </w:pPr>
    </w:p>
    <w:p w14:paraId="37622EC1">
      <w:pPr>
        <w:pStyle w:val="5"/>
        <w:overflowPunct w:val="0"/>
        <w:spacing w:line="520" w:lineRule="exact"/>
        <w:ind w:firstLine="0"/>
        <w:jc w:val="center"/>
        <w:rPr>
          <w:color w:val="auto"/>
          <w:sz w:val="24"/>
          <w:highlight w:val="none"/>
        </w:rPr>
      </w:pPr>
      <w:r>
        <w:rPr>
          <w:rFonts w:hint="eastAsia"/>
          <w:color w:val="auto"/>
          <w:sz w:val="24"/>
          <w:highlight w:val="none"/>
        </w:rPr>
        <w:t xml:space="preserve">             供应商名称：</w:t>
      </w:r>
      <w:r>
        <w:rPr>
          <w:rFonts w:hint="eastAsia"/>
          <w:color w:val="auto"/>
          <w:sz w:val="24"/>
          <w:highlight w:val="none"/>
          <w:u w:val="single"/>
        </w:rPr>
        <w:t xml:space="preserve">                         </w:t>
      </w:r>
      <w:r>
        <w:rPr>
          <w:rFonts w:hint="eastAsia"/>
          <w:color w:val="auto"/>
          <w:sz w:val="24"/>
          <w:highlight w:val="none"/>
        </w:rPr>
        <w:t>（盖单位公章）</w:t>
      </w:r>
    </w:p>
    <w:p w14:paraId="2C5C0C71">
      <w:pPr>
        <w:pStyle w:val="5"/>
        <w:overflowPunct w:val="0"/>
        <w:spacing w:line="520" w:lineRule="exact"/>
        <w:ind w:firstLine="4800" w:firstLineChars="2000"/>
        <w:rPr>
          <w:color w:val="auto"/>
          <w:sz w:val="24"/>
          <w:highlight w:val="none"/>
        </w:rPr>
      </w:pPr>
      <w:r>
        <w:rPr>
          <w:rFonts w:hint="eastAsia"/>
          <w:color w:val="auto"/>
          <w:sz w:val="24"/>
          <w:highlight w:val="none"/>
          <w:u w:val="single"/>
        </w:rPr>
        <w:t xml:space="preserve">      </w:t>
      </w:r>
      <w:r>
        <w:rPr>
          <w:rFonts w:hint="eastAsia"/>
          <w:color w:val="auto"/>
          <w:sz w:val="24"/>
          <w:highlight w:val="none"/>
        </w:rPr>
        <w:t>年</w:t>
      </w:r>
      <w:r>
        <w:rPr>
          <w:rFonts w:hint="eastAsia"/>
          <w:color w:val="auto"/>
          <w:sz w:val="24"/>
          <w:highlight w:val="none"/>
          <w:u w:val="single"/>
        </w:rPr>
        <w:t xml:space="preserve">    </w:t>
      </w:r>
      <w:r>
        <w:rPr>
          <w:rFonts w:hint="eastAsia"/>
          <w:color w:val="auto"/>
          <w:sz w:val="24"/>
          <w:highlight w:val="none"/>
        </w:rPr>
        <w:t>月</w:t>
      </w:r>
      <w:r>
        <w:rPr>
          <w:rFonts w:hint="eastAsia"/>
          <w:color w:val="auto"/>
          <w:sz w:val="24"/>
          <w:highlight w:val="none"/>
          <w:u w:val="single"/>
        </w:rPr>
        <w:t xml:space="preserve">    </w:t>
      </w:r>
      <w:r>
        <w:rPr>
          <w:rFonts w:hint="eastAsia"/>
          <w:color w:val="auto"/>
          <w:sz w:val="24"/>
          <w:highlight w:val="none"/>
        </w:rPr>
        <w:t>日</w:t>
      </w:r>
    </w:p>
    <w:p w14:paraId="22E908A5">
      <w:pPr>
        <w:pStyle w:val="10"/>
        <w:rPr>
          <w:color w:val="auto"/>
          <w:highlight w:val="none"/>
        </w:rPr>
      </w:pPr>
    </w:p>
    <w:p w14:paraId="46B9BE28">
      <w:pPr>
        <w:rPr>
          <w:color w:val="auto"/>
          <w:highlight w:val="none"/>
        </w:rPr>
      </w:pPr>
      <w:r>
        <w:rPr>
          <w:color w:val="auto"/>
          <w:highlight w:val="none"/>
        </w:rPr>
        <w:br w:type="page"/>
      </w:r>
    </w:p>
    <w:p w14:paraId="2D1D5536">
      <w:pPr>
        <w:snapToGrid w:val="0"/>
        <w:spacing w:line="360" w:lineRule="auto"/>
        <w:jc w:val="center"/>
        <w:outlineLvl w:val="1"/>
        <w:rPr>
          <w:rFonts w:ascii="黑体" w:hAnsi="黑体" w:eastAsia="黑体" w:cs="黑体"/>
          <w:color w:val="auto"/>
          <w:sz w:val="36"/>
          <w:szCs w:val="36"/>
          <w:highlight w:val="none"/>
        </w:rPr>
      </w:pPr>
      <w:bookmarkStart w:id="220" w:name="_Toc9178"/>
      <w:bookmarkStart w:id="221" w:name="_Toc20885"/>
      <w:bookmarkStart w:id="222" w:name="_Toc6859"/>
      <w:bookmarkStart w:id="223" w:name="_Toc6776"/>
      <w:bookmarkStart w:id="224" w:name="_Toc30069"/>
      <w:bookmarkStart w:id="225" w:name="_Toc24938"/>
      <w:bookmarkStart w:id="226" w:name="_Toc31451"/>
      <w:bookmarkStart w:id="227" w:name="_Toc12118"/>
      <w:bookmarkStart w:id="228" w:name="_Toc26747"/>
      <w:bookmarkStart w:id="229" w:name="_Toc3398"/>
      <w:bookmarkStart w:id="230" w:name="_Toc16593"/>
      <w:bookmarkStart w:id="231" w:name="_Toc12372"/>
      <w:bookmarkStart w:id="232" w:name="_Toc21187"/>
      <w:bookmarkStart w:id="233" w:name="_Toc23930"/>
      <w:bookmarkStart w:id="234" w:name="_Toc29113"/>
      <w:bookmarkStart w:id="235" w:name="_Toc13492"/>
      <w:bookmarkStart w:id="236" w:name="_Toc27830"/>
      <w:r>
        <w:rPr>
          <w:rFonts w:hint="eastAsia" w:ascii="黑体" w:hAnsi="黑体" w:eastAsia="黑体" w:cs="黑体"/>
          <w:color w:val="auto"/>
          <w:sz w:val="36"/>
          <w:szCs w:val="36"/>
          <w:highlight w:val="none"/>
        </w:rPr>
        <w:t>二、授权委托书</w:t>
      </w:r>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p>
    <w:p w14:paraId="39112A56">
      <w:pPr>
        <w:snapToGrid w:val="0"/>
        <w:spacing w:line="360" w:lineRule="auto"/>
        <w:ind w:firstLine="480" w:firstLineChars="200"/>
        <w:rPr>
          <w:rFonts w:ascii="宋体" w:hAnsi="宋体" w:cs="仿宋_GB2312"/>
          <w:color w:val="auto"/>
          <w:sz w:val="24"/>
          <w:highlight w:val="none"/>
        </w:rPr>
      </w:pPr>
    </w:p>
    <w:p w14:paraId="44E3268E">
      <w:pPr>
        <w:pStyle w:val="34"/>
        <w:jc w:val="center"/>
        <w:rPr>
          <w:rFonts w:ascii="宋体" w:hAnsi="宋体" w:cs="仿宋_GB2312"/>
          <w:color w:val="auto"/>
          <w:highlight w:val="none"/>
        </w:rPr>
      </w:pPr>
      <w:r>
        <w:rPr>
          <w:rFonts w:hint="eastAsia" w:ascii="宋体" w:hAnsi="宋体"/>
          <w:b/>
          <w:color w:val="auto"/>
          <w:sz w:val="28"/>
          <w:szCs w:val="28"/>
          <w:highlight w:val="none"/>
        </w:rPr>
        <w:t>授权委托书</w:t>
      </w:r>
    </w:p>
    <w:p w14:paraId="0614598F">
      <w:pPr>
        <w:pStyle w:val="10"/>
        <w:rPr>
          <w:color w:val="auto"/>
          <w:highlight w:val="none"/>
        </w:rPr>
      </w:pPr>
    </w:p>
    <w:p w14:paraId="1EA0AFCF">
      <w:pPr>
        <w:spacing w:line="400" w:lineRule="exact"/>
        <w:ind w:firstLine="480" w:firstLineChars="200"/>
        <w:rPr>
          <w:rFonts w:ascii="宋体" w:hAnsi="宋体"/>
          <w:color w:val="auto"/>
          <w:sz w:val="24"/>
          <w:highlight w:val="none"/>
        </w:rPr>
      </w:pPr>
      <w:r>
        <w:rPr>
          <w:rFonts w:hint="eastAsia" w:ascii="宋体" w:hAnsi="宋体"/>
          <w:color w:val="auto"/>
          <w:sz w:val="24"/>
          <w:highlight w:val="none"/>
        </w:rPr>
        <w:t>本人</w:t>
      </w:r>
      <w:r>
        <w:rPr>
          <w:rFonts w:hint="eastAsia" w:ascii="宋体" w:hAnsi="宋体"/>
          <w:color w:val="auto"/>
          <w:sz w:val="24"/>
          <w:highlight w:val="none"/>
          <w:u w:val="single"/>
        </w:rPr>
        <w:t xml:space="preserve">           </w:t>
      </w:r>
      <w:r>
        <w:rPr>
          <w:rFonts w:ascii="宋体" w:hAnsi="宋体"/>
          <w:color w:val="auto"/>
          <w:sz w:val="24"/>
          <w:highlight w:val="none"/>
        </w:rPr>
        <w:t>(姓名)系</w:t>
      </w:r>
      <w:r>
        <w:rPr>
          <w:rFonts w:hint="eastAsia" w:ascii="宋体" w:hAnsi="宋体"/>
          <w:color w:val="auto"/>
          <w:sz w:val="24"/>
          <w:highlight w:val="none"/>
          <w:u w:val="single"/>
        </w:rPr>
        <w:t xml:space="preserve">           </w:t>
      </w:r>
      <w:r>
        <w:rPr>
          <w:rFonts w:ascii="宋体" w:hAnsi="宋体"/>
          <w:color w:val="auto"/>
          <w:sz w:val="24"/>
          <w:highlight w:val="none"/>
        </w:rPr>
        <w:t>(</w:t>
      </w:r>
      <w:r>
        <w:rPr>
          <w:rFonts w:hint="eastAsia" w:ascii="宋体" w:hAnsi="宋体"/>
          <w:color w:val="auto"/>
          <w:sz w:val="24"/>
          <w:highlight w:val="none"/>
        </w:rPr>
        <w:t>供应商</w:t>
      </w:r>
      <w:r>
        <w:rPr>
          <w:rFonts w:ascii="宋体" w:hAnsi="宋体"/>
          <w:color w:val="auto"/>
          <w:sz w:val="24"/>
          <w:highlight w:val="none"/>
        </w:rPr>
        <w:t>名称)的法定代表人，</w:t>
      </w:r>
      <w:r>
        <w:rPr>
          <w:rFonts w:hint="eastAsia" w:ascii="宋体" w:hAnsi="宋体"/>
          <w:color w:val="auto"/>
          <w:sz w:val="24"/>
          <w:highlight w:val="none"/>
        </w:rPr>
        <w:t>现委托</w:t>
      </w:r>
      <w:r>
        <w:rPr>
          <w:rFonts w:hint="eastAsia" w:ascii="宋体" w:hAnsi="宋体"/>
          <w:color w:val="auto"/>
          <w:sz w:val="24"/>
          <w:highlight w:val="none"/>
          <w:u w:val="single"/>
        </w:rPr>
        <w:t xml:space="preserve">     </w:t>
      </w:r>
      <w:r>
        <w:rPr>
          <w:rFonts w:ascii="宋体" w:hAnsi="宋体"/>
          <w:color w:val="auto"/>
          <w:sz w:val="24"/>
          <w:highlight w:val="none"/>
        </w:rPr>
        <w:t xml:space="preserve"> (姓名)</w:t>
      </w:r>
      <w:r>
        <w:rPr>
          <w:rFonts w:hint="eastAsia" w:ascii="宋体" w:hAnsi="宋体"/>
          <w:color w:val="auto"/>
          <w:sz w:val="24"/>
          <w:highlight w:val="none"/>
        </w:rPr>
        <w:t>为我方代理人。代理人根据授权，以我方名义签署、澄清确认、递交、撤回、修改</w:t>
      </w:r>
      <w:r>
        <w:rPr>
          <w:rFonts w:hint="eastAsia" w:ascii="宋体" w:hAnsi="宋体"/>
          <w:color w:val="auto"/>
          <w:sz w:val="24"/>
          <w:highlight w:val="none"/>
          <w:u w:val="single"/>
        </w:rPr>
        <w:t>红水河（曹渡河口至桥巩）三级航道</w:t>
      </w:r>
      <w:r>
        <w:rPr>
          <w:rFonts w:hint="eastAsia" w:ascii="宋体" w:hAnsi="宋体"/>
          <w:color w:val="auto"/>
          <w:sz w:val="24"/>
          <w:highlight w:val="none"/>
          <w:u w:val="single"/>
          <w:lang w:eastAsia="zh-CN"/>
        </w:rPr>
        <w:t>工程对广西忻城乐滩国家湿地公园生态影响评价服务</w:t>
      </w:r>
      <w:r>
        <w:rPr>
          <w:rFonts w:hint="eastAsia" w:ascii="宋体" w:hAnsi="宋体"/>
          <w:color w:val="auto"/>
          <w:sz w:val="24"/>
          <w:highlight w:val="none"/>
          <w:u w:val="single"/>
          <w:lang w:val="en-US" w:eastAsia="zh-CN"/>
        </w:rPr>
        <w:t xml:space="preserve"> </w:t>
      </w:r>
      <w:r>
        <w:rPr>
          <w:rFonts w:hint="eastAsia" w:ascii="宋体" w:hAnsi="宋体"/>
          <w:color w:val="auto"/>
          <w:sz w:val="24"/>
          <w:highlight w:val="none"/>
          <w:u w:val="single"/>
        </w:rPr>
        <w:t>（项目名称）</w:t>
      </w:r>
      <w:r>
        <w:rPr>
          <w:rFonts w:hint="eastAsia" w:ascii="宋体" w:hAnsi="宋体"/>
          <w:color w:val="auto"/>
          <w:sz w:val="24"/>
          <w:highlight w:val="none"/>
        </w:rPr>
        <w:t>响应文件和处理有关事宜，其法律后果由我方承担。</w:t>
      </w:r>
    </w:p>
    <w:p w14:paraId="4CA59201">
      <w:pPr>
        <w:spacing w:line="400" w:lineRule="exact"/>
        <w:ind w:firstLine="480"/>
        <w:rPr>
          <w:rFonts w:ascii="宋体" w:hAnsi="宋体"/>
          <w:color w:val="auto"/>
          <w:sz w:val="24"/>
          <w:highlight w:val="none"/>
        </w:rPr>
      </w:pPr>
      <w:r>
        <w:rPr>
          <w:rFonts w:hint="eastAsia" w:ascii="宋体" w:hAnsi="宋体"/>
          <w:color w:val="auto"/>
          <w:sz w:val="24"/>
          <w:highlight w:val="none"/>
        </w:rPr>
        <w:t>委托</w:t>
      </w:r>
      <w:r>
        <w:rPr>
          <w:rFonts w:ascii="宋体" w:hAnsi="宋体"/>
          <w:color w:val="auto"/>
          <w:sz w:val="24"/>
          <w:highlight w:val="none"/>
        </w:rPr>
        <w:t>期限</w:t>
      </w:r>
      <w:r>
        <w:rPr>
          <w:rFonts w:hint="eastAsia" w:ascii="宋体" w:hAnsi="宋体"/>
          <w:color w:val="auto"/>
          <w:sz w:val="24"/>
          <w:highlight w:val="none"/>
        </w:rPr>
        <w:t>：</w:t>
      </w:r>
      <w:r>
        <w:rPr>
          <w:rFonts w:ascii="宋体" w:hAnsi="宋体"/>
          <w:color w:val="auto"/>
          <w:sz w:val="24"/>
          <w:highlight w:val="none"/>
        </w:rPr>
        <w:t>自</w:t>
      </w:r>
      <w:r>
        <w:rPr>
          <w:rFonts w:hint="eastAsia" w:ascii="宋体" w:hAnsi="宋体"/>
          <w:color w:val="auto"/>
          <w:sz w:val="24"/>
          <w:highlight w:val="none"/>
          <w:u w:val="single"/>
        </w:rPr>
        <w:t xml:space="preserve">    </w:t>
      </w:r>
      <w:r>
        <w:rPr>
          <w:rFonts w:ascii="宋体" w:hAnsi="宋体"/>
          <w:color w:val="auto"/>
          <w:sz w:val="24"/>
          <w:highlight w:val="none"/>
        </w:rPr>
        <w:t>年</w:t>
      </w:r>
      <w:r>
        <w:rPr>
          <w:rFonts w:hint="eastAsia" w:ascii="宋体" w:hAnsi="宋体"/>
          <w:color w:val="auto"/>
          <w:sz w:val="24"/>
          <w:highlight w:val="none"/>
          <w:u w:val="single"/>
        </w:rPr>
        <w:t xml:space="preserve">    </w:t>
      </w:r>
      <w:r>
        <w:rPr>
          <w:rFonts w:ascii="宋体" w:hAnsi="宋体"/>
          <w:color w:val="auto"/>
          <w:sz w:val="24"/>
          <w:highlight w:val="none"/>
        </w:rPr>
        <w:t>月</w:t>
      </w:r>
      <w:r>
        <w:rPr>
          <w:rFonts w:hint="eastAsia" w:ascii="宋体" w:hAnsi="宋体"/>
          <w:color w:val="auto"/>
          <w:sz w:val="24"/>
          <w:highlight w:val="none"/>
          <w:u w:val="single"/>
        </w:rPr>
        <w:t xml:space="preserve">    </w:t>
      </w:r>
      <w:r>
        <w:rPr>
          <w:rFonts w:ascii="宋体" w:hAnsi="宋体"/>
          <w:color w:val="auto"/>
          <w:sz w:val="24"/>
          <w:highlight w:val="none"/>
        </w:rPr>
        <w:t>日起至</w:t>
      </w:r>
      <w:r>
        <w:rPr>
          <w:rFonts w:hint="eastAsia" w:ascii="宋体" w:hAnsi="宋体"/>
          <w:color w:val="auto"/>
          <w:sz w:val="24"/>
          <w:highlight w:val="none"/>
          <w:u w:val="single"/>
        </w:rPr>
        <w:t xml:space="preserve">    </w:t>
      </w:r>
      <w:r>
        <w:rPr>
          <w:rFonts w:ascii="宋体" w:hAnsi="宋体"/>
          <w:color w:val="auto"/>
          <w:sz w:val="24"/>
          <w:highlight w:val="none"/>
        </w:rPr>
        <w:t>年</w:t>
      </w:r>
      <w:r>
        <w:rPr>
          <w:rFonts w:hint="eastAsia" w:ascii="宋体" w:hAnsi="宋体"/>
          <w:color w:val="auto"/>
          <w:sz w:val="24"/>
          <w:highlight w:val="none"/>
          <w:u w:val="single"/>
        </w:rPr>
        <w:t xml:space="preserve">    </w:t>
      </w:r>
      <w:r>
        <w:rPr>
          <w:rFonts w:ascii="宋体" w:hAnsi="宋体"/>
          <w:color w:val="auto"/>
          <w:sz w:val="24"/>
          <w:highlight w:val="none"/>
        </w:rPr>
        <w:t>月</w:t>
      </w:r>
      <w:r>
        <w:rPr>
          <w:rFonts w:hint="eastAsia" w:ascii="宋体" w:hAnsi="宋体"/>
          <w:color w:val="auto"/>
          <w:sz w:val="24"/>
          <w:highlight w:val="none"/>
          <w:u w:val="single"/>
        </w:rPr>
        <w:t xml:space="preserve">    </w:t>
      </w:r>
      <w:r>
        <w:rPr>
          <w:rFonts w:ascii="宋体" w:hAnsi="宋体"/>
          <w:color w:val="auto"/>
          <w:sz w:val="24"/>
          <w:highlight w:val="none"/>
        </w:rPr>
        <w:t>日止。</w:t>
      </w:r>
    </w:p>
    <w:p w14:paraId="1E991BBE">
      <w:pPr>
        <w:spacing w:line="400" w:lineRule="exact"/>
        <w:ind w:firstLine="480"/>
        <w:rPr>
          <w:rFonts w:ascii="宋体" w:hAnsi="宋体"/>
          <w:color w:val="auto"/>
          <w:sz w:val="24"/>
          <w:highlight w:val="none"/>
        </w:rPr>
      </w:pPr>
      <w:r>
        <w:rPr>
          <w:rFonts w:hint="eastAsia" w:ascii="宋体" w:hAnsi="宋体"/>
          <w:color w:val="auto"/>
          <w:sz w:val="24"/>
          <w:highlight w:val="none"/>
        </w:rPr>
        <w:t>代理人无转委托权。</w:t>
      </w:r>
    </w:p>
    <w:p w14:paraId="4AE7422B">
      <w:pPr>
        <w:spacing w:line="400" w:lineRule="exact"/>
        <w:rPr>
          <w:rFonts w:ascii="宋体" w:hAnsi="宋体"/>
          <w:color w:val="auto"/>
          <w:sz w:val="24"/>
          <w:highlight w:val="none"/>
        </w:rPr>
      </w:pPr>
    </w:p>
    <w:p w14:paraId="1454E02C">
      <w:pPr>
        <w:spacing w:line="400" w:lineRule="exact"/>
        <w:ind w:firstLine="600" w:firstLineChars="250"/>
        <w:rPr>
          <w:rFonts w:ascii="宋体" w:hAnsi="宋体"/>
          <w:color w:val="auto"/>
          <w:sz w:val="24"/>
          <w:highlight w:val="none"/>
        </w:rPr>
      </w:pPr>
      <w:r>
        <w:rPr>
          <w:rFonts w:hint="eastAsia" w:ascii="宋体" w:hAnsi="宋体"/>
          <w:color w:val="auto"/>
          <w:sz w:val="24"/>
          <w:highlight w:val="none"/>
        </w:rPr>
        <w:t>附：</w:t>
      </w:r>
      <w:r>
        <w:rPr>
          <w:rFonts w:hint="eastAsia" w:ascii="宋体" w:hAnsi="宋体" w:cs="仿宋_GB2312"/>
          <w:color w:val="auto"/>
          <w:sz w:val="24"/>
          <w:highlight w:val="none"/>
        </w:rPr>
        <w:t>法定代表人身份证复印件及</w:t>
      </w:r>
      <w:r>
        <w:rPr>
          <w:rFonts w:hint="eastAsia" w:ascii="宋体" w:hAnsi="宋体"/>
          <w:snapToGrid w:val="0"/>
          <w:color w:val="auto"/>
          <w:kern w:val="0"/>
          <w:sz w:val="24"/>
          <w:highlight w:val="none"/>
        </w:rPr>
        <w:t>委托代理人身份证复印件</w:t>
      </w:r>
    </w:p>
    <w:p w14:paraId="4C0C0F2A">
      <w:pPr>
        <w:spacing w:line="400" w:lineRule="exact"/>
        <w:ind w:firstLine="480"/>
        <w:rPr>
          <w:rFonts w:ascii="宋体" w:hAnsi="宋体"/>
          <w:color w:val="auto"/>
          <w:sz w:val="24"/>
          <w:highlight w:val="none"/>
        </w:rPr>
      </w:pPr>
    </w:p>
    <w:p w14:paraId="2442AB76">
      <w:pPr>
        <w:spacing w:line="400" w:lineRule="exact"/>
        <w:rPr>
          <w:rFonts w:ascii="宋体" w:hAnsi="宋体"/>
          <w:color w:val="auto"/>
          <w:sz w:val="24"/>
          <w:highlight w:val="none"/>
        </w:rPr>
      </w:pPr>
    </w:p>
    <w:p w14:paraId="3557799A">
      <w:pPr>
        <w:pStyle w:val="34"/>
        <w:rPr>
          <w:color w:val="auto"/>
          <w:highlight w:val="none"/>
        </w:rPr>
      </w:pPr>
    </w:p>
    <w:p w14:paraId="4596C845">
      <w:pPr>
        <w:spacing w:line="400" w:lineRule="exact"/>
        <w:rPr>
          <w:rFonts w:ascii="宋体" w:hAnsi="宋体"/>
          <w:color w:val="auto"/>
          <w:sz w:val="24"/>
          <w:highlight w:val="none"/>
        </w:rPr>
      </w:pPr>
    </w:p>
    <w:p w14:paraId="4618D973">
      <w:pPr>
        <w:spacing w:line="720" w:lineRule="auto"/>
        <w:ind w:firstLine="3480" w:firstLineChars="1450"/>
        <w:rPr>
          <w:rFonts w:ascii="宋体" w:hAnsi="宋体"/>
          <w:color w:val="auto"/>
          <w:sz w:val="24"/>
          <w:highlight w:val="none"/>
        </w:rPr>
      </w:pPr>
      <w:r>
        <w:rPr>
          <w:rFonts w:hint="eastAsia" w:ascii="宋体" w:hAnsi="宋体"/>
          <w:color w:val="auto"/>
          <w:sz w:val="24"/>
          <w:highlight w:val="none"/>
        </w:rPr>
        <w:t>供应商：</w:t>
      </w:r>
      <w:r>
        <w:rPr>
          <w:rFonts w:hint="eastAsia" w:ascii="宋体" w:hAnsi="宋体"/>
          <w:color w:val="auto"/>
          <w:sz w:val="24"/>
          <w:highlight w:val="none"/>
          <w:u w:val="single"/>
        </w:rPr>
        <w:t xml:space="preserve">                     </w:t>
      </w:r>
      <w:r>
        <w:rPr>
          <w:rFonts w:hint="eastAsia" w:ascii="宋体" w:hAnsi="宋体"/>
          <w:color w:val="auto"/>
          <w:sz w:val="24"/>
          <w:highlight w:val="none"/>
        </w:rPr>
        <w:t>（</w:t>
      </w:r>
      <w:r>
        <w:rPr>
          <w:rFonts w:hint="eastAsia"/>
          <w:color w:val="auto"/>
          <w:sz w:val="24"/>
          <w:highlight w:val="none"/>
        </w:rPr>
        <w:t>盖单位公章</w:t>
      </w:r>
      <w:r>
        <w:rPr>
          <w:rFonts w:hint="eastAsia" w:ascii="宋体" w:hAnsi="宋体"/>
          <w:color w:val="auto"/>
          <w:sz w:val="24"/>
          <w:highlight w:val="none"/>
        </w:rPr>
        <w:t>）</w:t>
      </w:r>
    </w:p>
    <w:p w14:paraId="28A66C90">
      <w:pPr>
        <w:spacing w:line="720" w:lineRule="auto"/>
        <w:ind w:firstLine="3480" w:firstLineChars="1450"/>
        <w:rPr>
          <w:rFonts w:ascii="宋体" w:hAnsi="宋体"/>
          <w:color w:val="auto"/>
          <w:sz w:val="24"/>
          <w:highlight w:val="none"/>
        </w:rPr>
      </w:pPr>
      <w:r>
        <w:rPr>
          <w:rFonts w:hint="eastAsia" w:ascii="宋体" w:hAnsi="宋体"/>
          <w:color w:val="auto"/>
          <w:sz w:val="24"/>
          <w:highlight w:val="none"/>
        </w:rPr>
        <w:t>法定代表人：</w:t>
      </w:r>
      <w:r>
        <w:rPr>
          <w:rFonts w:hint="eastAsia" w:ascii="宋体" w:hAnsi="宋体"/>
          <w:color w:val="auto"/>
          <w:sz w:val="24"/>
          <w:highlight w:val="none"/>
          <w:u w:val="single"/>
        </w:rPr>
        <w:t xml:space="preserve">                 </w:t>
      </w:r>
      <w:r>
        <w:rPr>
          <w:rFonts w:hint="eastAsia" w:ascii="宋体" w:hAnsi="宋体"/>
          <w:color w:val="auto"/>
          <w:sz w:val="24"/>
          <w:highlight w:val="none"/>
        </w:rPr>
        <w:t>（签字或盖章）</w:t>
      </w:r>
    </w:p>
    <w:p w14:paraId="3A9DDB5F">
      <w:pPr>
        <w:spacing w:line="720" w:lineRule="auto"/>
        <w:ind w:firstLine="3480" w:firstLineChars="1450"/>
        <w:rPr>
          <w:rFonts w:ascii="宋体" w:hAnsi="宋体"/>
          <w:color w:val="auto"/>
          <w:sz w:val="24"/>
          <w:highlight w:val="none"/>
        </w:rPr>
      </w:pPr>
      <w:r>
        <w:rPr>
          <w:rFonts w:hint="eastAsia" w:ascii="宋体" w:hAnsi="宋体"/>
          <w:color w:val="auto"/>
          <w:sz w:val="24"/>
          <w:highlight w:val="none"/>
        </w:rPr>
        <w:t>身份证号码：</w:t>
      </w:r>
      <w:r>
        <w:rPr>
          <w:rFonts w:hint="eastAsia" w:ascii="宋体" w:hAnsi="宋体"/>
          <w:color w:val="auto"/>
          <w:sz w:val="24"/>
          <w:highlight w:val="none"/>
          <w:u w:val="single"/>
        </w:rPr>
        <w:t xml:space="preserve">                            </w:t>
      </w:r>
    </w:p>
    <w:p w14:paraId="163A1638">
      <w:pPr>
        <w:spacing w:line="720" w:lineRule="auto"/>
        <w:ind w:firstLine="3480" w:firstLineChars="1450"/>
        <w:rPr>
          <w:rFonts w:ascii="宋体" w:hAnsi="宋体"/>
          <w:color w:val="auto"/>
          <w:sz w:val="24"/>
          <w:highlight w:val="none"/>
        </w:rPr>
      </w:pPr>
      <w:r>
        <w:rPr>
          <w:rFonts w:hint="eastAsia" w:ascii="宋体" w:hAnsi="宋体"/>
          <w:color w:val="auto"/>
          <w:sz w:val="24"/>
          <w:highlight w:val="none"/>
        </w:rPr>
        <w:t>委托代理人：</w:t>
      </w:r>
      <w:r>
        <w:rPr>
          <w:rFonts w:hint="eastAsia" w:ascii="宋体" w:hAnsi="宋体"/>
          <w:color w:val="auto"/>
          <w:sz w:val="24"/>
          <w:highlight w:val="none"/>
          <w:u w:val="single"/>
        </w:rPr>
        <w:t xml:space="preserve">                       </w:t>
      </w:r>
      <w:r>
        <w:rPr>
          <w:rFonts w:hint="eastAsia" w:ascii="宋体" w:hAnsi="宋体"/>
          <w:color w:val="auto"/>
          <w:sz w:val="24"/>
          <w:highlight w:val="none"/>
        </w:rPr>
        <w:t>（签字）</w:t>
      </w:r>
    </w:p>
    <w:p w14:paraId="62973767">
      <w:pPr>
        <w:spacing w:line="720" w:lineRule="auto"/>
        <w:ind w:firstLine="3480" w:firstLineChars="1450"/>
        <w:rPr>
          <w:rFonts w:ascii="宋体" w:hAnsi="宋体"/>
          <w:color w:val="auto"/>
          <w:sz w:val="24"/>
          <w:highlight w:val="none"/>
        </w:rPr>
      </w:pPr>
      <w:r>
        <w:rPr>
          <w:rFonts w:hint="eastAsia" w:ascii="宋体" w:hAnsi="宋体"/>
          <w:color w:val="auto"/>
          <w:sz w:val="24"/>
          <w:highlight w:val="none"/>
        </w:rPr>
        <w:t>身份证号码：</w:t>
      </w:r>
      <w:r>
        <w:rPr>
          <w:rFonts w:hint="eastAsia" w:ascii="宋体" w:hAnsi="宋体"/>
          <w:color w:val="auto"/>
          <w:sz w:val="24"/>
          <w:highlight w:val="none"/>
          <w:u w:val="single"/>
        </w:rPr>
        <w:t xml:space="preserve">                             </w:t>
      </w:r>
    </w:p>
    <w:p w14:paraId="5F70659E">
      <w:pPr>
        <w:spacing w:line="720" w:lineRule="auto"/>
        <w:ind w:firstLine="5040" w:firstLineChars="2100"/>
        <w:rPr>
          <w:rFonts w:ascii="宋体" w:hAnsi="宋体"/>
          <w:color w:val="auto"/>
          <w:sz w:val="24"/>
          <w:highlight w:val="none"/>
        </w:rPr>
      </w:pPr>
      <w:r>
        <w:rPr>
          <w:rFonts w:hint="eastAsia"/>
          <w:color w:val="auto"/>
          <w:sz w:val="24"/>
          <w:highlight w:val="none"/>
          <w:u w:val="single"/>
        </w:rPr>
        <w:t xml:space="preserve">      </w:t>
      </w:r>
      <w:r>
        <w:rPr>
          <w:rFonts w:hint="eastAsia"/>
          <w:color w:val="auto"/>
          <w:sz w:val="24"/>
          <w:highlight w:val="none"/>
        </w:rPr>
        <w:t>年</w:t>
      </w:r>
      <w:r>
        <w:rPr>
          <w:rFonts w:hint="eastAsia"/>
          <w:color w:val="auto"/>
          <w:sz w:val="24"/>
          <w:highlight w:val="none"/>
          <w:u w:val="single"/>
        </w:rPr>
        <w:t xml:space="preserve">    </w:t>
      </w:r>
      <w:r>
        <w:rPr>
          <w:rFonts w:hint="eastAsia"/>
          <w:color w:val="auto"/>
          <w:sz w:val="24"/>
          <w:highlight w:val="none"/>
        </w:rPr>
        <w:t>月</w:t>
      </w:r>
      <w:r>
        <w:rPr>
          <w:rFonts w:hint="eastAsia"/>
          <w:color w:val="auto"/>
          <w:sz w:val="24"/>
          <w:highlight w:val="none"/>
          <w:u w:val="single"/>
        </w:rPr>
        <w:t xml:space="preserve">    </w:t>
      </w:r>
      <w:r>
        <w:rPr>
          <w:rFonts w:hint="eastAsia"/>
          <w:color w:val="auto"/>
          <w:sz w:val="24"/>
          <w:highlight w:val="none"/>
        </w:rPr>
        <w:t>日</w:t>
      </w:r>
    </w:p>
    <w:p w14:paraId="793BE9C2">
      <w:pPr>
        <w:pStyle w:val="10"/>
        <w:tabs>
          <w:tab w:val="left" w:leader="dot" w:pos="480"/>
        </w:tabs>
        <w:rPr>
          <w:bCs/>
          <w:color w:val="auto"/>
          <w:highlight w:val="none"/>
        </w:rPr>
      </w:pPr>
    </w:p>
    <w:p w14:paraId="7FFD7DBB">
      <w:pPr>
        <w:rPr>
          <w:bCs/>
          <w:color w:val="auto"/>
          <w:highlight w:val="none"/>
        </w:rPr>
      </w:pPr>
      <w:r>
        <w:rPr>
          <w:bCs/>
          <w:color w:val="auto"/>
          <w:highlight w:val="none"/>
        </w:rPr>
        <w:br w:type="page"/>
      </w:r>
    </w:p>
    <w:p w14:paraId="617DA7A8">
      <w:pPr>
        <w:snapToGrid w:val="0"/>
        <w:spacing w:line="360" w:lineRule="auto"/>
        <w:jc w:val="center"/>
        <w:outlineLvl w:val="1"/>
        <w:rPr>
          <w:rFonts w:ascii="黑体" w:hAnsi="黑体" w:eastAsia="黑体" w:cs="黑体"/>
          <w:color w:val="auto"/>
          <w:sz w:val="36"/>
          <w:szCs w:val="36"/>
          <w:highlight w:val="none"/>
        </w:rPr>
      </w:pPr>
      <w:bookmarkStart w:id="237" w:name="_Toc20762"/>
      <w:bookmarkStart w:id="238" w:name="_Toc2974"/>
      <w:bookmarkStart w:id="239" w:name="_Toc1684"/>
      <w:bookmarkStart w:id="240" w:name="_Toc26089"/>
      <w:bookmarkStart w:id="241" w:name="_Toc18291"/>
      <w:bookmarkStart w:id="242" w:name="_Toc7959"/>
      <w:bookmarkStart w:id="243" w:name="_Toc30368"/>
      <w:bookmarkStart w:id="244" w:name="_Toc8009"/>
      <w:bookmarkStart w:id="245" w:name="_Toc23053"/>
      <w:bookmarkStart w:id="246" w:name="_Toc20079"/>
      <w:bookmarkStart w:id="247" w:name="_Toc20507"/>
      <w:bookmarkStart w:id="248" w:name="_Toc15671"/>
      <w:bookmarkStart w:id="249" w:name="_Toc6781"/>
      <w:bookmarkStart w:id="250" w:name="_Toc2083"/>
      <w:bookmarkStart w:id="251" w:name="_Toc3667"/>
      <w:bookmarkStart w:id="252" w:name="_Toc275"/>
      <w:bookmarkStart w:id="253" w:name="_Toc825"/>
      <w:r>
        <w:rPr>
          <w:rFonts w:hint="eastAsia" w:ascii="黑体" w:hAnsi="黑体" w:eastAsia="黑体" w:cs="黑体"/>
          <w:color w:val="auto"/>
          <w:sz w:val="36"/>
          <w:szCs w:val="36"/>
          <w:highlight w:val="none"/>
          <w:lang w:eastAsia="zh-CN"/>
        </w:rPr>
        <w:t>三</w:t>
      </w:r>
      <w:r>
        <w:rPr>
          <w:rFonts w:hint="eastAsia" w:ascii="黑体" w:hAnsi="黑体" w:eastAsia="黑体" w:cs="黑体"/>
          <w:color w:val="auto"/>
          <w:sz w:val="36"/>
          <w:szCs w:val="36"/>
          <w:highlight w:val="none"/>
        </w:rPr>
        <w:t>、报价清单</w:t>
      </w:r>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p>
    <w:p w14:paraId="0857CC25">
      <w:pPr>
        <w:jc w:val="center"/>
        <w:outlineLvl w:val="2"/>
        <w:rPr>
          <w:rFonts w:ascii="黑体" w:hAnsi="宋体" w:eastAsia="方正小标宋简体"/>
          <w:color w:val="auto"/>
          <w:sz w:val="24"/>
          <w:highlight w:val="none"/>
        </w:rPr>
      </w:pPr>
      <w:bookmarkStart w:id="254" w:name="_Toc10738"/>
      <w:bookmarkStart w:id="255" w:name="_Toc32344"/>
      <w:r>
        <w:rPr>
          <w:rFonts w:hint="eastAsia" w:ascii="宋体" w:hAnsi="宋体" w:cs="宋体"/>
          <w:b/>
          <w:color w:val="auto"/>
          <w:sz w:val="32"/>
          <w:szCs w:val="32"/>
          <w:highlight w:val="none"/>
        </w:rPr>
        <w:t>（一）报价文件说明</w:t>
      </w:r>
      <w:bookmarkEnd w:id="254"/>
      <w:bookmarkEnd w:id="255"/>
    </w:p>
    <w:p w14:paraId="23927D48">
      <w:pPr>
        <w:rPr>
          <w:rFonts w:ascii="黑体" w:hAnsi="宋体" w:eastAsia="黑体"/>
          <w:color w:val="auto"/>
          <w:sz w:val="24"/>
          <w:highlight w:val="none"/>
        </w:rPr>
      </w:pPr>
    </w:p>
    <w:p w14:paraId="2DD731A4">
      <w:pPr>
        <w:spacing w:line="400" w:lineRule="exact"/>
        <w:ind w:firstLine="480" w:firstLineChars="200"/>
        <w:rPr>
          <w:rFonts w:ascii="宋体" w:hAnsi="宋体"/>
          <w:color w:val="auto"/>
          <w:sz w:val="24"/>
          <w:highlight w:val="none"/>
        </w:rPr>
      </w:pPr>
      <w:r>
        <w:rPr>
          <w:rFonts w:hint="eastAsia" w:ascii="宋体" w:hAnsi="宋体"/>
          <w:color w:val="auto"/>
          <w:sz w:val="24"/>
          <w:highlight w:val="none"/>
        </w:rPr>
        <w:t>1.“报价清单”应与“供应商须知”“采购内容及要求”“合同条款”等一起使用。</w:t>
      </w:r>
    </w:p>
    <w:p w14:paraId="0A348F87">
      <w:pPr>
        <w:spacing w:line="400" w:lineRule="exact"/>
        <w:ind w:firstLine="480" w:firstLineChars="200"/>
        <w:rPr>
          <w:rFonts w:ascii="宋体" w:hAnsi="宋体"/>
          <w:color w:val="auto"/>
          <w:sz w:val="24"/>
          <w:highlight w:val="none"/>
        </w:rPr>
      </w:pPr>
      <w:r>
        <w:rPr>
          <w:rFonts w:hint="eastAsia" w:ascii="宋体" w:hAnsi="宋体"/>
          <w:color w:val="auto"/>
          <w:sz w:val="24"/>
          <w:highlight w:val="none"/>
        </w:rPr>
        <w:t>2.本次采购采用总价包干，投标报价已包含为完成</w:t>
      </w:r>
      <w:r>
        <w:rPr>
          <w:rFonts w:hint="eastAsia" w:ascii="宋体" w:hAnsi="宋体"/>
          <w:color w:val="auto"/>
          <w:sz w:val="24"/>
          <w:highlight w:val="none"/>
          <w:lang w:val="en-US" w:eastAsia="zh-CN"/>
        </w:rPr>
        <w:t xml:space="preserve"> 红水河（曹渡河口至桥巩）三级航道工程对广西忻城乐滩国家湿地公园生态影响评价服务 </w:t>
      </w:r>
      <w:r>
        <w:rPr>
          <w:rFonts w:hint="eastAsia" w:ascii="宋体" w:hAnsi="宋体"/>
          <w:color w:val="auto"/>
          <w:sz w:val="24"/>
          <w:highlight w:val="none"/>
        </w:rPr>
        <w:t>项目的全部工作以及</w:t>
      </w:r>
      <w:r>
        <w:rPr>
          <w:rFonts w:hint="eastAsia" w:ascii="宋体" w:hAnsi="宋体"/>
          <w:color w:val="auto"/>
          <w:sz w:val="24"/>
          <w:highlight w:val="none"/>
          <w:lang w:eastAsia="zh-CN"/>
        </w:rPr>
        <w:t>全过程</w:t>
      </w:r>
      <w:r>
        <w:rPr>
          <w:rFonts w:hint="eastAsia" w:ascii="宋体" w:hAnsi="宋体"/>
          <w:color w:val="auto"/>
          <w:sz w:val="24"/>
          <w:highlight w:val="none"/>
        </w:rPr>
        <w:t>可能发生的各种费用，包含但不限于从前期踏勘、资料收集、报告编制费、现场管理费、会议、专家咨询费、调研差旅费、管理费、文印费、设备耗材费、税费及合同包含的所有风险、责任及措施等费用。本项目合同总价在合同执行过程中是固定的，不因情况变化而调整。</w:t>
      </w:r>
    </w:p>
    <w:p w14:paraId="12F9B6B4">
      <w:pPr>
        <w:spacing w:line="400" w:lineRule="exact"/>
        <w:ind w:firstLine="480" w:firstLineChars="200"/>
        <w:rPr>
          <w:rFonts w:ascii="宋体" w:hAnsi="宋体"/>
          <w:color w:val="auto"/>
          <w:sz w:val="24"/>
          <w:highlight w:val="none"/>
        </w:rPr>
      </w:pPr>
      <w:r>
        <w:rPr>
          <w:rFonts w:hint="eastAsia" w:ascii="宋体" w:hAnsi="宋体"/>
          <w:color w:val="auto"/>
          <w:sz w:val="24"/>
          <w:highlight w:val="none"/>
        </w:rPr>
        <w:t>3.投标报价为一次报价，此次报价即最终报价，不再就价格问题另行协商。</w:t>
      </w:r>
    </w:p>
    <w:p w14:paraId="36CBF915">
      <w:pPr>
        <w:spacing w:line="400" w:lineRule="exact"/>
        <w:ind w:firstLine="480" w:firstLineChars="200"/>
        <w:rPr>
          <w:rFonts w:ascii="宋体" w:hAnsi="宋体"/>
          <w:color w:val="auto"/>
          <w:sz w:val="24"/>
          <w:highlight w:val="none"/>
        </w:rPr>
      </w:pPr>
      <w:r>
        <w:rPr>
          <w:rFonts w:hint="eastAsia" w:ascii="宋体" w:hAnsi="宋体"/>
          <w:color w:val="auto"/>
          <w:sz w:val="24"/>
          <w:highlight w:val="none"/>
        </w:rPr>
        <w:t>4.“报价清单”中报价应以人民币为单位。</w:t>
      </w:r>
    </w:p>
    <w:p w14:paraId="26F57FF6">
      <w:pPr>
        <w:spacing w:line="400" w:lineRule="exact"/>
        <w:ind w:firstLine="480" w:firstLineChars="200"/>
        <w:rPr>
          <w:rFonts w:ascii="宋体" w:hAnsi="宋体"/>
          <w:color w:val="auto"/>
          <w:sz w:val="24"/>
          <w:highlight w:val="none"/>
        </w:rPr>
      </w:pPr>
      <w:r>
        <w:rPr>
          <w:rFonts w:hint="eastAsia" w:ascii="宋体" w:hAnsi="宋体"/>
          <w:color w:val="auto"/>
          <w:sz w:val="24"/>
          <w:highlight w:val="none"/>
        </w:rPr>
        <w:t>5.报价应为含税价格，并且能够提供增值税发票。</w:t>
      </w:r>
    </w:p>
    <w:p w14:paraId="707BB52B">
      <w:pPr>
        <w:spacing w:line="400" w:lineRule="exact"/>
        <w:ind w:firstLine="480" w:firstLineChars="200"/>
        <w:rPr>
          <w:rFonts w:ascii="宋体" w:hAnsi="宋体"/>
          <w:color w:val="auto"/>
          <w:sz w:val="24"/>
          <w:highlight w:val="none"/>
        </w:rPr>
      </w:pPr>
      <w:r>
        <w:rPr>
          <w:rFonts w:hint="eastAsia" w:ascii="宋体" w:hAnsi="宋体"/>
          <w:color w:val="auto"/>
          <w:sz w:val="24"/>
          <w:highlight w:val="none"/>
        </w:rPr>
        <w:t>6.供应商应在“报价清单”后附</w:t>
      </w:r>
      <w:bookmarkStart w:id="256" w:name="_Hlk203661040"/>
      <w:r>
        <w:rPr>
          <w:rFonts w:hint="eastAsia" w:ascii="宋体" w:hAnsi="宋体"/>
          <w:color w:val="auto"/>
          <w:sz w:val="24"/>
          <w:highlight w:val="none"/>
        </w:rPr>
        <w:t>计算说明</w:t>
      </w:r>
      <w:bookmarkEnd w:id="256"/>
      <w:r>
        <w:rPr>
          <w:rFonts w:hint="eastAsia" w:ascii="宋体" w:hAnsi="宋体"/>
          <w:color w:val="auto"/>
          <w:sz w:val="24"/>
          <w:highlight w:val="none"/>
        </w:rPr>
        <w:t>，包括计算方法、取费依据等，以便采购人对供应商报价的合理性作出判断。</w:t>
      </w:r>
    </w:p>
    <w:p w14:paraId="04BE7E21">
      <w:pPr>
        <w:rPr>
          <w:b/>
          <w:bCs/>
          <w:color w:val="auto"/>
          <w:sz w:val="24"/>
          <w:highlight w:val="none"/>
        </w:rPr>
      </w:pPr>
      <w:r>
        <w:rPr>
          <w:rFonts w:hint="eastAsia"/>
          <w:b/>
          <w:bCs/>
          <w:color w:val="auto"/>
          <w:sz w:val="24"/>
          <w:highlight w:val="none"/>
        </w:rPr>
        <w:br w:type="page"/>
      </w:r>
    </w:p>
    <w:p w14:paraId="1384416A">
      <w:pPr>
        <w:pStyle w:val="10"/>
        <w:jc w:val="center"/>
        <w:outlineLvl w:val="2"/>
        <w:rPr>
          <w:b/>
          <w:bCs/>
          <w:color w:val="auto"/>
          <w:sz w:val="32"/>
          <w:szCs w:val="32"/>
          <w:highlight w:val="none"/>
        </w:rPr>
      </w:pPr>
      <w:bookmarkStart w:id="257" w:name="_Toc2327"/>
      <w:bookmarkStart w:id="258" w:name="_Toc1367"/>
      <w:bookmarkStart w:id="259" w:name="_Hlk203660973"/>
      <w:r>
        <w:rPr>
          <w:rFonts w:hint="eastAsia"/>
          <w:b/>
          <w:bCs/>
          <w:color w:val="auto"/>
          <w:sz w:val="32"/>
          <w:szCs w:val="32"/>
          <w:highlight w:val="none"/>
        </w:rPr>
        <w:t>（二）投标报价表</w:t>
      </w:r>
      <w:bookmarkEnd w:id="257"/>
      <w:bookmarkEnd w:id="258"/>
    </w:p>
    <w:p w14:paraId="6426713A">
      <w:pPr>
        <w:pStyle w:val="10"/>
        <w:rPr>
          <w:color w:val="auto"/>
          <w:highlight w:val="none"/>
        </w:rPr>
      </w:pPr>
    </w:p>
    <w:p w14:paraId="3D7A3E7A">
      <w:pPr>
        <w:spacing w:line="360" w:lineRule="auto"/>
        <w:contextualSpacing/>
        <w:jc w:val="left"/>
        <w:rPr>
          <w:rFonts w:ascii="宋体" w:hAnsi="宋体" w:cs="仿宋_GB2312"/>
          <w:color w:val="auto"/>
          <w:sz w:val="24"/>
          <w:highlight w:val="none"/>
        </w:rPr>
      </w:pPr>
      <w:r>
        <w:rPr>
          <w:rFonts w:hint="eastAsia" w:ascii="宋体" w:hAnsi="宋体" w:cs="仿宋_GB2312"/>
          <w:color w:val="auto"/>
          <w:sz w:val="24"/>
          <w:highlight w:val="none"/>
        </w:rPr>
        <w:t>采购项目名称：</w:t>
      </w:r>
      <w:r>
        <w:rPr>
          <w:rFonts w:hint="eastAsia" w:ascii="宋体" w:hAnsi="宋体" w:cs="宋体"/>
          <w:bCs/>
          <w:color w:val="auto"/>
          <w:sz w:val="24"/>
          <w:highlight w:val="none"/>
        </w:rPr>
        <w:t>红水河（曹渡河口至桥巩）三级航道</w:t>
      </w:r>
      <w:r>
        <w:rPr>
          <w:rFonts w:hint="eastAsia" w:ascii="宋体" w:hAnsi="宋体" w:cs="宋体"/>
          <w:bCs/>
          <w:color w:val="auto"/>
          <w:sz w:val="24"/>
          <w:highlight w:val="none"/>
          <w:lang w:eastAsia="zh-CN"/>
        </w:rPr>
        <w:t>工程对广西忻城乐滩国家湿地公园生态影响评价服务</w:t>
      </w:r>
    </w:p>
    <w:tbl>
      <w:tblPr>
        <w:tblStyle w:val="25"/>
        <w:tblW w:w="4996" w:type="pct"/>
        <w:jc w:val="righ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30"/>
        <w:gridCol w:w="2842"/>
        <w:gridCol w:w="1322"/>
        <w:gridCol w:w="776"/>
        <w:gridCol w:w="2017"/>
        <w:gridCol w:w="1478"/>
      </w:tblGrid>
      <w:tr w14:paraId="40B298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7" w:hRule="atLeast"/>
          <w:jc w:val="right"/>
        </w:trPr>
        <w:tc>
          <w:tcPr>
            <w:tcW w:w="398" w:type="pct"/>
            <w:tcBorders>
              <w:top w:val="single" w:color="auto" w:sz="4" w:space="0"/>
              <w:left w:val="single" w:color="auto" w:sz="4" w:space="0"/>
              <w:bottom w:val="single" w:color="auto" w:sz="4" w:space="0"/>
              <w:right w:val="single" w:color="auto" w:sz="4" w:space="0"/>
            </w:tcBorders>
            <w:vAlign w:val="center"/>
          </w:tcPr>
          <w:p w14:paraId="16CDF1E7">
            <w:pPr>
              <w:contextualSpacing/>
              <w:jc w:val="center"/>
              <w:rPr>
                <w:rFonts w:ascii="宋体" w:hAnsi="宋体" w:cs="仿宋_GB2312"/>
                <w:color w:val="auto"/>
                <w:sz w:val="24"/>
                <w:highlight w:val="none"/>
              </w:rPr>
            </w:pPr>
            <w:r>
              <w:rPr>
                <w:rFonts w:ascii="宋体" w:hAnsi="宋体" w:cs="仿宋_GB2312"/>
                <w:color w:val="auto"/>
                <w:sz w:val="24"/>
                <w:highlight w:val="none"/>
              </w:rPr>
              <w:t>序号</w:t>
            </w:r>
          </w:p>
        </w:tc>
        <w:tc>
          <w:tcPr>
            <w:tcW w:w="1550" w:type="pct"/>
            <w:tcBorders>
              <w:top w:val="single" w:color="auto" w:sz="4" w:space="0"/>
              <w:left w:val="single" w:color="auto" w:sz="4" w:space="0"/>
              <w:bottom w:val="single" w:color="auto" w:sz="4" w:space="0"/>
              <w:right w:val="single" w:color="auto" w:sz="4" w:space="0"/>
            </w:tcBorders>
            <w:vAlign w:val="center"/>
          </w:tcPr>
          <w:p w14:paraId="62530C20">
            <w:pPr>
              <w:contextualSpacing/>
              <w:jc w:val="center"/>
              <w:rPr>
                <w:rFonts w:ascii="宋体" w:hAnsi="宋体" w:cs="仿宋_GB2312"/>
                <w:color w:val="auto"/>
                <w:sz w:val="24"/>
                <w:highlight w:val="none"/>
              </w:rPr>
            </w:pPr>
            <w:r>
              <w:rPr>
                <w:rFonts w:ascii="宋体" w:hAnsi="宋体" w:cs="仿宋_GB2312"/>
                <w:color w:val="auto"/>
                <w:sz w:val="24"/>
                <w:highlight w:val="none"/>
              </w:rPr>
              <w:t>服务名称</w:t>
            </w:r>
          </w:p>
        </w:tc>
        <w:tc>
          <w:tcPr>
            <w:tcW w:w="721" w:type="pct"/>
            <w:tcBorders>
              <w:top w:val="single" w:color="auto" w:sz="4" w:space="0"/>
              <w:left w:val="single" w:color="auto" w:sz="4" w:space="0"/>
              <w:bottom w:val="single" w:color="auto" w:sz="4" w:space="0"/>
              <w:right w:val="single" w:color="auto" w:sz="4" w:space="0"/>
            </w:tcBorders>
            <w:vAlign w:val="center"/>
          </w:tcPr>
          <w:p w14:paraId="51FD0EB4">
            <w:pPr>
              <w:contextualSpacing/>
              <w:jc w:val="center"/>
              <w:rPr>
                <w:rFonts w:ascii="宋体" w:hAnsi="宋体" w:cs="仿宋_GB2312"/>
                <w:color w:val="auto"/>
                <w:sz w:val="24"/>
                <w:highlight w:val="none"/>
              </w:rPr>
            </w:pPr>
            <w:r>
              <w:rPr>
                <w:rFonts w:hint="eastAsia" w:ascii="宋体" w:hAnsi="宋体" w:cs="仿宋_GB2312"/>
                <w:color w:val="auto"/>
                <w:sz w:val="24"/>
                <w:highlight w:val="none"/>
              </w:rPr>
              <w:t>数量</w:t>
            </w:r>
          </w:p>
        </w:tc>
        <w:tc>
          <w:tcPr>
            <w:tcW w:w="423" w:type="pct"/>
            <w:tcBorders>
              <w:top w:val="single" w:color="auto" w:sz="4" w:space="0"/>
              <w:left w:val="single" w:color="auto" w:sz="4" w:space="0"/>
              <w:bottom w:val="single" w:color="auto" w:sz="4" w:space="0"/>
              <w:right w:val="single" w:color="auto" w:sz="4" w:space="0"/>
            </w:tcBorders>
            <w:vAlign w:val="center"/>
          </w:tcPr>
          <w:p w14:paraId="196EC937">
            <w:pPr>
              <w:contextualSpacing/>
              <w:jc w:val="center"/>
              <w:rPr>
                <w:rFonts w:ascii="宋体" w:hAnsi="宋体" w:cs="仿宋_GB2312"/>
                <w:color w:val="auto"/>
                <w:sz w:val="24"/>
                <w:highlight w:val="none"/>
              </w:rPr>
            </w:pPr>
            <w:r>
              <w:rPr>
                <w:rFonts w:hint="eastAsia" w:ascii="宋体" w:hAnsi="宋体" w:cs="仿宋_GB2312"/>
                <w:color w:val="auto"/>
                <w:sz w:val="24"/>
                <w:highlight w:val="none"/>
              </w:rPr>
              <w:t>单位</w:t>
            </w:r>
          </w:p>
        </w:tc>
        <w:tc>
          <w:tcPr>
            <w:tcW w:w="1100" w:type="pct"/>
            <w:tcBorders>
              <w:top w:val="single" w:color="auto" w:sz="4" w:space="0"/>
              <w:left w:val="single" w:color="auto" w:sz="4" w:space="0"/>
              <w:bottom w:val="single" w:color="auto" w:sz="4" w:space="0"/>
              <w:right w:val="single" w:color="auto" w:sz="4" w:space="0"/>
            </w:tcBorders>
            <w:vAlign w:val="center"/>
          </w:tcPr>
          <w:p w14:paraId="3E927E1A">
            <w:pPr>
              <w:contextualSpacing/>
              <w:jc w:val="center"/>
              <w:rPr>
                <w:rFonts w:hint="eastAsia" w:ascii="宋体" w:hAnsi="宋体" w:eastAsia="宋体" w:cs="仿宋_GB2312"/>
                <w:color w:val="auto"/>
                <w:sz w:val="24"/>
                <w:highlight w:val="none"/>
                <w:lang w:eastAsia="zh-CN"/>
              </w:rPr>
            </w:pPr>
            <w:r>
              <w:rPr>
                <w:rFonts w:hint="eastAsia" w:ascii="宋体" w:hAnsi="宋体" w:cs="仿宋_GB2312"/>
                <w:color w:val="auto"/>
                <w:sz w:val="24"/>
                <w:highlight w:val="none"/>
              </w:rPr>
              <w:t>金额</w:t>
            </w:r>
            <w:r>
              <w:rPr>
                <w:rFonts w:hint="eastAsia" w:ascii="宋体" w:hAnsi="宋体" w:cs="仿宋_GB2312"/>
                <w:color w:val="auto"/>
                <w:sz w:val="24"/>
                <w:highlight w:val="none"/>
                <w:lang w:eastAsia="zh-CN"/>
              </w:rPr>
              <w:t>（元）</w:t>
            </w:r>
          </w:p>
        </w:tc>
        <w:tc>
          <w:tcPr>
            <w:tcW w:w="806" w:type="pct"/>
            <w:tcBorders>
              <w:top w:val="single" w:color="auto" w:sz="4" w:space="0"/>
              <w:left w:val="single" w:color="auto" w:sz="4" w:space="0"/>
              <w:bottom w:val="single" w:color="auto" w:sz="4" w:space="0"/>
              <w:right w:val="single" w:color="auto" w:sz="4" w:space="0"/>
            </w:tcBorders>
            <w:vAlign w:val="center"/>
          </w:tcPr>
          <w:p w14:paraId="21A350E4">
            <w:pPr>
              <w:contextualSpacing/>
              <w:jc w:val="center"/>
              <w:rPr>
                <w:rFonts w:ascii="宋体" w:hAnsi="宋体" w:cs="仿宋_GB2312"/>
                <w:color w:val="auto"/>
                <w:sz w:val="24"/>
                <w:highlight w:val="none"/>
              </w:rPr>
            </w:pPr>
            <w:r>
              <w:rPr>
                <w:rFonts w:ascii="宋体" w:hAnsi="宋体" w:cs="仿宋_GB2312"/>
                <w:color w:val="auto"/>
                <w:sz w:val="24"/>
                <w:highlight w:val="none"/>
              </w:rPr>
              <w:t>备注</w:t>
            </w:r>
          </w:p>
        </w:tc>
      </w:tr>
      <w:tr w14:paraId="72BB08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07" w:hRule="atLeast"/>
          <w:jc w:val="right"/>
        </w:trPr>
        <w:tc>
          <w:tcPr>
            <w:tcW w:w="398" w:type="pct"/>
            <w:tcBorders>
              <w:top w:val="single" w:color="auto" w:sz="4" w:space="0"/>
              <w:left w:val="single" w:color="auto" w:sz="4" w:space="0"/>
              <w:bottom w:val="single" w:color="auto" w:sz="4" w:space="0"/>
              <w:right w:val="single" w:color="auto" w:sz="4" w:space="0"/>
            </w:tcBorders>
            <w:vAlign w:val="center"/>
          </w:tcPr>
          <w:p w14:paraId="160D41C5">
            <w:pPr>
              <w:adjustRightInd w:val="0"/>
              <w:snapToGrid w:val="0"/>
              <w:contextualSpacing/>
              <w:jc w:val="center"/>
              <w:rPr>
                <w:rFonts w:ascii="宋体" w:hAnsi="宋体" w:cs="仿宋_GB2312"/>
                <w:color w:val="auto"/>
                <w:sz w:val="24"/>
                <w:highlight w:val="none"/>
              </w:rPr>
            </w:pPr>
            <w:r>
              <w:rPr>
                <w:rFonts w:hint="eastAsia" w:ascii="宋体" w:hAnsi="宋体" w:cs="仿宋_GB2312"/>
                <w:color w:val="auto"/>
                <w:sz w:val="24"/>
                <w:highlight w:val="none"/>
              </w:rPr>
              <w:t>1</w:t>
            </w:r>
          </w:p>
        </w:tc>
        <w:tc>
          <w:tcPr>
            <w:tcW w:w="1550" w:type="pct"/>
            <w:tcBorders>
              <w:top w:val="single" w:color="auto" w:sz="4" w:space="0"/>
              <w:left w:val="single" w:color="auto" w:sz="4" w:space="0"/>
              <w:bottom w:val="single" w:color="auto" w:sz="4" w:space="0"/>
              <w:right w:val="single" w:color="auto" w:sz="4" w:space="0"/>
            </w:tcBorders>
            <w:vAlign w:val="center"/>
          </w:tcPr>
          <w:p w14:paraId="4963F0D6">
            <w:pPr>
              <w:adjustRightInd w:val="0"/>
              <w:snapToGrid w:val="0"/>
              <w:jc w:val="left"/>
              <w:rPr>
                <w:rFonts w:ascii="宋体" w:hAnsi="宋体" w:cs="仿宋_GB2312"/>
                <w:color w:val="auto"/>
                <w:sz w:val="24"/>
                <w:highlight w:val="none"/>
              </w:rPr>
            </w:pPr>
            <w:r>
              <w:rPr>
                <w:rFonts w:hint="eastAsia" w:ascii="宋体" w:hAnsi="宋体" w:cs="宋体"/>
                <w:bCs/>
                <w:color w:val="auto"/>
                <w:sz w:val="24"/>
                <w:highlight w:val="none"/>
              </w:rPr>
              <w:t>红水河（曹渡河口至桥巩）三级航道</w:t>
            </w:r>
            <w:r>
              <w:rPr>
                <w:rFonts w:hint="eastAsia" w:ascii="宋体" w:hAnsi="宋体" w:cs="宋体"/>
                <w:bCs/>
                <w:color w:val="auto"/>
                <w:sz w:val="24"/>
                <w:highlight w:val="none"/>
                <w:lang w:eastAsia="zh-CN"/>
              </w:rPr>
              <w:t>工程对广西忻城乐滩国家湿地公园生态影响评价服务</w:t>
            </w:r>
          </w:p>
        </w:tc>
        <w:tc>
          <w:tcPr>
            <w:tcW w:w="721" w:type="pct"/>
            <w:tcBorders>
              <w:top w:val="single" w:color="auto" w:sz="4" w:space="0"/>
              <w:left w:val="single" w:color="auto" w:sz="4" w:space="0"/>
              <w:bottom w:val="single" w:color="auto" w:sz="4" w:space="0"/>
              <w:right w:val="single" w:color="auto" w:sz="4" w:space="0"/>
            </w:tcBorders>
            <w:vAlign w:val="center"/>
          </w:tcPr>
          <w:p w14:paraId="7FFD3C55">
            <w:pPr>
              <w:adjustRightInd w:val="0"/>
              <w:snapToGrid w:val="0"/>
              <w:contextualSpacing/>
              <w:jc w:val="center"/>
              <w:rPr>
                <w:rFonts w:ascii="宋体" w:hAnsi="宋体" w:cs="仿宋_GB2312"/>
                <w:color w:val="auto"/>
                <w:sz w:val="24"/>
                <w:highlight w:val="none"/>
              </w:rPr>
            </w:pPr>
            <w:r>
              <w:rPr>
                <w:rFonts w:hint="eastAsia" w:ascii="宋体" w:hAnsi="宋体" w:cs="仿宋_GB2312"/>
                <w:color w:val="auto"/>
                <w:sz w:val="24"/>
                <w:highlight w:val="none"/>
              </w:rPr>
              <w:t>1</w:t>
            </w:r>
          </w:p>
        </w:tc>
        <w:tc>
          <w:tcPr>
            <w:tcW w:w="423" w:type="pct"/>
            <w:tcBorders>
              <w:top w:val="single" w:color="auto" w:sz="4" w:space="0"/>
              <w:left w:val="single" w:color="auto" w:sz="4" w:space="0"/>
              <w:bottom w:val="single" w:color="auto" w:sz="4" w:space="0"/>
              <w:right w:val="single" w:color="auto" w:sz="4" w:space="0"/>
            </w:tcBorders>
            <w:vAlign w:val="center"/>
          </w:tcPr>
          <w:p w14:paraId="183C6962">
            <w:pPr>
              <w:adjustRightInd w:val="0"/>
              <w:snapToGrid w:val="0"/>
              <w:contextualSpacing/>
              <w:jc w:val="center"/>
              <w:rPr>
                <w:rFonts w:ascii="宋体" w:hAnsi="宋体" w:cs="仿宋_GB2312"/>
                <w:color w:val="auto"/>
                <w:sz w:val="24"/>
                <w:highlight w:val="none"/>
              </w:rPr>
            </w:pPr>
            <w:r>
              <w:rPr>
                <w:rFonts w:hint="eastAsia" w:ascii="宋体" w:hAnsi="宋体" w:cs="仿宋_GB2312"/>
                <w:color w:val="auto"/>
                <w:sz w:val="24"/>
                <w:highlight w:val="none"/>
              </w:rPr>
              <w:t>项</w:t>
            </w:r>
          </w:p>
        </w:tc>
        <w:tc>
          <w:tcPr>
            <w:tcW w:w="1100" w:type="pct"/>
            <w:tcBorders>
              <w:top w:val="single" w:color="auto" w:sz="4" w:space="0"/>
              <w:left w:val="single" w:color="auto" w:sz="4" w:space="0"/>
              <w:bottom w:val="single" w:color="auto" w:sz="4" w:space="0"/>
              <w:right w:val="single" w:color="auto" w:sz="4" w:space="0"/>
            </w:tcBorders>
            <w:vAlign w:val="center"/>
          </w:tcPr>
          <w:p w14:paraId="05EEAF7A">
            <w:pPr>
              <w:adjustRightInd w:val="0"/>
              <w:snapToGrid w:val="0"/>
              <w:contextualSpacing/>
              <w:jc w:val="center"/>
              <w:rPr>
                <w:rFonts w:ascii="宋体" w:hAnsi="宋体" w:cs="仿宋_GB2312"/>
                <w:color w:val="auto"/>
                <w:sz w:val="24"/>
                <w:highlight w:val="none"/>
              </w:rPr>
            </w:pPr>
          </w:p>
        </w:tc>
        <w:tc>
          <w:tcPr>
            <w:tcW w:w="806" w:type="pct"/>
            <w:tcBorders>
              <w:top w:val="single" w:color="auto" w:sz="4" w:space="0"/>
              <w:left w:val="single" w:color="auto" w:sz="4" w:space="0"/>
              <w:bottom w:val="single" w:color="auto" w:sz="4" w:space="0"/>
              <w:right w:val="single" w:color="auto" w:sz="4" w:space="0"/>
            </w:tcBorders>
            <w:vAlign w:val="center"/>
          </w:tcPr>
          <w:p w14:paraId="77AD8907">
            <w:pPr>
              <w:adjustRightInd w:val="0"/>
              <w:snapToGrid w:val="0"/>
              <w:contextualSpacing/>
              <w:jc w:val="center"/>
              <w:rPr>
                <w:rFonts w:ascii="宋体" w:hAnsi="宋体" w:cs="仿宋_GB2312"/>
                <w:color w:val="auto"/>
                <w:sz w:val="24"/>
                <w:highlight w:val="none"/>
              </w:rPr>
            </w:pPr>
          </w:p>
        </w:tc>
      </w:tr>
    </w:tbl>
    <w:p w14:paraId="0700BCBF">
      <w:pPr>
        <w:spacing w:line="360" w:lineRule="auto"/>
        <w:contextualSpacing/>
        <w:jc w:val="left"/>
        <w:rPr>
          <w:rFonts w:ascii="宋体" w:hAnsi="宋体" w:cs="仿宋_GB2312"/>
          <w:color w:val="auto"/>
          <w:sz w:val="24"/>
          <w:highlight w:val="none"/>
        </w:rPr>
      </w:pPr>
      <w:r>
        <w:rPr>
          <w:rFonts w:hint="eastAsia" w:ascii="宋体" w:hAnsi="宋体" w:cs="仿宋_GB2312"/>
          <w:color w:val="auto"/>
          <w:sz w:val="24"/>
          <w:highlight w:val="none"/>
        </w:rPr>
        <w:t xml:space="preserve">注: </w:t>
      </w:r>
    </w:p>
    <w:p w14:paraId="74407342">
      <w:pPr>
        <w:spacing w:line="360" w:lineRule="auto"/>
        <w:ind w:firstLine="480" w:firstLineChars="200"/>
        <w:contextualSpacing/>
        <w:jc w:val="left"/>
        <w:rPr>
          <w:rFonts w:ascii="宋体" w:hAnsi="宋体" w:cs="仿宋_GB2312"/>
          <w:color w:val="auto"/>
          <w:sz w:val="24"/>
          <w:highlight w:val="none"/>
        </w:rPr>
      </w:pPr>
      <w:r>
        <w:rPr>
          <w:rFonts w:hint="eastAsia" w:ascii="宋体" w:hAnsi="宋体" w:cs="仿宋_GB2312"/>
          <w:color w:val="auto"/>
          <w:sz w:val="24"/>
          <w:highlight w:val="none"/>
        </w:rPr>
        <w:t>1.供应商的报价表必须加盖供应商公章并由法定代表人或者委托代理人签字，</w:t>
      </w:r>
      <w:r>
        <w:rPr>
          <w:rFonts w:hint="eastAsia" w:ascii="宋体" w:hAnsi="宋体" w:cs="仿宋_GB2312"/>
          <w:b/>
          <w:color w:val="auto"/>
          <w:sz w:val="24"/>
          <w:highlight w:val="none"/>
        </w:rPr>
        <w:t>否则其响应文件按无效响应处理</w:t>
      </w:r>
      <w:r>
        <w:rPr>
          <w:rFonts w:hint="eastAsia" w:ascii="宋体" w:hAnsi="宋体" w:cs="仿宋_GB2312"/>
          <w:color w:val="auto"/>
          <w:sz w:val="24"/>
          <w:highlight w:val="none"/>
        </w:rPr>
        <w:t>。</w:t>
      </w:r>
    </w:p>
    <w:p w14:paraId="5B6CC2A2">
      <w:pPr>
        <w:spacing w:line="360" w:lineRule="auto"/>
        <w:ind w:firstLine="480" w:firstLineChars="200"/>
        <w:contextualSpacing/>
        <w:jc w:val="left"/>
        <w:rPr>
          <w:rFonts w:ascii="宋体" w:hAnsi="宋体" w:cs="仿宋_GB2312"/>
          <w:b/>
          <w:color w:val="auto"/>
          <w:sz w:val="24"/>
          <w:highlight w:val="none"/>
        </w:rPr>
      </w:pPr>
      <w:r>
        <w:rPr>
          <w:rFonts w:hint="eastAsia" w:ascii="宋体" w:hAnsi="宋体" w:cs="仿宋_GB2312"/>
          <w:bCs/>
          <w:color w:val="auto"/>
          <w:sz w:val="24"/>
          <w:highlight w:val="none"/>
        </w:rPr>
        <w:t>2.</w:t>
      </w:r>
      <w:r>
        <w:rPr>
          <w:rFonts w:hint="eastAsia" w:ascii="宋体" w:hAnsi="宋体" w:cs="仿宋_GB2312"/>
          <w:color w:val="auto"/>
          <w:sz w:val="24"/>
          <w:highlight w:val="none"/>
        </w:rPr>
        <w:t>报价一经涂改，应在涂改处加盖供应商公章或者由法定代表人或者委托代理人签字或者盖章</w:t>
      </w:r>
      <w:r>
        <w:rPr>
          <w:rFonts w:hint="eastAsia" w:ascii="宋体" w:hAnsi="宋体" w:cs="仿宋_GB2312"/>
          <w:b/>
          <w:color w:val="auto"/>
          <w:sz w:val="24"/>
          <w:highlight w:val="none"/>
        </w:rPr>
        <w:t>，否则其响应文件按无效响应处理。</w:t>
      </w:r>
    </w:p>
    <w:p w14:paraId="476F947A">
      <w:pPr>
        <w:spacing w:line="360" w:lineRule="auto"/>
        <w:ind w:firstLine="480" w:firstLineChars="200"/>
        <w:contextualSpacing/>
        <w:rPr>
          <w:rFonts w:hint="default" w:ascii="宋体" w:hAnsi="宋体" w:eastAsia="宋体" w:cs="仿宋_GB2312"/>
          <w:color w:val="auto"/>
          <w:sz w:val="24"/>
          <w:highlight w:val="none"/>
          <w:lang w:val="en-US" w:eastAsia="zh-CN"/>
        </w:rPr>
      </w:pPr>
      <w:r>
        <w:rPr>
          <w:rFonts w:hint="eastAsia" w:ascii="宋体" w:hAnsi="宋体" w:cs="仿宋_GB2312"/>
          <w:color w:val="auto"/>
          <w:sz w:val="24"/>
          <w:highlight w:val="none"/>
          <w:lang w:val="en-US" w:eastAsia="zh-CN"/>
        </w:rPr>
        <w:t>3.附计算说明，包括计算方法、取费依据等，以便采购人对供应商报价的合理性作出判断。</w:t>
      </w:r>
    </w:p>
    <w:p w14:paraId="183284F6">
      <w:pPr>
        <w:spacing w:line="360" w:lineRule="auto"/>
        <w:ind w:right="-817" w:rightChars="-389" w:firstLine="2640" w:firstLineChars="1100"/>
        <w:contextualSpacing/>
        <w:rPr>
          <w:rFonts w:ascii="宋体" w:hAnsi="宋体" w:cs="仿宋_GB2312"/>
          <w:color w:val="auto"/>
          <w:sz w:val="24"/>
          <w:highlight w:val="none"/>
        </w:rPr>
      </w:pPr>
    </w:p>
    <w:p w14:paraId="0D2F037E">
      <w:pPr>
        <w:pStyle w:val="5"/>
        <w:overflowPunct w:val="0"/>
        <w:spacing w:line="520" w:lineRule="exact"/>
        <w:ind w:firstLine="0"/>
        <w:jc w:val="center"/>
        <w:rPr>
          <w:color w:val="auto"/>
          <w:sz w:val="24"/>
          <w:highlight w:val="none"/>
        </w:rPr>
      </w:pPr>
      <w:r>
        <w:rPr>
          <w:rFonts w:hint="eastAsia"/>
          <w:color w:val="auto"/>
          <w:sz w:val="24"/>
          <w:highlight w:val="none"/>
        </w:rPr>
        <w:t>供应商名称：</w:t>
      </w:r>
      <w:r>
        <w:rPr>
          <w:rFonts w:hint="eastAsia"/>
          <w:color w:val="auto"/>
          <w:sz w:val="24"/>
          <w:highlight w:val="none"/>
          <w:u w:val="single"/>
        </w:rPr>
        <w:t xml:space="preserve">                         </w:t>
      </w:r>
      <w:r>
        <w:rPr>
          <w:rFonts w:hint="eastAsia"/>
          <w:color w:val="auto"/>
          <w:sz w:val="24"/>
          <w:highlight w:val="none"/>
        </w:rPr>
        <w:t>（盖单位公章）</w:t>
      </w:r>
    </w:p>
    <w:p w14:paraId="71A2BDED">
      <w:pPr>
        <w:pStyle w:val="5"/>
        <w:overflowPunct w:val="0"/>
        <w:spacing w:line="520" w:lineRule="exact"/>
        <w:ind w:firstLine="1478" w:firstLineChars="616"/>
        <w:rPr>
          <w:color w:val="auto"/>
          <w:sz w:val="24"/>
          <w:highlight w:val="none"/>
        </w:rPr>
      </w:pPr>
      <w:r>
        <w:rPr>
          <w:rFonts w:hint="eastAsia"/>
          <w:color w:val="auto"/>
          <w:sz w:val="24"/>
          <w:highlight w:val="none"/>
        </w:rPr>
        <w:t>法定代表人或其委托代理人：</w:t>
      </w:r>
      <w:r>
        <w:rPr>
          <w:rFonts w:hint="eastAsia"/>
          <w:color w:val="auto"/>
          <w:sz w:val="24"/>
          <w:highlight w:val="none"/>
          <w:u w:val="single"/>
        </w:rPr>
        <w:t xml:space="preserve">           </w:t>
      </w:r>
      <w:r>
        <w:rPr>
          <w:rFonts w:hint="eastAsia"/>
          <w:color w:val="auto"/>
          <w:sz w:val="24"/>
          <w:highlight w:val="none"/>
        </w:rPr>
        <w:t>（签字）</w:t>
      </w:r>
    </w:p>
    <w:p w14:paraId="69D61C53">
      <w:pPr>
        <w:pStyle w:val="5"/>
        <w:overflowPunct w:val="0"/>
        <w:spacing w:line="520" w:lineRule="exact"/>
        <w:ind w:firstLine="3998" w:firstLineChars="1666"/>
        <w:rPr>
          <w:color w:val="auto"/>
          <w:sz w:val="24"/>
          <w:highlight w:val="none"/>
        </w:rPr>
      </w:pPr>
      <w:r>
        <w:rPr>
          <w:rFonts w:hint="eastAsia"/>
          <w:color w:val="auto"/>
          <w:sz w:val="24"/>
          <w:highlight w:val="none"/>
          <w:u w:val="single"/>
        </w:rPr>
        <w:t xml:space="preserve">      </w:t>
      </w:r>
      <w:r>
        <w:rPr>
          <w:rFonts w:hint="eastAsia"/>
          <w:color w:val="auto"/>
          <w:sz w:val="24"/>
          <w:highlight w:val="none"/>
        </w:rPr>
        <w:t>年</w:t>
      </w:r>
      <w:r>
        <w:rPr>
          <w:rFonts w:hint="eastAsia"/>
          <w:color w:val="auto"/>
          <w:sz w:val="24"/>
          <w:highlight w:val="none"/>
          <w:u w:val="single"/>
        </w:rPr>
        <w:t xml:space="preserve">    </w:t>
      </w:r>
      <w:r>
        <w:rPr>
          <w:rFonts w:hint="eastAsia"/>
          <w:color w:val="auto"/>
          <w:sz w:val="24"/>
          <w:highlight w:val="none"/>
        </w:rPr>
        <w:t>月</w:t>
      </w:r>
      <w:r>
        <w:rPr>
          <w:rFonts w:hint="eastAsia"/>
          <w:color w:val="auto"/>
          <w:sz w:val="24"/>
          <w:highlight w:val="none"/>
          <w:u w:val="single"/>
        </w:rPr>
        <w:t xml:space="preserve">    </w:t>
      </w:r>
      <w:r>
        <w:rPr>
          <w:rFonts w:hint="eastAsia"/>
          <w:color w:val="auto"/>
          <w:sz w:val="24"/>
          <w:highlight w:val="none"/>
        </w:rPr>
        <w:t>日</w:t>
      </w:r>
    </w:p>
    <w:bookmarkEnd w:id="259"/>
    <w:p w14:paraId="663FD668">
      <w:pPr>
        <w:spacing w:line="360" w:lineRule="auto"/>
        <w:ind w:firstLine="643" w:firstLineChars="200"/>
        <w:rPr>
          <w:snapToGrid w:val="0"/>
          <w:color w:val="auto"/>
          <w:kern w:val="0"/>
          <w:szCs w:val="21"/>
          <w:highlight w:val="none"/>
        </w:rPr>
      </w:pPr>
      <w:r>
        <w:rPr>
          <w:rFonts w:hint="eastAsia" w:ascii="宋体" w:hAnsi="Courier New"/>
          <w:b/>
          <w:color w:val="auto"/>
          <w:sz w:val="32"/>
          <w:szCs w:val="32"/>
          <w:highlight w:val="none"/>
        </w:rPr>
        <w:br w:type="page"/>
      </w:r>
    </w:p>
    <w:p w14:paraId="6445273C">
      <w:pPr>
        <w:snapToGrid w:val="0"/>
        <w:spacing w:line="360" w:lineRule="auto"/>
        <w:jc w:val="center"/>
        <w:outlineLvl w:val="1"/>
        <w:rPr>
          <w:rFonts w:ascii="黑体" w:hAnsi="黑体" w:eastAsia="黑体" w:cs="黑体"/>
          <w:color w:val="auto"/>
          <w:sz w:val="36"/>
          <w:szCs w:val="36"/>
          <w:highlight w:val="none"/>
        </w:rPr>
      </w:pPr>
      <w:bookmarkStart w:id="260" w:name="_Toc13328"/>
      <w:bookmarkStart w:id="261" w:name="_Toc3415"/>
      <w:bookmarkStart w:id="262" w:name="_Toc2235"/>
      <w:bookmarkStart w:id="263" w:name="_Toc20460"/>
      <w:bookmarkStart w:id="264" w:name="_Toc19625"/>
      <w:bookmarkStart w:id="265" w:name="_Toc31802"/>
      <w:bookmarkStart w:id="266" w:name="_Toc4639"/>
      <w:bookmarkStart w:id="267" w:name="_Toc1971"/>
      <w:bookmarkStart w:id="268" w:name="_Toc16610"/>
      <w:bookmarkStart w:id="269" w:name="_Toc9955"/>
      <w:bookmarkStart w:id="270" w:name="_Toc20844"/>
      <w:bookmarkStart w:id="271" w:name="_Toc10739"/>
      <w:bookmarkStart w:id="272" w:name="_Toc7557"/>
      <w:bookmarkStart w:id="273" w:name="_Toc27313"/>
      <w:bookmarkStart w:id="274" w:name="_Toc6429"/>
      <w:bookmarkStart w:id="275" w:name="_Toc29645"/>
      <w:bookmarkStart w:id="276" w:name="_Toc15587"/>
      <w:r>
        <w:rPr>
          <w:rFonts w:hint="eastAsia" w:ascii="黑体" w:hAnsi="黑体" w:eastAsia="黑体" w:cs="黑体"/>
          <w:color w:val="auto"/>
          <w:sz w:val="36"/>
          <w:szCs w:val="36"/>
          <w:highlight w:val="none"/>
          <w:lang w:eastAsia="zh-CN"/>
        </w:rPr>
        <w:t>四</w:t>
      </w:r>
      <w:r>
        <w:rPr>
          <w:rFonts w:hint="eastAsia" w:ascii="黑体" w:hAnsi="黑体" w:eastAsia="黑体" w:cs="黑体"/>
          <w:color w:val="auto"/>
          <w:sz w:val="36"/>
          <w:szCs w:val="36"/>
          <w:highlight w:val="none"/>
        </w:rPr>
        <w:t>、资格审查资料</w:t>
      </w:r>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p>
    <w:p w14:paraId="4C63EEF3">
      <w:pPr>
        <w:snapToGrid w:val="0"/>
        <w:spacing w:before="120" w:beforeLines="50" w:after="50"/>
        <w:jc w:val="center"/>
        <w:outlineLvl w:val="2"/>
        <w:rPr>
          <w:rFonts w:ascii="宋体" w:hAnsi="宋体"/>
          <w:b/>
          <w:color w:val="auto"/>
          <w:sz w:val="24"/>
          <w:highlight w:val="none"/>
        </w:rPr>
      </w:pPr>
      <w:r>
        <w:rPr>
          <w:rFonts w:hint="eastAsia" w:ascii="宋体" w:hAnsi="宋体"/>
          <w:b/>
          <w:color w:val="auto"/>
          <w:sz w:val="24"/>
          <w:highlight w:val="none"/>
        </w:rPr>
        <w:t>（一）供应商</w:t>
      </w:r>
      <w:bookmarkEnd w:id="275"/>
      <w:bookmarkEnd w:id="276"/>
      <w:r>
        <w:rPr>
          <w:rFonts w:hint="eastAsia" w:ascii="宋体" w:hAnsi="宋体"/>
          <w:b/>
          <w:color w:val="auto"/>
          <w:sz w:val="24"/>
          <w:highlight w:val="none"/>
        </w:rPr>
        <w:t>基本情况表</w:t>
      </w:r>
    </w:p>
    <w:tbl>
      <w:tblPr>
        <w:tblStyle w:val="25"/>
        <w:tblW w:w="0" w:type="auto"/>
        <w:tblInd w:w="17"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28" w:type="dxa"/>
          <w:left w:w="28" w:type="dxa"/>
          <w:bottom w:w="28" w:type="dxa"/>
          <w:right w:w="28" w:type="dxa"/>
        </w:tblCellMar>
      </w:tblPr>
      <w:tblGrid>
        <w:gridCol w:w="2079"/>
        <w:gridCol w:w="1058"/>
        <w:gridCol w:w="1199"/>
        <w:gridCol w:w="901"/>
        <w:gridCol w:w="334"/>
        <w:gridCol w:w="262"/>
        <w:gridCol w:w="75"/>
        <w:gridCol w:w="553"/>
        <w:gridCol w:w="695"/>
        <w:gridCol w:w="63"/>
        <w:gridCol w:w="329"/>
        <w:gridCol w:w="1292"/>
      </w:tblGrid>
      <w:tr w14:paraId="1642CE5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28" w:type="dxa"/>
            <w:left w:w="28" w:type="dxa"/>
            <w:bottom w:w="28" w:type="dxa"/>
            <w:right w:w="28" w:type="dxa"/>
          </w:tblCellMar>
        </w:tblPrEx>
        <w:trPr>
          <w:trHeight w:val="329" w:hRule="atLeast"/>
        </w:trPr>
        <w:tc>
          <w:tcPr>
            <w:tcW w:w="2079" w:type="dxa"/>
            <w:vAlign w:val="center"/>
          </w:tcPr>
          <w:p w14:paraId="20B85FF3">
            <w:pPr>
              <w:autoSpaceDE w:val="0"/>
              <w:autoSpaceDN w:val="0"/>
              <w:jc w:val="center"/>
              <w:rPr>
                <w:rFonts w:ascii="宋体" w:cs="宋体"/>
                <w:color w:val="auto"/>
                <w:kern w:val="0"/>
                <w:sz w:val="24"/>
                <w:highlight w:val="none"/>
              </w:rPr>
            </w:pPr>
            <w:r>
              <w:rPr>
                <w:rFonts w:hint="eastAsia" w:ascii="宋体" w:cs="宋体"/>
                <w:color w:val="auto"/>
                <w:kern w:val="0"/>
                <w:sz w:val="24"/>
                <w:highlight w:val="none"/>
              </w:rPr>
              <w:t>供应商名称</w:t>
            </w:r>
          </w:p>
        </w:tc>
        <w:tc>
          <w:tcPr>
            <w:tcW w:w="6761" w:type="dxa"/>
            <w:gridSpan w:val="11"/>
            <w:vAlign w:val="center"/>
          </w:tcPr>
          <w:p w14:paraId="77F2A00D">
            <w:pPr>
              <w:autoSpaceDE w:val="0"/>
              <w:autoSpaceDN w:val="0"/>
              <w:jc w:val="center"/>
              <w:rPr>
                <w:color w:val="auto"/>
                <w:kern w:val="0"/>
                <w:sz w:val="24"/>
                <w:highlight w:val="none"/>
              </w:rPr>
            </w:pPr>
          </w:p>
        </w:tc>
      </w:tr>
      <w:tr w14:paraId="2D24961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28" w:type="dxa"/>
            <w:left w:w="28" w:type="dxa"/>
            <w:bottom w:w="28" w:type="dxa"/>
            <w:right w:w="28" w:type="dxa"/>
          </w:tblCellMar>
        </w:tblPrEx>
        <w:trPr>
          <w:trHeight w:val="377" w:hRule="atLeast"/>
        </w:trPr>
        <w:tc>
          <w:tcPr>
            <w:tcW w:w="2079" w:type="dxa"/>
            <w:vAlign w:val="center"/>
          </w:tcPr>
          <w:p w14:paraId="1BD90EB8">
            <w:pPr>
              <w:autoSpaceDE w:val="0"/>
              <w:autoSpaceDN w:val="0"/>
              <w:jc w:val="center"/>
              <w:rPr>
                <w:rFonts w:ascii="宋体" w:cs="宋体"/>
                <w:color w:val="auto"/>
                <w:kern w:val="0"/>
                <w:sz w:val="24"/>
                <w:highlight w:val="none"/>
              </w:rPr>
            </w:pPr>
            <w:r>
              <w:rPr>
                <w:rFonts w:hint="eastAsia" w:ascii="宋体" w:cs="宋体"/>
                <w:color w:val="auto"/>
                <w:kern w:val="0"/>
                <w:sz w:val="24"/>
                <w:highlight w:val="none"/>
              </w:rPr>
              <w:t>注册地址</w:t>
            </w:r>
          </w:p>
        </w:tc>
        <w:tc>
          <w:tcPr>
            <w:tcW w:w="3754" w:type="dxa"/>
            <w:gridSpan w:val="5"/>
            <w:vAlign w:val="center"/>
          </w:tcPr>
          <w:p w14:paraId="3D32AA0B">
            <w:pPr>
              <w:autoSpaceDE w:val="0"/>
              <w:autoSpaceDN w:val="0"/>
              <w:jc w:val="center"/>
              <w:rPr>
                <w:color w:val="auto"/>
                <w:kern w:val="0"/>
                <w:sz w:val="24"/>
                <w:highlight w:val="none"/>
              </w:rPr>
            </w:pPr>
          </w:p>
        </w:tc>
        <w:tc>
          <w:tcPr>
            <w:tcW w:w="1386" w:type="dxa"/>
            <w:gridSpan w:val="4"/>
            <w:vAlign w:val="center"/>
          </w:tcPr>
          <w:p w14:paraId="397EF171">
            <w:pPr>
              <w:autoSpaceDE w:val="0"/>
              <w:autoSpaceDN w:val="0"/>
              <w:jc w:val="center"/>
              <w:rPr>
                <w:color w:val="auto"/>
                <w:kern w:val="0"/>
                <w:sz w:val="24"/>
                <w:highlight w:val="none"/>
              </w:rPr>
            </w:pPr>
            <w:r>
              <w:rPr>
                <w:rFonts w:hint="eastAsia" w:ascii="宋体" w:cs="宋体"/>
                <w:color w:val="auto"/>
                <w:kern w:val="0"/>
                <w:sz w:val="24"/>
                <w:highlight w:val="none"/>
              </w:rPr>
              <w:t>邮政编码</w:t>
            </w:r>
          </w:p>
        </w:tc>
        <w:tc>
          <w:tcPr>
            <w:tcW w:w="1621" w:type="dxa"/>
            <w:gridSpan w:val="2"/>
            <w:vAlign w:val="center"/>
          </w:tcPr>
          <w:p w14:paraId="03581083">
            <w:pPr>
              <w:autoSpaceDE w:val="0"/>
              <w:autoSpaceDN w:val="0"/>
              <w:jc w:val="center"/>
              <w:rPr>
                <w:color w:val="auto"/>
                <w:kern w:val="0"/>
                <w:sz w:val="24"/>
                <w:highlight w:val="none"/>
              </w:rPr>
            </w:pPr>
          </w:p>
        </w:tc>
      </w:tr>
      <w:tr w14:paraId="7B5FB3A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28" w:type="dxa"/>
            <w:left w:w="28" w:type="dxa"/>
            <w:bottom w:w="28" w:type="dxa"/>
            <w:right w:w="28" w:type="dxa"/>
          </w:tblCellMar>
        </w:tblPrEx>
        <w:trPr>
          <w:trHeight w:val="323" w:hRule="atLeast"/>
        </w:trPr>
        <w:tc>
          <w:tcPr>
            <w:tcW w:w="2079" w:type="dxa"/>
            <w:vMerge w:val="restart"/>
            <w:vAlign w:val="center"/>
          </w:tcPr>
          <w:p w14:paraId="1C4FC5A4">
            <w:pPr>
              <w:autoSpaceDE w:val="0"/>
              <w:autoSpaceDN w:val="0"/>
              <w:jc w:val="center"/>
              <w:rPr>
                <w:rFonts w:ascii="宋体" w:cs="宋体"/>
                <w:color w:val="auto"/>
                <w:kern w:val="0"/>
                <w:sz w:val="24"/>
                <w:highlight w:val="none"/>
              </w:rPr>
            </w:pPr>
            <w:r>
              <w:rPr>
                <w:rFonts w:hint="eastAsia" w:ascii="宋体" w:cs="宋体"/>
                <w:color w:val="auto"/>
                <w:kern w:val="0"/>
                <w:sz w:val="24"/>
                <w:highlight w:val="none"/>
              </w:rPr>
              <w:t>联系方式</w:t>
            </w:r>
          </w:p>
        </w:tc>
        <w:tc>
          <w:tcPr>
            <w:tcW w:w="1058" w:type="dxa"/>
            <w:vAlign w:val="center"/>
          </w:tcPr>
          <w:p w14:paraId="4A219460">
            <w:pPr>
              <w:autoSpaceDE w:val="0"/>
              <w:autoSpaceDN w:val="0"/>
              <w:jc w:val="center"/>
              <w:rPr>
                <w:rFonts w:ascii="宋体" w:cs="宋体"/>
                <w:color w:val="auto"/>
                <w:kern w:val="0"/>
                <w:sz w:val="24"/>
                <w:highlight w:val="none"/>
              </w:rPr>
            </w:pPr>
            <w:r>
              <w:rPr>
                <w:rFonts w:hint="eastAsia" w:ascii="宋体" w:cs="宋体"/>
                <w:color w:val="auto"/>
                <w:kern w:val="0"/>
                <w:sz w:val="24"/>
                <w:highlight w:val="none"/>
              </w:rPr>
              <w:t>联系人</w:t>
            </w:r>
          </w:p>
        </w:tc>
        <w:tc>
          <w:tcPr>
            <w:tcW w:w="2100" w:type="dxa"/>
            <w:gridSpan w:val="2"/>
            <w:vAlign w:val="center"/>
          </w:tcPr>
          <w:p w14:paraId="5B9812EF">
            <w:pPr>
              <w:autoSpaceDE w:val="0"/>
              <w:autoSpaceDN w:val="0"/>
              <w:jc w:val="center"/>
              <w:rPr>
                <w:color w:val="auto"/>
                <w:kern w:val="0"/>
                <w:sz w:val="24"/>
                <w:highlight w:val="none"/>
              </w:rPr>
            </w:pPr>
          </w:p>
        </w:tc>
        <w:tc>
          <w:tcPr>
            <w:tcW w:w="1224" w:type="dxa"/>
            <w:gridSpan w:val="4"/>
            <w:vAlign w:val="center"/>
          </w:tcPr>
          <w:p w14:paraId="13D48FF5">
            <w:pPr>
              <w:autoSpaceDE w:val="0"/>
              <w:autoSpaceDN w:val="0"/>
              <w:jc w:val="center"/>
              <w:rPr>
                <w:rFonts w:ascii="宋体" w:cs="宋体"/>
                <w:color w:val="auto"/>
                <w:kern w:val="0"/>
                <w:sz w:val="24"/>
                <w:highlight w:val="none"/>
              </w:rPr>
            </w:pPr>
            <w:r>
              <w:rPr>
                <w:rFonts w:hint="eastAsia" w:ascii="宋体" w:cs="宋体"/>
                <w:color w:val="auto"/>
                <w:kern w:val="0"/>
                <w:sz w:val="24"/>
                <w:highlight w:val="none"/>
              </w:rPr>
              <w:t>电话</w:t>
            </w:r>
          </w:p>
        </w:tc>
        <w:tc>
          <w:tcPr>
            <w:tcW w:w="2379" w:type="dxa"/>
            <w:gridSpan w:val="4"/>
            <w:vAlign w:val="center"/>
          </w:tcPr>
          <w:p w14:paraId="3508530A">
            <w:pPr>
              <w:autoSpaceDE w:val="0"/>
              <w:autoSpaceDN w:val="0"/>
              <w:jc w:val="center"/>
              <w:rPr>
                <w:color w:val="auto"/>
                <w:kern w:val="0"/>
                <w:sz w:val="24"/>
                <w:highlight w:val="none"/>
              </w:rPr>
            </w:pPr>
          </w:p>
        </w:tc>
      </w:tr>
      <w:tr w14:paraId="0BF76FF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28" w:type="dxa"/>
            <w:left w:w="28" w:type="dxa"/>
            <w:bottom w:w="28" w:type="dxa"/>
            <w:right w:w="28" w:type="dxa"/>
          </w:tblCellMar>
        </w:tblPrEx>
        <w:trPr>
          <w:trHeight w:val="370" w:hRule="atLeast"/>
        </w:trPr>
        <w:tc>
          <w:tcPr>
            <w:tcW w:w="2079" w:type="dxa"/>
            <w:vMerge w:val="continue"/>
            <w:vAlign w:val="center"/>
          </w:tcPr>
          <w:p w14:paraId="17EEF868">
            <w:pPr>
              <w:autoSpaceDE w:val="0"/>
              <w:autoSpaceDN w:val="0"/>
              <w:jc w:val="center"/>
              <w:rPr>
                <w:rFonts w:ascii="宋体" w:cs="宋体"/>
                <w:color w:val="auto"/>
                <w:kern w:val="0"/>
                <w:sz w:val="24"/>
                <w:highlight w:val="none"/>
              </w:rPr>
            </w:pPr>
          </w:p>
        </w:tc>
        <w:tc>
          <w:tcPr>
            <w:tcW w:w="1058" w:type="dxa"/>
            <w:vAlign w:val="center"/>
          </w:tcPr>
          <w:p w14:paraId="4F72620B">
            <w:pPr>
              <w:autoSpaceDE w:val="0"/>
              <w:autoSpaceDN w:val="0"/>
              <w:jc w:val="center"/>
              <w:rPr>
                <w:rFonts w:ascii="宋体" w:cs="宋体"/>
                <w:color w:val="auto"/>
                <w:kern w:val="0"/>
                <w:sz w:val="24"/>
                <w:highlight w:val="none"/>
              </w:rPr>
            </w:pPr>
            <w:r>
              <w:rPr>
                <w:rFonts w:hint="eastAsia" w:ascii="宋体" w:cs="宋体"/>
                <w:color w:val="auto"/>
                <w:kern w:val="0"/>
                <w:sz w:val="24"/>
                <w:highlight w:val="none"/>
              </w:rPr>
              <w:t>传真</w:t>
            </w:r>
          </w:p>
        </w:tc>
        <w:tc>
          <w:tcPr>
            <w:tcW w:w="2100" w:type="dxa"/>
            <w:gridSpan w:val="2"/>
            <w:vAlign w:val="center"/>
          </w:tcPr>
          <w:p w14:paraId="3CE52FA1">
            <w:pPr>
              <w:autoSpaceDE w:val="0"/>
              <w:autoSpaceDN w:val="0"/>
              <w:jc w:val="center"/>
              <w:rPr>
                <w:color w:val="auto"/>
                <w:kern w:val="0"/>
                <w:sz w:val="24"/>
                <w:highlight w:val="none"/>
              </w:rPr>
            </w:pPr>
          </w:p>
        </w:tc>
        <w:tc>
          <w:tcPr>
            <w:tcW w:w="1224" w:type="dxa"/>
            <w:gridSpan w:val="4"/>
            <w:vAlign w:val="center"/>
          </w:tcPr>
          <w:p w14:paraId="531E6A7D">
            <w:pPr>
              <w:autoSpaceDE w:val="0"/>
              <w:autoSpaceDN w:val="0"/>
              <w:jc w:val="center"/>
              <w:rPr>
                <w:rFonts w:ascii="宋体" w:cs="宋体"/>
                <w:color w:val="auto"/>
                <w:kern w:val="0"/>
                <w:sz w:val="24"/>
                <w:highlight w:val="none"/>
              </w:rPr>
            </w:pPr>
            <w:r>
              <w:rPr>
                <w:rFonts w:hint="eastAsia" w:ascii="宋体" w:cs="宋体"/>
                <w:color w:val="auto"/>
                <w:kern w:val="0"/>
                <w:sz w:val="24"/>
                <w:highlight w:val="none"/>
              </w:rPr>
              <w:t>电子邮箱</w:t>
            </w:r>
          </w:p>
        </w:tc>
        <w:tc>
          <w:tcPr>
            <w:tcW w:w="2379" w:type="dxa"/>
            <w:gridSpan w:val="4"/>
            <w:vAlign w:val="center"/>
          </w:tcPr>
          <w:p w14:paraId="263700A2">
            <w:pPr>
              <w:autoSpaceDE w:val="0"/>
              <w:autoSpaceDN w:val="0"/>
              <w:jc w:val="center"/>
              <w:rPr>
                <w:color w:val="auto"/>
                <w:kern w:val="0"/>
                <w:sz w:val="24"/>
                <w:highlight w:val="none"/>
              </w:rPr>
            </w:pPr>
          </w:p>
        </w:tc>
      </w:tr>
      <w:tr w14:paraId="6A580C0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28" w:type="dxa"/>
            <w:left w:w="28" w:type="dxa"/>
            <w:bottom w:w="28" w:type="dxa"/>
            <w:right w:w="28" w:type="dxa"/>
          </w:tblCellMar>
        </w:tblPrEx>
        <w:trPr>
          <w:trHeight w:val="344" w:hRule="atLeast"/>
        </w:trPr>
        <w:tc>
          <w:tcPr>
            <w:tcW w:w="2079" w:type="dxa"/>
            <w:vAlign w:val="center"/>
          </w:tcPr>
          <w:p w14:paraId="4D564389">
            <w:pPr>
              <w:autoSpaceDE w:val="0"/>
              <w:autoSpaceDN w:val="0"/>
              <w:jc w:val="center"/>
              <w:rPr>
                <w:rFonts w:ascii="宋体" w:cs="宋体"/>
                <w:color w:val="auto"/>
                <w:kern w:val="0"/>
                <w:sz w:val="24"/>
                <w:highlight w:val="none"/>
              </w:rPr>
            </w:pPr>
            <w:r>
              <w:rPr>
                <w:rFonts w:hint="eastAsia" w:ascii="宋体" w:cs="宋体"/>
                <w:color w:val="auto"/>
                <w:kern w:val="0"/>
                <w:sz w:val="24"/>
                <w:highlight w:val="none"/>
              </w:rPr>
              <w:t>法定代表人</w:t>
            </w:r>
          </w:p>
        </w:tc>
        <w:tc>
          <w:tcPr>
            <w:tcW w:w="1058" w:type="dxa"/>
            <w:vAlign w:val="center"/>
          </w:tcPr>
          <w:p w14:paraId="759DEA0E">
            <w:pPr>
              <w:autoSpaceDE w:val="0"/>
              <w:autoSpaceDN w:val="0"/>
              <w:jc w:val="center"/>
              <w:rPr>
                <w:rFonts w:ascii="宋体" w:cs="宋体"/>
                <w:color w:val="auto"/>
                <w:kern w:val="0"/>
                <w:sz w:val="24"/>
                <w:highlight w:val="none"/>
              </w:rPr>
            </w:pPr>
            <w:r>
              <w:rPr>
                <w:rFonts w:hint="eastAsia" w:ascii="宋体" w:cs="宋体"/>
                <w:color w:val="auto"/>
                <w:kern w:val="0"/>
                <w:sz w:val="24"/>
                <w:highlight w:val="none"/>
              </w:rPr>
              <w:t>姓名</w:t>
            </w:r>
          </w:p>
        </w:tc>
        <w:tc>
          <w:tcPr>
            <w:tcW w:w="1199" w:type="dxa"/>
            <w:vAlign w:val="center"/>
          </w:tcPr>
          <w:p w14:paraId="5CAED6D2">
            <w:pPr>
              <w:autoSpaceDE w:val="0"/>
              <w:autoSpaceDN w:val="0"/>
              <w:jc w:val="center"/>
              <w:rPr>
                <w:rFonts w:ascii="宋体" w:cs="宋体"/>
                <w:color w:val="auto"/>
                <w:kern w:val="0"/>
                <w:sz w:val="24"/>
                <w:highlight w:val="none"/>
              </w:rPr>
            </w:pPr>
          </w:p>
        </w:tc>
        <w:tc>
          <w:tcPr>
            <w:tcW w:w="901" w:type="dxa"/>
            <w:vAlign w:val="center"/>
          </w:tcPr>
          <w:p w14:paraId="4CCC9192">
            <w:pPr>
              <w:autoSpaceDE w:val="0"/>
              <w:autoSpaceDN w:val="0"/>
              <w:jc w:val="center"/>
              <w:rPr>
                <w:rFonts w:ascii="宋体" w:cs="宋体"/>
                <w:color w:val="auto"/>
                <w:kern w:val="0"/>
                <w:sz w:val="24"/>
                <w:highlight w:val="none"/>
              </w:rPr>
            </w:pPr>
            <w:r>
              <w:rPr>
                <w:rFonts w:hint="eastAsia" w:ascii="宋体" w:cs="宋体"/>
                <w:color w:val="auto"/>
                <w:kern w:val="0"/>
                <w:sz w:val="24"/>
                <w:highlight w:val="none"/>
              </w:rPr>
              <w:t>职务</w:t>
            </w:r>
          </w:p>
        </w:tc>
        <w:tc>
          <w:tcPr>
            <w:tcW w:w="1224" w:type="dxa"/>
            <w:gridSpan w:val="4"/>
            <w:vAlign w:val="center"/>
          </w:tcPr>
          <w:p w14:paraId="1AB06EB2">
            <w:pPr>
              <w:autoSpaceDE w:val="0"/>
              <w:autoSpaceDN w:val="0"/>
              <w:jc w:val="center"/>
              <w:rPr>
                <w:color w:val="auto"/>
                <w:kern w:val="0"/>
                <w:sz w:val="24"/>
                <w:highlight w:val="none"/>
              </w:rPr>
            </w:pPr>
          </w:p>
        </w:tc>
        <w:tc>
          <w:tcPr>
            <w:tcW w:w="695" w:type="dxa"/>
            <w:vAlign w:val="center"/>
          </w:tcPr>
          <w:p w14:paraId="0E57FB42">
            <w:pPr>
              <w:autoSpaceDE w:val="0"/>
              <w:autoSpaceDN w:val="0"/>
              <w:jc w:val="center"/>
              <w:rPr>
                <w:rFonts w:ascii="宋体" w:cs="宋体"/>
                <w:color w:val="auto"/>
                <w:kern w:val="0"/>
                <w:sz w:val="24"/>
                <w:highlight w:val="none"/>
              </w:rPr>
            </w:pPr>
            <w:r>
              <w:rPr>
                <w:rFonts w:hint="eastAsia" w:ascii="宋体" w:cs="宋体"/>
                <w:color w:val="auto"/>
                <w:kern w:val="0"/>
                <w:sz w:val="24"/>
                <w:highlight w:val="none"/>
              </w:rPr>
              <w:t>电话</w:t>
            </w:r>
          </w:p>
        </w:tc>
        <w:tc>
          <w:tcPr>
            <w:tcW w:w="1684" w:type="dxa"/>
            <w:gridSpan w:val="3"/>
            <w:vAlign w:val="center"/>
          </w:tcPr>
          <w:p w14:paraId="5B942D62">
            <w:pPr>
              <w:autoSpaceDE w:val="0"/>
              <w:autoSpaceDN w:val="0"/>
              <w:jc w:val="center"/>
              <w:rPr>
                <w:color w:val="auto"/>
                <w:kern w:val="0"/>
                <w:sz w:val="24"/>
                <w:highlight w:val="none"/>
              </w:rPr>
            </w:pPr>
          </w:p>
        </w:tc>
      </w:tr>
      <w:tr w14:paraId="17FB29F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28" w:type="dxa"/>
            <w:left w:w="28" w:type="dxa"/>
            <w:bottom w:w="28" w:type="dxa"/>
            <w:right w:w="28" w:type="dxa"/>
          </w:tblCellMar>
        </w:tblPrEx>
        <w:trPr>
          <w:trHeight w:val="350" w:hRule="atLeast"/>
        </w:trPr>
        <w:tc>
          <w:tcPr>
            <w:tcW w:w="2079" w:type="dxa"/>
            <w:vAlign w:val="center"/>
          </w:tcPr>
          <w:p w14:paraId="298521F5">
            <w:pPr>
              <w:autoSpaceDE w:val="0"/>
              <w:autoSpaceDN w:val="0"/>
              <w:jc w:val="center"/>
              <w:rPr>
                <w:rFonts w:ascii="宋体" w:cs="宋体"/>
                <w:color w:val="auto"/>
                <w:kern w:val="0"/>
                <w:sz w:val="24"/>
                <w:highlight w:val="none"/>
              </w:rPr>
            </w:pPr>
            <w:r>
              <w:rPr>
                <w:rFonts w:hint="eastAsia" w:ascii="宋体" w:cs="宋体"/>
                <w:color w:val="auto"/>
                <w:kern w:val="0"/>
                <w:sz w:val="24"/>
                <w:highlight w:val="none"/>
              </w:rPr>
              <w:t>技术负责人</w:t>
            </w:r>
          </w:p>
        </w:tc>
        <w:tc>
          <w:tcPr>
            <w:tcW w:w="1058" w:type="dxa"/>
            <w:vAlign w:val="center"/>
          </w:tcPr>
          <w:p w14:paraId="2713ECEF">
            <w:pPr>
              <w:autoSpaceDE w:val="0"/>
              <w:autoSpaceDN w:val="0"/>
              <w:jc w:val="center"/>
              <w:rPr>
                <w:rFonts w:ascii="宋体" w:cs="宋体"/>
                <w:color w:val="auto"/>
                <w:kern w:val="0"/>
                <w:sz w:val="24"/>
                <w:highlight w:val="none"/>
              </w:rPr>
            </w:pPr>
            <w:r>
              <w:rPr>
                <w:rFonts w:hint="eastAsia" w:ascii="宋体" w:cs="宋体"/>
                <w:color w:val="auto"/>
                <w:kern w:val="0"/>
                <w:sz w:val="24"/>
                <w:highlight w:val="none"/>
              </w:rPr>
              <w:t>姓名</w:t>
            </w:r>
          </w:p>
        </w:tc>
        <w:tc>
          <w:tcPr>
            <w:tcW w:w="1199" w:type="dxa"/>
            <w:vAlign w:val="center"/>
          </w:tcPr>
          <w:p w14:paraId="3861E9A3">
            <w:pPr>
              <w:autoSpaceDE w:val="0"/>
              <w:autoSpaceDN w:val="0"/>
              <w:jc w:val="center"/>
              <w:rPr>
                <w:rFonts w:ascii="宋体" w:cs="宋体"/>
                <w:color w:val="auto"/>
                <w:kern w:val="0"/>
                <w:sz w:val="24"/>
                <w:highlight w:val="none"/>
              </w:rPr>
            </w:pPr>
          </w:p>
        </w:tc>
        <w:tc>
          <w:tcPr>
            <w:tcW w:w="901" w:type="dxa"/>
            <w:vAlign w:val="center"/>
          </w:tcPr>
          <w:p w14:paraId="098666BC">
            <w:pPr>
              <w:autoSpaceDE w:val="0"/>
              <w:autoSpaceDN w:val="0"/>
              <w:jc w:val="center"/>
              <w:rPr>
                <w:rFonts w:ascii="宋体" w:cs="宋体"/>
                <w:color w:val="auto"/>
                <w:kern w:val="0"/>
                <w:sz w:val="24"/>
                <w:highlight w:val="none"/>
              </w:rPr>
            </w:pPr>
            <w:r>
              <w:rPr>
                <w:rFonts w:hint="eastAsia" w:ascii="宋体" w:cs="宋体"/>
                <w:color w:val="auto"/>
                <w:kern w:val="0"/>
                <w:sz w:val="24"/>
                <w:highlight w:val="none"/>
              </w:rPr>
              <w:t>职称</w:t>
            </w:r>
          </w:p>
        </w:tc>
        <w:tc>
          <w:tcPr>
            <w:tcW w:w="1224" w:type="dxa"/>
            <w:gridSpan w:val="4"/>
            <w:vAlign w:val="center"/>
          </w:tcPr>
          <w:p w14:paraId="19144401">
            <w:pPr>
              <w:autoSpaceDE w:val="0"/>
              <w:autoSpaceDN w:val="0"/>
              <w:jc w:val="center"/>
              <w:rPr>
                <w:color w:val="auto"/>
                <w:kern w:val="0"/>
                <w:sz w:val="24"/>
                <w:highlight w:val="none"/>
              </w:rPr>
            </w:pPr>
          </w:p>
        </w:tc>
        <w:tc>
          <w:tcPr>
            <w:tcW w:w="695" w:type="dxa"/>
            <w:vAlign w:val="center"/>
          </w:tcPr>
          <w:p w14:paraId="36572BA5">
            <w:pPr>
              <w:autoSpaceDE w:val="0"/>
              <w:autoSpaceDN w:val="0"/>
              <w:jc w:val="center"/>
              <w:rPr>
                <w:rFonts w:ascii="宋体" w:cs="宋体"/>
                <w:color w:val="auto"/>
                <w:kern w:val="0"/>
                <w:sz w:val="24"/>
                <w:highlight w:val="none"/>
              </w:rPr>
            </w:pPr>
            <w:r>
              <w:rPr>
                <w:rFonts w:hint="eastAsia" w:ascii="宋体" w:cs="宋体"/>
                <w:color w:val="auto"/>
                <w:kern w:val="0"/>
                <w:sz w:val="24"/>
                <w:highlight w:val="none"/>
              </w:rPr>
              <w:t>电话</w:t>
            </w:r>
          </w:p>
        </w:tc>
        <w:tc>
          <w:tcPr>
            <w:tcW w:w="1684" w:type="dxa"/>
            <w:gridSpan w:val="3"/>
            <w:vAlign w:val="center"/>
          </w:tcPr>
          <w:p w14:paraId="3B51CCE5">
            <w:pPr>
              <w:autoSpaceDE w:val="0"/>
              <w:autoSpaceDN w:val="0"/>
              <w:jc w:val="center"/>
              <w:rPr>
                <w:color w:val="auto"/>
                <w:kern w:val="0"/>
                <w:sz w:val="24"/>
                <w:highlight w:val="none"/>
              </w:rPr>
            </w:pPr>
          </w:p>
        </w:tc>
      </w:tr>
      <w:tr w14:paraId="61DBED5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28" w:type="dxa"/>
            <w:left w:w="28" w:type="dxa"/>
            <w:bottom w:w="28" w:type="dxa"/>
            <w:right w:w="28" w:type="dxa"/>
          </w:tblCellMar>
        </w:tblPrEx>
        <w:trPr>
          <w:trHeight w:val="344" w:hRule="atLeast"/>
        </w:trPr>
        <w:tc>
          <w:tcPr>
            <w:tcW w:w="2079" w:type="dxa"/>
            <w:vAlign w:val="center"/>
          </w:tcPr>
          <w:p w14:paraId="67103309">
            <w:pPr>
              <w:autoSpaceDE w:val="0"/>
              <w:autoSpaceDN w:val="0"/>
              <w:jc w:val="center"/>
              <w:rPr>
                <w:rFonts w:ascii="宋体" w:cs="宋体"/>
                <w:color w:val="auto"/>
                <w:kern w:val="0"/>
                <w:sz w:val="24"/>
                <w:highlight w:val="none"/>
              </w:rPr>
            </w:pPr>
            <w:r>
              <w:rPr>
                <w:rFonts w:hint="eastAsia" w:ascii="宋体" w:cs="宋体"/>
                <w:color w:val="auto"/>
                <w:kern w:val="0"/>
                <w:sz w:val="24"/>
                <w:highlight w:val="none"/>
              </w:rPr>
              <w:t>资质证书</w:t>
            </w:r>
          </w:p>
        </w:tc>
        <w:tc>
          <w:tcPr>
            <w:tcW w:w="6761" w:type="dxa"/>
            <w:gridSpan w:val="11"/>
            <w:vAlign w:val="center"/>
          </w:tcPr>
          <w:p w14:paraId="59ADA08E">
            <w:pPr>
              <w:autoSpaceDE w:val="0"/>
              <w:autoSpaceDN w:val="0"/>
              <w:rPr>
                <w:color w:val="auto"/>
                <w:kern w:val="0"/>
                <w:sz w:val="24"/>
                <w:highlight w:val="none"/>
              </w:rPr>
            </w:pPr>
            <w:r>
              <w:rPr>
                <w:rFonts w:hint="eastAsia"/>
                <w:color w:val="auto"/>
                <w:kern w:val="0"/>
                <w:sz w:val="24"/>
                <w:highlight w:val="none"/>
              </w:rPr>
              <w:t>类型：           等级：           证书号：</w:t>
            </w:r>
          </w:p>
        </w:tc>
      </w:tr>
      <w:tr w14:paraId="22AEADB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28" w:type="dxa"/>
            <w:left w:w="28" w:type="dxa"/>
            <w:bottom w:w="28" w:type="dxa"/>
            <w:right w:w="28" w:type="dxa"/>
          </w:tblCellMar>
        </w:tblPrEx>
        <w:trPr>
          <w:trHeight w:val="344" w:hRule="atLeast"/>
        </w:trPr>
        <w:tc>
          <w:tcPr>
            <w:tcW w:w="2079" w:type="dxa"/>
            <w:vAlign w:val="center"/>
          </w:tcPr>
          <w:p w14:paraId="77881076">
            <w:pPr>
              <w:autoSpaceDE w:val="0"/>
              <w:autoSpaceDN w:val="0"/>
              <w:jc w:val="center"/>
              <w:rPr>
                <w:rFonts w:ascii="宋体" w:cs="宋体"/>
                <w:color w:val="auto"/>
                <w:kern w:val="0"/>
                <w:sz w:val="24"/>
                <w:highlight w:val="none"/>
              </w:rPr>
            </w:pPr>
            <w:r>
              <w:rPr>
                <w:rFonts w:hint="eastAsia" w:ascii="宋体" w:cs="宋体"/>
                <w:color w:val="auto"/>
                <w:kern w:val="0"/>
                <w:sz w:val="24"/>
                <w:highlight w:val="none"/>
              </w:rPr>
              <w:t>质量管理体系证书（如有）</w:t>
            </w:r>
          </w:p>
        </w:tc>
        <w:tc>
          <w:tcPr>
            <w:tcW w:w="6761" w:type="dxa"/>
            <w:gridSpan w:val="11"/>
            <w:vAlign w:val="center"/>
          </w:tcPr>
          <w:p w14:paraId="1D128E21">
            <w:pPr>
              <w:autoSpaceDE w:val="0"/>
              <w:autoSpaceDN w:val="0"/>
              <w:rPr>
                <w:color w:val="auto"/>
                <w:kern w:val="0"/>
                <w:sz w:val="24"/>
                <w:highlight w:val="none"/>
              </w:rPr>
            </w:pPr>
            <w:r>
              <w:rPr>
                <w:rFonts w:hint="eastAsia"/>
                <w:color w:val="auto"/>
                <w:kern w:val="0"/>
                <w:sz w:val="24"/>
                <w:highlight w:val="none"/>
              </w:rPr>
              <w:t>类型：           等级：           证书号：</w:t>
            </w:r>
          </w:p>
        </w:tc>
      </w:tr>
      <w:tr w14:paraId="204DF63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28" w:type="dxa"/>
            <w:left w:w="28" w:type="dxa"/>
            <w:bottom w:w="28" w:type="dxa"/>
            <w:right w:w="28" w:type="dxa"/>
          </w:tblCellMar>
        </w:tblPrEx>
        <w:trPr>
          <w:trHeight w:val="344" w:hRule="atLeast"/>
        </w:trPr>
        <w:tc>
          <w:tcPr>
            <w:tcW w:w="2079" w:type="dxa"/>
            <w:vAlign w:val="center"/>
          </w:tcPr>
          <w:p w14:paraId="24F6667A">
            <w:pPr>
              <w:autoSpaceDE w:val="0"/>
              <w:autoSpaceDN w:val="0"/>
              <w:jc w:val="center"/>
              <w:rPr>
                <w:rFonts w:ascii="宋体" w:cs="宋体"/>
                <w:color w:val="auto"/>
                <w:kern w:val="0"/>
                <w:sz w:val="24"/>
                <w:highlight w:val="none"/>
              </w:rPr>
            </w:pPr>
            <w:r>
              <w:rPr>
                <w:rFonts w:hint="eastAsia" w:ascii="宋体" w:cs="宋体"/>
                <w:color w:val="auto"/>
                <w:kern w:val="0"/>
                <w:sz w:val="24"/>
                <w:highlight w:val="none"/>
              </w:rPr>
              <w:t>营业执照号</w:t>
            </w:r>
          </w:p>
        </w:tc>
        <w:tc>
          <w:tcPr>
            <w:tcW w:w="3492" w:type="dxa"/>
            <w:gridSpan w:val="4"/>
            <w:vAlign w:val="center"/>
          </w:tcPr>
          <w:p w14:paraId="5F8A1368">
            <w:pPr>
              <w:autoSpaceDE w:val="0"/>
              <w:autoSpaceDN w:val="0"/>
              <w:jc w:val="center"/>
              <w:rPr>
                <w:color w:val="auto"/>
                <w:kern w:val="0"/>
                <w:sz w:val="24"/>
                <w:highlight w:val="none"/>
              </w:rPr>
            </w:pPr>
          </w:p>
        </w:tc>
        <w:tc>
          <w:tcPr>
            <w:tcW w:w="1977" w:type="dxa"/>
            <w:gridSpan w:val="6"/>
            <w:vAlign w:val="center"/>
          </w:tcPr>
          <w:p w14:paraId="5A96849E">
            <w:pPr>
              <w:autoSpaceDE w:val="0"/>
              <w:autoSpaceDN w:val="0"/>
              <w:jc w:val="center"/>
              <w:rPr>
                <w:color w:val="auto"/>
                <w:kern w:val="0"/>
                <w:sz w:val="24"/>
                <w:highlight w:val="none"/>
              </w:rPr>
            </w:pPr>
            <w:r>
              <w:rPr>
                <w:rFonts w:hint="eastAsia" w:ascii="宋体" w:cs="宋体"/>
                <w:color w:val="auto"/>
                <w:kern w:val="0"/>
                <w:sz w:val="24"/>
                <w:highlight w:val="none"/>
              </w:rPr>
              <w:t>员工总人数</w:t>
            </w:r>
          </w:p>
        </w:tc>
        <w:tc>
          <w:tcPr>
            <w:tcW w:w="1292" w:type="dxa"/>
            <w:vAlign w:val="center"/>
          </w:tcPr>
          <w:p w14:paraId="3CE63332">
            <w:pPr>
              <w:autoSpaceDE w:val="0"/>
              <w:autoSpaceDN w:val="0"/>
              <w:jc w:val="center"/>
              <w:rPr>
                <w:color w:val="auto"/>
                <w:kern w:val="0"/>
                <w:sz w:val="24"/>
                <w:highlight w:val="none"/>
              </w:rPr>
            </w:pPr>
          </w:p>
        </w:tc>
      </w:tr>
      <w:tr w14:paraId="6494836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28" w:type="dxa"/>
            <w:left w:w="28" w:type="dxa"/>
            <w:bottom w:w="28" w:type="dxa"/>
            <w:right w:w="28" w:type="dxa"/>
          </w:tblCellMar>
        </w:tblPrEx>
        <w:trPr>
          <w:trHeight w:val="90" w:hRule="atLeast"/>
        </w:trPr>
        <w:tc>
          <w:tcPr>
            <w:tcW w:w="2079" w:type="dxa"/>
            <w:vAlign w:val="center"/>
          </w:tcPr>
          <w:p w14:paraId="02FB2C7D">
            <w:pPr>
              <w:autoSpaceDE w:val="0"/>
              <w:autoSpaceDN w:val="0"/>
              <w:jc w:val="center"/>
              <w:rPr>
                <w:rFonts w:ascii="宋体" w:cs="宋体"/>
                <w:color w:val="auto"/>
                <w:kern w:val="0"/>
                <w:sz w:val="24"/>
                <w:highlight w:val="none"/>
              </w:rPr>
            </w:pPr>
            <w:r>
              <w:rPr>
                <w:rFonts w:hint="eastAsia" w:ascii="宋体" w:cs="宋体"/>
                <w:color w:val="auto"/>
                <w:kern w:val="0"/>
                <w:sz w:val="24"/>
                <w:highlight w:val="none"/>
              </w:rPr>
              <w:t>注册资本</w:t>
            </w:r>
          </w:p>
        </w:tc>
        <w:tc>
          <w:tcPr>
            <w:tcW w:w="3492" w:type="dxa"/>
            <w:gridSpan w:val="4"/>
            <w:vAlign w:val="center"/>
          </w:tcPr>
          <w:p w14:paraId="1D9AA782">
            <w:pPr>
              <w:autoSpaceDE w:val="0"/>
              <w:autoSpaceDN w:val="0"/>
              <w:jc w:val="center"/>
              <w:rPr>
                <w:color w:val="auto"/>
                <w:kern w:val="0"/>
                <w:sz w:val="24"/>
                <w:highlight w:val="none"/>
              </w:rPr>
            </w:pPr>
          </w:p>
        </w:tc>
        <w:tc>
          <w:tcPr>
            <w:tcW w:w="337" w:type="dxa"/>
            <w:gridSpan w:val="2"/>
            <w:vMerge w:val="restart"/>
            <w:vAlign w:val="center"/>
          </w:tcPr>
          <w:p w14:paraId="21C67743">
            <w:pPr>
              <w:autoSpaceDE w:val="0"/>
              <w:autoSpaceDN w:val="0"/>
              <w:jc w:val="center"/>
              <w:rPr>
                <w:color w:val="auto"/>
                <w:kern w:val="0"/>
                <w:sz w:val="24"/>
                <w:highlight w:val="none"/>
              </w:rPr>
            </w:pPr>
            <w:r>
              <w:rPr>
                <w:rFonts w:hint="eastAsia" w:ascii="宋体" w:cs="宋体"/>
                <w:color w:val="auto"/>
                <w:kern w:val="0"/>
                <w:sz w:val="24"/>
                <w:highlight w:val="none"/>
              </w:rPr>
              <w:t>其中</w:t>
            </w:r>
          </w:p>
        </w:tc>
        <w:tc>
          <w:tcPr>
            <w:tcW w:w="1640" w:type="dxa"/>
            <w:gridSpan w:val="4"/>
            <w:vAlign w:val="center"/>
          </w:tcPr>
          <w:p w14:paraId="5D639B0F">
            <w:pPr>
              <w:jc w:val="left"/>
              <w:rPr>
                <w:rFonts w:ascii="宋体" w:cs="宋体"/>
                <w:color w:val="auto"/>
                <w:kern w:val="0"/>
                <w:sz w:val="24"/>
                <w:highlight w:val="none"/>
              </w:rPr>
            </w:pPr>
            <w:r>
              <w:rPr>
                <w:rFonts w:hint="eastAsia" w:ascii="宋体" w:cs="宋体"/>
                <w:color w:val="auto"/>
                <w:kern w:val="0"/>
                <w:sz w:val="24"/>
                <w:highlight w:val="none"/>
              </w:rPr>
              <w:t>高级职称人员</w:t>
            </w:r>
          </w:p>
        </w:tc>
        <w:tc>
          <w:tcPr>
            <w:tcW w:w="1292" w:type="dxa"/>
            <w:vAlign w:val="center"/>
          </w:tcPr>
          <w:p w14:paraId="541F3F6B">
            <w:pPr>
              <w:autoSpaceDE w:val="0"/>
              <w:autoSpaceDN w:val="0"/>
              <w:jc w:val="center"/>
              <w:rPr>
                <w:color w:val="auto"/>
                <w:kern w:val="0"/>
                <w:sz w:val="24"/>
                <w:highlight w:val="none"/>
              </w:rPr>
            </w:pPr>
          </w:p>
        </w:tc>
      </w:tr>
      <w:tr w14:paraId="2E4CE46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28" w:type="dxa"/>
            <w:left w:w="28" w:type="dxa"/>
            <w:bottom w:w="28" w:type="dxa"/>
            <w:right w:w="28" w:type="dxa"/>
          </w:tblCellMar>
        </w:tblPrEx>
        <w:trPr>
          <w:trHeight w:val="344" w:hRule="atLeast"/>
        </w:trPr>
        <w:tc>
          <w:tcPr>
            <w:tcW w:w="2079" w:type="dxa"/>
            <w:vAlign w:val="center"/>
          </w:tcPr>
          <w:p w14:paraId="64534C75">
            <w:pPr>
              <w:autoSpaceDE w:val="0"/>
              <w:autoSpaceDN w:val="0"/>
              <w:jc w:val="center"/>
              <w:rPr>
                <w:rFonts w:ascii="宋体" w:cs="宋体"/>
                <w:color w:val="auto"/>
                <w:kern w:val="0"/>
                <w:sz w:val="24"/>
                <w:highlight w:val="none"/>
              </w:rPr>
            </w:pPr>
            <w:r>
              <w:rPr>
                <w:rFonts w:hint="eastAsia" w:ascii="宋体" w:cs="宋体"/>
                <w:color w:val="auto"/>
                <w:kern w:val="0"/>
                <w:sz w:val="24"/>
                <w:highlight w:val="none"/>
              </w:rPr>
              <w:t>成立日期</w:t>
            </w:r>
          </w:p>
        </w:tc>
        <w:tc>
          <w:tcPr>
            <w:tcW w:w="3492" w:type="dxa"/>
            <w:gridSpan w:val="4"/>
            <w:vAlign w:val="center"/>
          </w:tcPr>
          <w:p w14:paraId="281CC583">
            <w:pPr>
              <w:autoSpaceDE w:val="0"/>
              <w:autoSpaceDN w:val="0"/>
              <w:jc w:val="center"/>
              <w:rPr>
                <w:rFonts w:ascii="宋体" w:cs="宋体"/>
                <w:color w:val="auto"/>
                <w:kern w:val="0"/>
                <w:sz w:val="24"/>
                <w:highlight w:val="none"/>
              </w:rPr>
            </w:pPr>
          </w:p>
        </w:tc>
        <w:tc>
          <w:tcPr>
            <w:tcW w:w="337" w:type="dxa"/>
            <w:gridSpan w:val="2"/>
            <w:vMerge w:val="continue"/>
            <w:vAlign w:val="center"/>
          </w:tcPr>
          <w:p w14:paraId="50D9CF47">
            <w:pPr>
              <w:autoSpaceDE w:val="0"/>
              <w:autoSpaceDN w:val="0"/>
              <w:jc w:val="center"/>
              <w:rPr>
                <w:color w:val="auto"/>
                <w:kern w:val="0"/>
                <w:sz w:val="24"/>
                <w:highlight w:val="none"/>
              </w:rPr>
            </w:pPr>
          </w:p>
        </w:tc>
        <w:tc>
          <w:tcPr>
            <w:tcW w:w="1640" w:type="dxa"/>
            <w:gridSpan w:val="4"/>
            <w:vAlign w:val="center"/>
          </w:tcPr>
          <w:p w14:paraId="66FD6A59">
            <w:pPr>
              <w:autoSpaceDE w:val="0"/>
              <w:autoSpaceDN w:val="0"/>
              <w:jc w:val="center"/>
              <w:rPr>
                <w:rFonts w:ascii="宋体" w:cs="宋体"/>
                <w:color w:val="auto"/>
                <w:kern w:val="0"/>
                <w:sz w:val="24"/>
                <w:highlight w:val="none"/>
              </w:rPr>
            </w:pPr>
            <w:r>
              <w:rPr>
                <w:rFonts w:hint="eastAsia" w:ascii="宋体" w:cs="宋体"/>
                <w:color w:val="auto"/>
                <w:kern w:val="0"/>
                <w:sz w:val="24"/>
                <w:highlight w:val="none"/>
              </w:rPr>
              <w:t>中级职称人员</w:t>
            </w:r>
          </w:p>
        </w:tc>
        <w:tc>
          <w:tcPr>
            <w:tcW w:w="1292" w:type="dxa"/>
            <w:vAlign w:val="center"/>
          </w:tcPr>
          <w:p w14:paraId="0932A418">
            <w:pPr>
              <w:autoSpaceDE w:val="0"/>
              <w:autoSpaceDN w:val="0"/>
              <w:jc w:val="center"/>
              <w:rPr>
                <w:color w:val="auto"/>
                <w:kern w:val="0"/>
                <w:sz w:val="24"/>
                <w:highlight w:val="none"/>
              </w:rPr>
            </w:pPr>
          </w:p>
        </w:tc>
      </w:tr>
      <w:tr w14:paraId="71AAB71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28" w:type="dxa"/>
            <w:left w:w="28" w:type="dxa"/>
            <w:bottom w:w="28" w:type="dxa"/>
            <w:right w:w="28" w:type="dxa"/>
          </w:tblCellMar>
        </w:tblPrEx>
        <w:trPr>
          <w:trHeight w:val="350" w:hRule="atLeast"/>
        </w:trPr>
        <w:tc>
          <w:tcPr>
            <w:tcW w:w="2079" w:type="dxa"/>
            <w:vAlign w:val="center"/>
          </w:tcPr>
          <w:p w14:paraId="0FB34348">
            <w:pPr>
              <w:autoSpaceDE w:val="0"/>
              <w:autoSpaceDN w:val="0"/>
              <w:jc w:val="center"/>
              <w:rPr>
                <w:rFonts w:ascii="宋体" w:cs="宋体"/>
                <w:color w:val="auto"/>
                <w:kern w:val="0"/>
                <w:sz w:val="24"/>
                <w:highlight w:val="none"/>
              </w:rPr>
            </w:pPr>
            <w:r>
              <w:rPr>
                <w:rFonts w:hint="eastAsia" w:ascii="宋体" w:cs="宋体"/>
                <w:color w:val="auto"/>
                <w:kern w:val="0"/>
                <w:sz w:val="24"/>
                <w:highlight w:val="none"/>
              </w:rPr>
              <w:t>基本账户开户银行</w:t>
            </w:r>
          </w:p>
        </w:tc>
        <w:tc>
          <w:tcPr>
            <w:tcW w:w="3492" w:type="dxa"/>
            <w:gridSpan w:val="4"/>
            <w:vAlign w:val="center"/>
          </w:tcPr>
          <w:p w14:paraId="73BB54BA">
            <w:pPr>
              <w:autoSpaceDE w:val="0"/>
              <w:autoSpaceDN w:val="0"/>
              <w:jc w:val="center"/>
              <w:rPr>
                <w:color w:val="auto"/>
                <w:kern w:val="0"/>
                <w:sz w:val="24"/>
                <w:highlight w:val="none"/>
              </w:rPr>
            </w:pPr>
          </w:p>
        </w:tc>
        <w:tc>
          <w:tcPr>
            <w:tcW w:w="337" w:type="dxa"/>
            <w:gridSpan w:val="2"/>
            <w:vMerge w:val="continue"/>
            <w:vAlign w:val="center"/>
          </w:tcPr>
          <w:p w14:paraId="6DD3B3AE">
            <w:pPr>
              <w:autoSpaceDE w:val="0"/>
              <w:autoSpaceDN w:val="0"/>
              <w:jc w:val="center"/>
              <w:rPr>
                <w:color w:val="auto"/>
                <w:kern w:val="0"/>
                <w:sz w:val="24"/>
                <w:highlight w:val="none"/>
              </w:rPr>
            </w:pPr>
          </w:p>
        </w:tc>
        <w:tc>
          <w:tcPr>
            <w:tcW w:w="1640" w:type="dxa"/>
            <w:gridSpan w:val="4"/>
            <w:vAlign w:val="center"/>
          </w:tcPr>
          <w:p w14:paraId="2292DDA8">
            <w:pPr>
              <w:autoSpaceDE w:val="0"/>
              <w:autoSpaceDN w:val="0"/>
              <w:jc w:val="center"/>
              <w:rPr>
                <w:rFonts w:ascii="宋体" w:cs="宋体"/>
                <w:color w:val="auto"/>
                <w:kern w:val="0"/>
                <w:sz w:val="24"/>
                <w:highlight w:val="none"/>
              </w:rPr>
            </w:pPr>
            <w:r>
              <w:rPr>
                <w:rFonts w:hint="eastAsia" w:ascii="宋体" w:cs="宋体"/>
                <w:color w:val="auto"/>
                <w:kern w:val="0"/>
                <w:sz w:val="24"/>
                <w:highlight w:val="none"/>
              </w:rPr>
              <w:t>技术人员数量</w:t>
            </w:r>
          </w:p>
        </w:tc>
        <w:tc>
          <w:tcPr>
            <w:tcW w:w="1292" w:type="dxa"/>
            <w:vAlign w:val="center"/>
          </w:tcPr>
          <w:p w14:paraId="60B50C1F">
            <w:pPr>
              <w:autoSpaceDE w:val="0"/>
              <w:autoSpaceDN w:val="0"/>
              <w:jc w:val="center"/>
              <w:rPr>
                <w:color w:val="auto"/>
                <w:kern w:val="0"/>
                <w:sz w:val="24"/>
                <w:highlight w:val="none"/>
              </w:rPr>
            </w:pPr>
          </w:p>
        </w:tc>
      </w:tr>
      <w:tr w14:paraId="7C282CB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28" w:type="dxa"/>
            <w:left w:w="28" w:type="dxa"/>
            <w:bottom w:w="28" w:type="dxa"/>
            <w:right w:w="28" w:type="dxa"/>
          </w:tblCellMar>
        </w:tblPrEx>
        <w:trPr>
          <w:trHeight w:val="344" w:hRule="atLeast"/>
        </w:trPr>
        <w:tc>
          <w:tcPr>
            <w:tcW w:w="2079" w:type="dxa"/>
            <w:vAlign w:val="center"/>
          </w:tcPr>
          <w:p w14:paraId="34874EDD">
            <w:pPr>
              <w:autoSpaceDE w:val="0"/>
              <w:autoSpaceDN w:val="0"/>
              <w:jc w:val="center"/>
              <w:rPr>
                <w:rFonts w:ascii="宋体" w:cs="宋体"/>
                <w:color w:val="auto"/>
                <w:kern w:val="0"/>
                <w:sz w:val="24"/>
                <w:highlight w:val="none"/>
              </w:rPr>
            </w:pPr>
            <w:r>
              <w:rPr>
                <w:rFonts w:hint="eastAsia" w:ascii="宋体" w:cs="宋体"/>
                <w:color w:val="auto"/>
                <w:kern w:val="0"/>
                <w:sz w:val="24"/>
                <w:highlight w:val="none"/>
              </w:rPr>
              <w:t>基本账户银行账号</w:t>
            </w:r>
          </w:p>
        </w:tc>
        <w:tc>
          <w:tcPr>
            <w:tcW w:w="3492" w:type="dxa"/>
            <w:gridSpan w:val="4"/>
            <w:vAlign w:val="center"/>
          </w:tcPr>
          <w:p w14:paraId="24141EC9">
            <w:pPr>
              <w:autoSpaceDE w:val="0"/>
              <w:autoSpaceDN w:val="0"/>
              <w:jc w:val="center"/>
              <w:rPr>
                <w:color w:val="auto"/>
                <w:kern w:val="0"/>
                <w:sz w:val="24"/>
                <w:highlight w:val="none"/>
              </w:rPr>
            </w:pPr>
          </w:p>
        </w:tc>
        <w:tc>
          <w:tcPr>
            <w:tcW w:w="337" w:type="dxa"/>
            <w:gridSpan w:val="2"/>
            <w:vMerge w:val="continue"/>
            <w:vAlign w:val="center"/>
          </w:tcPr>
          <w:p w14:paraId="1E93DFFA">
            <w:pPr>
              <w:autoSpaceDE w:val="0"/>
              <w:autoSpaceDN w:val="0"/>
              <w:jc w:val="center"/>
              <w:rPr>
                <w:color w:val="auto"/>
                <w:kern w:val="0"/>
                <w:sz w:val="24"/>
                <w:highlight w:val="none"/>
              </w:rPr>
            </w:pPr>
          </w:p>
        </w:tc>
        <w:tc>
          <w:tcPr>
            <w:tcW w:w="1640" w:type="dxa"/>
            <w:gridSpan w:val="4"/>
            <w:vAlign w:val="center"/>
          </w:tcPr>
          <w:p w14:paraId="0F933A13">
            <w:pPr>
              <w:autoSpaceDE w:val="0"/>
              <w:autoSpaceDN w:val="0"/>
              <w:jc w:val="center"/>
              <w:rPr>
                <w:rFonts w:ascii="宋体" w:cs="宋体"/>
                <w:color w:val="auto"/>
                <w:kern w:val="0"/>
                <w:sz w:val="24"/>
                <w:highlight w:val="none"/>
              </w:rPr>
            </w:pPr>
            <w:r>
              <w:rPr>
                <w:rFonts w:hint="eastAsia" w:ascii="宋体" w:cs="宋体"/>
                <w:color w:val="auto"/>
                <w:kern w:val="0"/>
                <w:sz w:val="24"/>
                <w:highlight w:val="none"/>
              </w:rPr>
              <w:t>各类注册人员</w:t>
            </w:r>
          </w:p>
        </w:tc>
        <w:tc>
          <w:tcPr>
            <w:tcW w:w="1292" w:type="dxa"/>
            <w:vAlign w:val="center"/>
          </w:tcPr>
          <w:p w14:paraId="7A5EF026">
            <w:pPr>
              <w:autoSpaceDE w:val="0"/>
              <w:autoSpaceDN w:val="0"/>
              <w:jc w:val="center"/>
              <w:rPr>
                <w:color w:val="auto"/>
                <w:kern w:val="0"/>
                <w:sz w:val="24"/>
                <w:highlight w:val="none"/>
              </w:rPr>
            </w:pPr>
          </w:p>
        </w:tc>
      </w:tr>
      <w:tr w14:paraId="2ADFF03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28" w:type="dxa"/>
            <w:left w:w="28" w:type="dxa"/>
            <w:bottom w:w="28" w:type="dxa"/>
            <w:right w:w="28" w:type="dxa"/>
          </w:tblCellMar>
        </w:tblPrEx>
        <w:trPr>
          <w:trHeight w:val="732" w:hRule="atLeast"/>
        </w:trPr>
        <w:tc>
          <w:tcPr>
            <w:tcW w:w="2079" w:type="dxa"/>
            <w:vAlign w:val="center"/>
          </w:tcPr>
          <w:p w14:paraId="6ED9693E">
            <w:pPr>
              <w:autoSpaceDE w:val="0"/>
              <w:autoSpaceDN w:val="0"/>
              <w:jc w:val="center"/>
              <w:rPr>
                <w:rFonts w:ascii="宋体" w:cs="宋体"/>
                <w:color w:val="auto"/>
                <w:kern w:val="0"/>
                <w:sz w:val="24"/>
                <w:highlight w:val="none"/>
              </w:rPr>
            </w:pPr>
            <w:r>
              <w:rPr>
                <w:rFonts w:hint="eastAsia" w:ascii="宋体" w:cs="宋体"/>
                <w:color w:val="auto"/>
                <w:kern w:val="0"/>
                <w:sz w:val="24"/>
                <w:highlight w:val="none"/>
              </w:rPr>
              <w:t>经营范围</w:t>
            </w:r>
          </w:p>
        </w:tc>
        <w:tc>
          <w:tcPr>
            <w:tcW w:w="6761" w:type="dxa"/>
            <w:gridSpan w:val="11"/>
            <w:vAlign w:val="center"/>
          </w:tcPr>
          <w:p w14:paraId="4561ED06">
            <w:pPr>
              <w:autoSpaceDE w:val="0"/>
              <w:autoSpaceDN w:val="0"/>
              <w:jc w:val="center"/>
              <w:rPr>
                <w:color w:val="auto"/>
                <w:kern w:val="0"/>
                <w:sz w:val="24"/>
                <w:highlight w:val="none"/>
              </w:rPr>
            </w:pPr>
          </w:p>
        </w:tc>
      </w:tr>
      <w:tr w14:paraId="6D82BD3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28" w:type="dxa"/>
            <w:left w:w="28" w:type="dxa"/>
            <w:bottom w:w="28" w:type="dxa"/>
            <w:right w:w="28" w:type="dxa"/>
          </w:tblCellMar>
        </w:tblPrEx>
        <w:trPr>
          <w:trHeight w:val="2045" w:hRule="atLeast"/>
        </w:trPr>
        <w:tc>
          <w:tcPr>
            <w:tcW w:w="2079" w:type="dxa"/>
            <w:vAlign w:val="center"/>
          </w:tcPr>
          <w:p w14:paraId="27ACC0F1">
            <w:pPr>
              <w:autoSpaceDE w:val="0"/>
              <w:autoSpaceDN w:val="0"/>
              <w:jc w:val="center"/>
              <w:rPr>
                <w:color w:val="auto"/>
                <w:highlight w:val="none"/>
              </w:rPr>
            </w:pPr>
            <w:r>
              <w:rPr>
                <w:rFonts w:hint="eastAsia" w:ascii="宋体" w:cs="宋体"/>
                <w:color w:val="auto"/>
                <w:kern w:val="0"/>
                <w:sz w:val="24"/>
                <w:highlight w:val="none"/>
              </w:rPr>
              <w:t>投标人关联企业情况（包括但不限于与投标人法定代表人为同一人或者存在控股、管理关系的不同单位）</w:t>
            </w:r>
          </w:p>
        </w:tc>
        <w:tc>
          <w:tcPr>
            <w:tcW w:w="6761" w:type="dxa"/>
            <w:gridSpan w:val="11"/>
            <w:vAlign w:val="center"/>
          </w:tcPr>
          <w:p w14:paraId="444C559A">
            <w:pPr>
              <w:autoSpaceDE w:val="0"/>
              <w:autoSpaceDN w:val="0"/>
              <w:jc w:val="center"/>
              <w:rPr>
                <w:color w:val="auto"/>
                <w:kern w:val="0"/>
                <w:sz w:val="24"/>
                <w:highlight w:val="none"/>
              </w:rPr>
            </w:pPr>
          </w:p>
        </w:tc>
      </w:tr>
      <w:tr w14:paraId="3C05F8A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28" w:type="dxa"/>
            <w:left w:w="28" w:type="dxa"/>
            <w:bottom w:w="28" w:type="dxa"/>
            <w:right w:w="28" w:type="dxa"/>
          </w:tblCellMar>
        </w:tblPrEx>
        <w:trPr>
          <w:trHeight w:val="640" w:hRule="atLeast"/>
        </w:trPr>
        <w:tc>
          <w:tcPr>
            <w:tcW w:w="2079" w:type="dxa"/>
            <w:vAlign w:val="center"/>
          </w:tcPr>
          <w:p w14:paraId="44104A84">
            <w:pPr>
              <w:autoSpaceDE w:val="0"/>
              <w:autoSpaceDN w:val="0"/>
              <w:jc w:val="center"/>
              <w:rPr>
                <w:rFonts w:ascii="宋体" w:cs="宋体"/>
                <w:color w:val="auto"/>
                <w:kern w:val="0"/>
                <w:sz w:val="24"/>
                <w:highlight w:val="none"/>
              </w:rPr>
            </w:pPr>
            <w:r>
              <w:rPr>
                <w:rFonts w:hint="eastAsia" w:ascii="宋体" w:cs="宋体"/>
                <w:color w:val="auto"/>
                <w:kern w:val="0"/>
                <w:sz w:val="24"/>
                <w:highlight w:val="none"/>
              </w:rPr>
              <w:t>备注</w:t>
            </w:r>
          </w:p>
        </w:tc>
        <w:tc>
          <w:tcPr>
            <w:tcW w:w="6761" w:type="dxa"/>
            <w:gridSpan w:val="11"/>
            <w:vAlign w:val="center"/>
          </w:tcPr>
          <w:p w14:paraId="73EB2D9A">
            <w:pPr>
              <w:autoSpaceDE w:val="0"/>
              <w:autoSpaceDN w:val="0"/>
              <w:jc w:val="center"/>
              <w:rPr>
                <w:color w:val="auto"/>
                <w:kern w:val="0"/>
                <w:sz w:val="24"/>
                <w:highlight w:val="none"/>
              </w:rPr>
            </w:pPr>
          </w:p>
        </w:tc>
      </w:tr>
    </w:tbl>
    <w:p w14:paraId="45EAD322">
      <w:pPr>
        <w:autoSpaceDE w:val="0"/>
        <w:autoSpaceDN w:val="0"/>
        <w:adjustRightInd w:val="0"/>
        <w:spacing w:line="160" w:lineRule="exact"/>
        <w:jc w:val="left"/>
        <w:rPr>
          <w:color w:val="auto"/>
          <w:kern w:val="0"/>
          <w:sz w:val="24"/>
          <w:highlight w:val="none"/>
        </w:rPr>
      </w:pPr>
    </w:p>
    <w:p w14:paraId="5B64D824">
      <w:pPr>
        <w:pStyle w:val="35"/>
        <w:snapToGrid w:val="0"/>
        <w:ind w:left="359" w:hanging="359" w:hangingChars="171"/>
        <w:rPr>
          <w:rFonts w:hint="default" w:hAnsi="宋体" w:cs="仿宋"/>
          <w:color w:val="auto"/>
          <w:sz w:val="21"/>
          <w:szCs w:val="21"/>
          <w:highlight w:val="none"/>
        </w:rPr>
      </w:pPr>
      <w:r>
        <w:rPr>
          <w:rFonts w:hAnsi="宋体" w:cs="仿宋"/>
          <w:color w:val="auto"/>
          <w:sz w:val="21"/>
          <w:szCs w:val="21"/>
          <w:highlight w:val="none"/>
        </w:rPr>
        <w:t>注:在本表后应附企业法人</w:t>
      </w:r>
      <w:r>
        <w:rPr>
          <w:rFonts w:hAnsi="宋体" w:cs="仿宋"/>
          <w:b/>
          <w:bCs/>
          <w:color w:val="auto"/>
          <w:sz w:val="21"/>
          <w:szCs w:val="21"/>
          <w:highlight w:val="none"/>
        </w:rPr>
        <w:t>营业执照</w:t>
      </w:r>
      <w:r>
        <w:rPr>
          <w:rFonts w:hAnsi="宋体" w:cs="仿宋"/>
          <w:color w:val="auto"/>
          <w:sz w:val="21"/>
          <w:szCs w:val="21"/>
          <w:highlight w:val="none"/>
        </w:rPr>
        <w:t>副本或事业单位法人证书、</w:t>
      </w:r>
      <w:r>
        <w:rPr>
          <w:rFonts w:hAnsi="宋体" w:cs="仿宋"/>
          <w:b/>
          <w:bCs/>
          <w:color w:val="auto"/>
          <w:sz w:val="21"/>
          <w:szCs w:val="21"/>
          <w:highlight w:val="none"/>
        </w:rPr>
        <w:t>资质证书</w:t>
      </w:r>
      <w:r>
        <w:rPr>
          <w:rFonts w:hAnsi="宋体" w:cs="仿宋"/>
          <w:color w:val="auto"/>
          <w:sz w:val="21"/>
          <w:szCs w:val="21"/>
          <w:highlight w:val="none"/>
        </w:rPr>
        <w:t>、质量保证体系认证证书等的原件扫描件及</w:t>
      </w:r>
      <w:r>
        <w:rPr>
          <w:rFonts w:hAnsi="宋体" w:cs="仿宋"/>
          <w:b/>
          <w:bCs/>
          <w:color w:val="auto"/>
          <w:sz w:val="21"/>
          <w:szCs w:val="21"/>
          <w:highlight w:val="none"/>
        </w:rPr>
        <w:t>基本账户开户许可证明</w:t>
      </w:r>
      <w:r>
        <w:rPr>
          <w:rFonts w:hAnsi="宋体" w:cs="仿宋"/>
          <w:color w:val="auto"/>
          <w:sz w:val="21"/>
          <w:szCs w:val="21"/>
          <w:highlight w:val="none"/>
        </w:rPr>
        <w:t>的清晰可辨的原件扫描件。上述所有执照、证书扫描件均应</w:t>
      </w:r>
      <w:r>
        <w:rPr>
          <w:rFonts w:hAnsi="宋体" w:cs="仿宋"/>
          <w:b/>
          <w:bCs/>
          <w:color w:val="auto"/>
          <w:sz w:val="21"/>
          <w:szCs w:val="21"/>
          <w:highlight w:val="none"/>
        </w:rPr>
        <w:t>加盖投供应商单位公章</w:t>
      </w:r>
      <w:r>
        <w:rPr>
          <w:rFonts w:hAnsi="宋体" w:cs="仿宋"/>
          <w:color w:val="auto"/>
          <w:sz w:val="21"/>
          <w:szCs w:val="21"/>
          <w:highlight w:val="none"/>
        </w:rPr>
        <w:t>。</w:t>
      </w:r>
    </w:p>
    <w:p w14:paraId="372559D0">
      <w:pPr>
        <w:pStyle w:val="5"/>
        <w:overflowPunct w:val="0"/>
        <w:spacing w:line="520" w:lineRule="exact"/>
        <w:ind w:firstLine="0"/>
        <w:jc w:val="center"/>
        <w:rPr>
          <w:color w:val="auto"/>
          <w:sz w:val="24"/>
          <w:highlight w:val="none"/>
        </w:rPr>
      </w:pPr>
      <w:r>
        <w:rPr>
          <w:rFonts w:hint="eastAsia"/>
          <w:color w:val="auto"/>
          <w:sz w:val="24"/>
          <w:highlight w:val="none"/>
        </w:rPr>
        <w:t>供应商名称：</w:t>
      </w:r>
      <w:r>
        <w:rPr>
          <w:rFonts w:hint="eastAsia"/>
          <w:color w:val="auto"/>
          <w:sz w:val="24"/>
          <w:highlight w:val="none"/>
          <w:u w:val="single"/>
        </w:rPr>
        <w:t xml:space="preserve">                         </w:t>
      </w:r>
      <w:r>
        <w:rPr>
          <w:rFonts w:hint="eastAsia"/>
          <w:color w:val="auto"/>
          <w:sz w:val="24"/>
          <w:highlight w:val="none"/>
        </w:rPr>
        <w:t>（盖单位公章）</w:t>
      </w:r>
    </w:p>
    <w:p w14:paraId="5E6BFB98">
      <w:pPr>
        <w:pStyle w:val="5"/>
        <w:overflowPunct w:val="0"/>
        <w:spacing w:line="520" w:lineRule="exact"/>
        <w:ind w:firstLine="1478" w:firstLineChars="616"/>
        <w:rPr>
          <w:color w:val="auto"/>
          <w:sz w:val="24"/>
          <w:highlight w:val="none"/>
        </w:rPr>
      </w:pPr>
      <w:r>
        <w:rPr>
          <w:rFonts w:hint="eastAsia"/>
          <w:color w:val="auto"/>
          <w:sz w:val="24"/>
          <w:highlight w:val="none"/>
        </w:rPr>
        <w:t>法定代表人或其委托代理人：</w:t>
      </w:r>
      <w:r>
        <w:rPr>
          <w:rFonts w:hint="eastAsia"/>
          <w:color w:val="auto"/>
          <w:sz w:val="24"/>
          <w:highlight w:val="none"/>
          <w:u w:val="single"/>
        </w:rPr>
        <w:t xml:space="preserve">           </w:t>
      </w:r>
      <w:r>
        <w:rPr>
          <w:rFonts w:hint="eastAsia"/>
          <w:color w:val="auto"/>
          <w:sz w:val="24"/>
          <w:highlight w:val="none"/>
        </w:rPr>
        <w:t>（签字）</w:t>
      </w:r>
    </w:p>
    <w:p w14:paraId="774465F0">
      <w:pPr>
        <w:pStyle w:val="5"/>
        <w:overflowPunct w:val="0"/>
        <w:spacing w:line="520" w:lineRule="exact"/>
        <w:ind w:firstLine="3998" w:firstLineChars="1666"/>
        <w:rPr>
          <w:color w:val="auto"/>
          <w:sz w:val="24"/>
          <w:highlight w:val="none"/>
        </w:rPr>
      </w:pPr>
      <w:r>
        <w:rPr>
          <w:rFonts w:hint="eastAsia"/>
          <w:color w:val="auto"/>
          <w:sz w:val="24"/>
          <w:highlight w:val="none"/>
          <w:u w:val="single"/>
        </w:rPr>
        <w:t xml:space="preserve">      </w:t>
      </w:r>
      <w:r>
        <w:rPr>
          <w:rFonts w:hint="eastAsia"/>
          <w:color w:val="auto"/>
          <w:sz w:val="24"/>
          <w:highlight w:val="none"/>
        </w:rPr>
        <w:t>年</w:t>
      </w:r>
      <w:r>
        <w:rPr>
          <w:rFonts w:hint="eastAsia"/>
          <w:color w:val="auto"/>
          <w:sz w:val="24"/>
          <w:highlight w:val="none"/>
          <w:u w:val="single"/>
        </w:rPr>
        <w:t xml:space="preserve">    </w:t>
      </w:r>
      <w:r>
        <w:rPr>
          <w:rFonts w:hint="eastAsia"/>
          <w:color w:val="auto"/>
          <w:sz w:val="24"/>
          <w:highlight w:val="none"/>
        </w:rPr>
        <w:t>月</w:t>
      </w:r>
      <w:r>
        <w:rPr>
          <w:rFonts w:hint="eastAsia"/>
          <w:color w:val="auto"/>
          <w:sz w:val="24"/>
          <w:highlight w:val="none"/>
          <w:u w:val="single"/>
        </w:rPr>
        <w:t xml:space="preserve">    </w:t>
      </w:r>
      <w:r>
        <w:rPr>
          <w:rFonts w:hint="eastAsia"/>
          <w:color w:val="auto"/>
          <w:sz w:val="24"/>
          <w:highlight w:val="none"/>
        </w:rPr>
        <w:t>日</w:t>
      </w:r>
    </w:p>
    <w:p w14:paraId="4E2F96AE">
      <w:pPr>
        <w:snapToGrid w:val="0"/>
        <w:ind w:left="482"/>
        <w:rPr>
          <w:rFonts w:ascii="宋体" w:hAnsi="宋体"/>
          <w:b/>
          <w:bCs/>
          <w:color w:val="auto"/>
          <w:sz w:val="24"/>
          <w:highlight w:val="none"/>
        </w:rPr>
      </w:pPr>
      <w:r>
        <w:rPr>
          <w:rFonts w:hint="eastAsia" w:ascii="宋体" w:hAnsi="宋体"/>
          <w:b/>
          <w:bCs/>
          <w:color w:val="auto"/>
          <w:sz w:val="24"/>
          <w:highlight w:val="none"/>
        </w:rPr>
        <w:br w:type="page"/>
      </w:r>
    </w:p>
    <w:p w14:paraId="008F7443">
      <w:pPr>
        <w:pStyle w:val="20"/>
        <w:snapToGrid w:val="0"/>
        <w:ind w:left="482" w:hanging="482"/>
        <w:rPr>
          <w:rFonts w:ascii="宋体" w:hAnsi="宋体"/>
          <w:b/>
          <w:bCs/>
          <w:color w:val="auto"/>
          <w:sz w:val="24"/>
          <w:highlight w:val="none"/>
        </w:rPr>
      </w:pPr>
    </w:p>
    <w:p w14:paraId="02F4208F">
      <w:pPr>
        <w:snapToGrid w:val="0"/>
        <w:spacing w:before="120" w:beforeLines="50" w:after="50"/>
        <w:jc w:val="center"/>
        <w:outlineLvl w:val="2"/>
        <w:rPr>
          <w:rFonts w:ascii="宋体" w:hAnsi="宋体"/>
          <w:b/>
          <w:color w:val="auto"/>
          <w:sz w:val="24"/>
          <w:highlight w:val="none"/>
        </w:rPr>
      </w:pPr>
      <w:r>
        <w:rPr>
          <w:rFonts w:hint="eastAsia" w:ascii="宋体" w:hAnsi="宋体"/>
          <w:b/>
          <w:color w:val="auto"/>
          <w:sz w:val="24"/>
          <w:highlight w:val="none"/>
        </w:rPr>
        <w:t>（二）近年的业绩证明文件</w:t>
      </w:r>
    </w:p>
    <w:p w14:paraId="588FD340">
      <w:pPr>
        <w:jc w:val="center"/>
        <w:outlineLvl w:val="3"/>
        <w:rPr>
          <w:rFonts w:ascii="黑体" w:hAnsi="宋体" w:eastAsia="黑体"/>
          <w:b/>
          <w:bCs/>
          <w:color w:val="auto"/>
          <w:sz w:val="24"/>
          <w:highlight w:val="none"/>
        </w:rPr>
      </w:pPr>
      <w:r>
        <w:rPr>
          <w:rFonts w:hint="eastAsia" w:ascii="黑体" w:hAnsi="宋体" w:eastAsia="黑体"/>
          <w:b/>
          <w:bCs/>
          <w:color w:val="auto"/>
          <w:sz w:val="24"/>
          <w:highlight w:val="none"/>
        </w:rPr>
        <w:t xml:space="preserve">1.近 </w:t>
      </w:r>
      <w:r>
        <w:rPr>
          <w:rFonts w:hint="eastAsia" w:ascii="黑体" w:hAnsi="宋体" w:eastAsia="黑体"/>
          <w:b/>
          <w:bCs/>
          <w:color w:val="auto"/>
          <w:sz w:val="24"/>
          <w:highlight w:val="none"/>
          <w:lang w:val="en-US" w:eastAsia="zh-CN"/>
        </w:rPr>
        <w:t>5</w:t>
      </w:r>
      <w:r>
        <w:rPr>
          <w:rFonts w:hint="eastAsia" w:ascii="黑体" w:hAnsi="宋体" w:eastAsia="黑体"/>
          <w:b/>
          <w:bCs/>
          <w:color w:val="auto"/>
          <w:sz w:val="24"/>
          <w:highlight w:val="none"/>
        </w:rPr>
        <w:t xml:space="preserve"> 年</w:t>
      </w:r>
      <w:r>
        <w:rPr>
          <w:rFonts w:ascii="黑体" w:hAnsi="宋体" w:eastAsia="黑体"/>
          <w:b/>
          <w:bCs/>
          <w:color w:val="auto"/>
          <w:sz w:val="24"/>
          <w:highlight w:val="none"/>
        </w:rPr>
        <w:t>类似项目情况汇总表</w:t>
      </w:r>
    </w:p>
    <w:tbl>
      <w:tblPr>
        <w:tblStyle w:val="25"/>
        <w:tblW w:w="0" w:type="auto"/>
        <w:tblInd w:w="0" w:type="dxa"/>
        <w:tblLayout w:type="fixed"/>
        <w:tblCellMar>
          <w:top w:w="0" w:type="dxa"/>
          <w:left w:w="0" w:type="dxa"/>
          <w:bottom w:w="0" w:type="dxa"/>
          <w:right w:w="0" w:type="dxa"/>
        </w:tblCellMar>
      </w:tblPr>
      <w:tblGrid>
        <w:gridCol w:w="1437"/>
        <w:gridCol w:w="1430"/>
        <w:gridCol w:w="2516"/>
        <w:gridCol w:w="2330"/>
        <w:gridCol w:w="1387"/>
      </w:tblGrid>
      <w:tr w14:paraId="588A92D9">
        <w:tblPrEx>
          <w:tblCellMar>
            <w:top w:w="0" w:type="dxa"/>
            <w:left w:w="0" w:type="dxa"/>
            <w:bottom w:w="0" w:type="dxa"/>
            <w:right w:w="0" w:type="dxa"/>
          </w:tblCellMar>
        </w:tblPrEx>
        <w:trPr>
          <w:trHeight w:val="561" w:hRule="atLeast"/>
        </w:trPr>
        <w:tc>
          <w:tcPr>
            <w:tcW w:w="1437" w:type="dxa"/>
            <w:tcBorders>
              <w:top w:val="single" w:color="auto" w:sz="12" w:space="0"/>
              <w:left w:val="single" w:color="auto" w:sz="12" w:space="0"/>
              <w:bottom w:val="single" w:color="auto" w:sz="8" w:space="0"/>
              <w:right w:val="single" w:color="auto" w:sz="8" w:space="0"/>
            </w:tcBorders>
            <w:vAlign w:val="center"/>
          </w:tcPr>
          <w:p w14:paraId="13BCE5D2">
            <w:pPr>
              <w:autoSpaceDE w:val="0"/>
              <w:autoSpaceDN w:val="0"/>
              <w:jc w:val="center"/>
              <w:rPr>
                <w:rFonts w:ascii="宋体" w:cs="宋体"/>
                <w:color w:val="auto"/>
                <w:kern w:val="0"/>
                <w:sz w:val="24"/>
                <w:highlight w:val="none"/>
              </w:rPr>
            </w:pPr>
            <w:r>
              <w:rPr>
                <w:rFonts w:hint="eastAsia" w:ascii="宋体" w:cs="宋体"/>
                <w:color w:val="auto"/>
                <w:kern w:val="0"/>
                <w:sz w:val="24"/>
                <w:highlight w:val="none"/>
              </w:rPr>
              <w:t>项目名称</w:t>
            </w:r>
          </w:p>
        </w:tc>
        <w:tc>
          <w:tcPr>
            <w:tcW w:w="1430" w:type="dxa"/>
            <w:tcBorders>
              <w:top w:val="single" w:color="auto" w:sz="12" w:space="0"/>
              <w:left w:val="single" w:color="auto" w:sz="8" w:space="0"/>
              <w:bottom w:val="single" w:color="auto" w:sz="8" w:space="0"/>
              <w:right w:val="single" w:color="auto" w:sz="8" w:space="0"/>
            </w:tcBorders>
            <w:vAlign w:val="center"/>
          </w:tcPr>
          <w:p w14:paraId="72728FDB">
            <w:pPr>
              <w:autoSpaceDE w:val="0"/>
              <w:autoSpaceDN w:val="0"/>
              <w:jc w:val="center"/>
              <w:rPr>
                <w:rFonts w:ascii="宋体" w:cs="宋体"/>
                <w:color w:val="auto"/>
                <w:kern w:val="0"/>
                <w:sz w:val="24"/>
                <w:highlight w:val="none"/>
              </w:rPr>
            </w:pPr>
            <w:r>
              <w:rPr>
                <w:rFonts w:hint="eastAsia" w:ascii="宋体" w:cs="宋体"/>
                <w:color w:val="auto"/>
                <w:kern w:val="0"/>
                <w:sz w:val="24"/>
                <w:highlight w:val="none"/>
              </w:rPr>
              <w:t>起讫时间</w:t>
            </w:r>
          </w:p>
        </w:tc>
        <w:tc>
          <w:tcPr>
            <w:tcW w:w="2516" w:type="dxa"/>
            <w:tcBorders>
              <w:top w:val="single" w:color="auto" w:sz="12" w:space="0"/>
              <w:left w:val="single" w:color="auto" w:sz="8" w:space="0"/>
              <w:bottom w:val="single" w:color="auto" w:sz="8" w:space="0"/>
              <w:right w:val="single" w:color="auto" w:sz="8" w:space="0"/>
            </w:tcBorders>
            <w:vAlign w:val="center"/>
          </w:tcPr>
          <w:p w14:paraId="6B1AC1F6">
            <w:pPr>
              <w:autoSpaceDE w:val="0"/>
              <w:autoSpaceDN w:val="0"/>
              <w:jc w:val="center"/>
              <w:rPr>
                <w:rFonts w:ascii="宋体" w:cs="宋体"/>
                <w:color w:val="auto"/>
                <w:kern w:val="0"/>
                <w:sz w:val="24"/>
                <w:highlight w:val="none"/>
              </w:rPr>
            </w:pPr>
            <w:r>
              <w:rPr>
                <w:rFonts w:hint="eastAsia" w:ascii="宋体" w:cs="宋体"/>
                <w:color w:val="auto"/>
                <w:kern w:val="0"/>
                <w:sz w:val="24"/>
                <w:highlight w:val="none"/>
              </w:rPr>
              <w:t>发包人</w:t>
            </w:r>
          </w:p>
        </w:tc>
        <w:tc>
          <w:tcPr>
            <w:tcW w:w="2330" w:type="dxa"/>
            <w:tcBorders>
              <w:top w:val="single" w:color="auto" w:sz="12" w:space="0"/>
              <w:left w:val="single" w:color="auto" w:sz="8" w:space="0"/>
              <w:bottom w:val="single" w:color="auto" w:sz="8" w:space="0"/>
              <w:right w:val="single" w:color="auto" w:sz="8" w:space="0"/>
            </w:tcBorders>
            <w:vAlign w:val="center"/>
          </w:tcPr>
          <w:p w14:paraId="4A1C49AB">
            <w:pPr>
              <w:autoSpaceDE w:val="0"/>
              <w:autoSpaceDN w:val="0"/>
              <w:jc w:val="center"/>
              <w:rPr>
                <w:rFonts w:ascii="宋体" w:cs="宋体"/>
                <w:color w:val="auto"/>
                <w:kern w:val="0"/>
                <w:sz w:val="24"/>
                <w:highlight w:val="none"/>
              </w:rPr>
            </w:pPr>
            <w:r>
              <w:rPr>
                <w:rFonts w:hint="eastAsia" w:ascii="宋体" w:cs="宋体"/>
                <w:color w:val="auto"/>
                <w:kern w:val="0"/>
                <w:sz w:val="24"/>
                <w:highlight w:val="none"/>
              </w:rPr>
              <w:t>完成情况</w:t>
            </w:r>
          </w:p>
        </w:tc>
        <w:tc>
          <w:tcPr>
            <w:tcW w:w="1387" w:type="dxa"/>
            <w:tcBorders>
              <w:top w:val="single" w:color="auto" w:sz="12" w:space="0"/>
              <w:left w:val="single" w:color="auto" w:sz="8" w:space="0"/>
              <w:bottom w:val="single" w:color="auto" w:sz="8" w:space="0"/>
              <w:right w:val="single" w:color="auto" w:sz="12" w:space="0"/>
            </w:tcBorders>
            <w:vAlign w:val="center"/>
          </w:tcPr>
          <w:p w14:paraId="0F0173B7">
            <w:pPr>
              <w:autoSpaceDE w:val="0"/>
              <w:autoSpaceDN w:val="0"/>
              <w:jc w:val="center"/>
              <w:rPr>
                <w:rFonts w:ascii="宋体" w:cs="宋体"/>
                <w:color w:val="auto"/>
                <w:kern w:val="0"/>
                <w:sz w:val="24"/>
                <w:highlight w:val="none"/>
              </w:rPr>
            </w:pPr>
            <w:r>
              <w:rPr>
                <w:rFonts w:hint="eastAsia" w:ascii="宋体" w:cs="宋体"/>
                <w:color w:val="auto"/>
                <w:kern w:val="0"/>
                <w:sz w:val="24"/>
                <w:highlight w:val="none"/>
              </w:rPr>
              <w:t>备注</w:t>
            </w:r>
          </w:p>
        </w:tc>
      </w:tr>
      <w:tr w14:paraId="297D3ADB">
        <w:tblPrEx>
          <w:tblCellMar>
            <w:top w:w="0" w:type="dxa"/>
            <w:left w:w="0" w:type="dxa"/>
            <w:bottom w:w="0" w:type="dxa"/>
            <w:right w:w="0" w:type="dxa"/>
          </w:tblCellMar>
        </w:tblPrEx>
        <w:trPr>
          <w:trHeight w:val="574" w:hRule="atLeast"/>
        </w:trPr>
        <w:tc>
          <w:tcPr>
            <w:tcW w:w="1437" w:type="dxa"/>
            <w:tcBorders>
              <w:top w:val="single" w:color="auto" w:sz="8" w:space="0"/>
              <w:left w:val="single" w:color="auto" w:sz="12" w:space="0"/>
              <w:bottom w:val="single" w:color="auto" w:sz="8" w:space="0"/>
              <w:right w:val="single" w:color="auto" w:sz="8" w:space="0"/>
            </w:tcBorders>
          </w:tcPr>
          <w:p w14:paraId="27FC4C37">
            <w:pPr>
              <w:autoSpaceDE w:val="0"/>
              <w:autoSpaceDN w:val="0"/>
              <w:rPr>
                <w:color w:val="auto"/>
                <w:kern w:val="0"/>
                <w:sz w:val="24"/>
                <w:highlight w:val="none"/>
              </w:rPr>
            </w:pPr>
          </w:p>
        </w:tc>
        <w:tc>
          <w:tcPr>
            <w:tcW w:w="1430" w:type="dxa"/>
            <w:tcBorders>
              <w:top w:val="single" w:color="auto" w:sz="8" w:space="0"/>
              <w:left w:val="single" w:color="auto" w:sz="8" w:space="0"/>
              <w:bottom w:val="single" w:color="auto" w:sz="8" w:space="0"/>
              <w:right w:val="single" w:color="auto" w:sz="8" w:space="0"/>
            </w:tcBorders>
          </w:tcPr>
          <w:p w14:paraId="254A9B90">
            <w:pPr>
              <w:autoSpaceDE w:val="0"/>
              <w:autoSpaceDN w:val="0"/>
              <w:rPr>
                <w:color w:val="auto"/>
                <w:kern w:val="0"/>
                <w:sz w:val="24"/>
                <w:highlight w:val="none"/>
              </w:rPr>
            </w:pPr>
          </w:p>
        </w:tc>
        <w:tc>
          <w:tcPr>
            <w:tcW w:w="2516" w:type="dxa"/>
            <w:tcBorders>
              <w:top w:val="single" w:color="auto" w:sz="8" w:space="0"/>
              <w:left w:val="single" w:color="auto" w:sz="8" w:space="0"/>
              <w:bottom w:val="single" w:color="auto" w:sz="8" w:space="0"/>
              <w:right w:val="single" w:color="auto" w:sz="8" w:space="0"/>
            </w:tcBorders>
          </w:tcPr>
          <w:p w14:paraId="2724BD30">
            <w:pPr>
              <w:autoSpaceDE w:val="0"/>
              <w:autoSpaceDN w:val="0"/>
              <w:rPr>
                <w:color w:val="auto"/>
                <w:kern w:val="0"/>
                <w:sz w:val="24"/>
                <w:highlight w:val="none"/>
              </w:rPr>
            </w:pPr>
          </w:p>
        </w:tc>
        <w:tc>
          <w:tcPr>
            <w:tcW w:w="2330" w:type="dxa"/>
            <w:tcBorders>
              <w:top w:val="single" w:color="auto" w:sz="8" w:space="0"/>
              <w:left w:val="single" w:color="auto" w:sz="8" w:space="0"/>
              <w:bottom w:val="single" w:color="auto" w:sz="8" w:space="0"/>
              <w:right w:val="single" w:color="auto" w:sz="8" w:space="0"/>
            </w:tcBorders>
          </w:tcPr>
          <w:p w14:paraId="7F9BEF1D">
            <w:pPr>
              <w:autoSpaceDE w:val="0"/>
              <w:autoSpaceDN w:val="0"/>
              <w:rPr>
                <w:color w:val="auto"/>
                <w:kern w:val="0"/>
                <w:sz w:val="24"/>
                <w:highlight w:val="none"/>
              </w:rPr>
            </w:pPr>
          </w:p>
        </w:tc>
        <w:tc>
          <w:tcPr>
            <w:tcW w:w="1387" w:type="dxa"/>
            <w:tcBorders>
              <w:top w:val="single" w:color="auto" w:sz="8" w:space="0"/>
              <w:left w:val="single" w:color="auto" w:sz="8" w:space="0"/>
              <w:bottom w:val="single" w:color="auto" w:sz="8" w:space="0"/>
              <w:right w:val="single" w:color="auto" w:sz="12" w:space="0"/>
            </w:tcBorders>
          </w:tcPr>
          <w:p w14:paraId="6CDFD1A5">
            <w:pPr>
              <w:autoSpaceDE w:val="0"/>
              <w:autoSpaceDN w:val="0"/>
              <w:rPr>
                <w:color w:val="auto"/>
                <w:kern w:val="0"/>
                <w:sz w:val="24"/>
                <w:highlight w:val="none"/>
              </w:rPr>
            </w:pPr>
          </w:p>
        </w:tc>
      </w:tr>
      <w:tr w14:paraId="1CF3FEC9">
        <w:tblPrEx>
          <w:tblCellMar>
            <w:top w:w="0" w:type="dxa"/>
            <w:left w:w="0" w:type="dxa"/>
            <w:bottom w:w="0" w:type="dxa"/>
            <w:right w:w="0" w:type="dxa"/>
          </w:tblCellMar>
        </w:tblPrEx>
        <w:trPr>
          <w:trHeight w:val="574" w:hRule="atLeast"/>
        </w:trPr>
        <w:tc>
          <w:tcPr>
            <w:tcW w:w="1437" w:type="dxa"/>
            <w:tcBorders>
              <w:top w:val="single" w:color="auto" w:sz="8" w:space="0"/>
              <w:left w:val="single" w:color="auto" w:sz="12" w:space="0"/>
              <w:bottom w:val="single" w:color="auto" w:sz="8" w:space="0"/>
              <w:right w:val="single" w:color="auto" w:sz="8" w:space="0"/>
            </w:tcBorders>
          </w:tcPr>
          <w:p w14:paraId="23C1CA4D">
            <w:pPr>
              <w:autoSpaceDE w:val="0"/>
              <w:autoSpaceDN w:val="0"/>
              <w:rPr>
                <w:color w:val="auto"/>
                <w:kern w:val="0"/>
                <w:sz w:val="24"/>
                <w:highlight w:val="none"/>
              </w:rPr>
            </w:pPr>
          </w:p>
        </w:tc>
        <w:tc>
          <w:tcPr>
            <w:tcW w:w="1430" w:type="dxa"/>
            <w:tcBorders>
              <w:top w:val="single" w:color="auto" w:sz="8" w:space="0"/>
              <w:left w:val="single" w:color="auto" w:sz="8" w:space="0"/>
              <w:bottom w:val="single" w:color="auto" w:sz="8" w:space="0"/>
              <w:right w:val="single" w:color="auto" w:sz="8" w:space="0"/>
            </w:tcBorders>
          </w:tcPr>
          <w:p w14:paraId="51CA7D9E">
            <w:pPr>
              <w:autoSpaceDE w:val="0"/>
              <w:autoSpaceDN w:val="0"/>
              <w:rPr>
                <w:color w:val="auto"/>
                <w:kern w:val="0"/>
                <w:sz w:val="24"/>
                <w:highlight w:val="none"/>
              </w:rPr>
            </w:pPr>
          </w:p>
        </w:tc>
        <w:tc>
          <w:tcPr>
            <w:tcW w:w="2516" w:type="dxa"/>
            <w:tcBorders>
              <w:top w:val="single" w:color="auto" w:sz="8" w:space="0"/>
              <w:left w:val="single" w:color="auto" w:sz="8" w:space="0"/>
              <w:bottom w:val="single" w:color="auto" w:sz="8" w:space="0"/>
              <w:right w:val="single" w:color="auto" w:sz="8" w:space="0"/>
            </w:tcBorders>
          </w:tcPr>
          <w:p w14:paraId="14E64D28">
            <w:pPr>
              <w:autoSpaceDE w:val="0"/>
              <w:autoSpaceDN w:val="0"/>
              <w:rPr>
                <w:color w:val="auto"/>
                <w:kern w:val="0"/>
                <w:sz w:val="24"/>
                <w:highlight w:val="none"/>
              </w:rPr>
            </w:pPr>
          </w:p>
        </w:tc>
        <w:tc>
          <w:tcPr>
            <w:tcW w:w="2330" w:type="dxa"/>
            <w:tcBorders>
              <w:top w:val="single" w:color="auto" w:sz="8" w:space="0"/>
              <w:left w:val="single" w:color="auto" w:sz="8" w:space="0"/>
              <w:bottom w:val="single" w:color="auto" w:sz="8" w:space="0"/>
              <w:right w:val="single" w:color="auto" w:sz="8" w:space="0"/>
            </w:tcBorders>
          </w:tcPr>
          <w:p w14:paraId="5EB1538B">
            <w:pPr>
              <w:autoSpaceDE w:val="0"/>
              <w:autoSpaceDN w:val="0"/>
              <w:rPr>
                <w:color w:val="auto"/>
                <w:kern w:val="0"/>
                <w:sz w:val="24"/>
                <w:highlight w:val="none"/>
              </w:rPr>
            </w:pPr>
          </w:p>
        </w:tc>
        <w:tc>
          <w:tcPr>
            <w:tcW w:w="1387" w:type="dxa"/>
            <w:tcBorders>
              <w:top w:val="single" w:color="auto" w:sz="8" w:space="0"/>
              <w:left w:val="single" w:color="auto" w:sz="8" w:space="0"/>
              <w:bottom w:val="single" w:color="auto" w:sz="8" w:space="0"/>
              <w:right w:val="single" w:color="auto" w:sz="12" w:space="0"/>
            </w:tcBorders>
          </w:tcPr>
          <w:p w14:paraId="1A0CCDEA">
            <w:pPr>
              <w:autoSpaceDE w:val="0"/>
              <w:autoSpaceDN w:val="0"/>
              <w:rPr>
                <w:color w:val="auto"/>
                <w:kern w:val="0"/>
                <w:sz w:val="24"/>
                <w:highlight w:val="none"/>
              </w:rPr>
            </w:pPr>
          </w:p>
        </w:tc>
      </w:tr>
      <w:tr w14:paraId="429AE0E0">
        <w:tblPrEx>
          <w:tblCellMar>
            <w:top w:w="0" w:type="dxa"/>
            <w:left w:w="0" w:type="dxa"/>
            <w:bottom w:w="0" w:type="dxa"/>
            <w:right w:w="0" w:type="dxa"/>
          </w:tblCellMar>
        </w:tblPrEx>
        <w:trPr>
          <w:trHeight w:val="574" w:hRule="atLeast"/>
        </w:trPr>
        <w:tc>
          <w:tcPr>
            <w:tcW w:w="1437" w:type="dxa"/>
            <w:tcBorders>
              <w:top w:val="single" w:color="auto" w:sz="8" w:space="0"/>
              <w:left w:val="single" w:color="auto" w:sz="12" w:space="0"/>
              <w:bottom w:val="single" w:color="auto" w:sz="8" w:space="0"/>
              <w:right w:val="single" w:color="auto" w:sz="8" w:space="0"/>
            </w:tcBorders>
          </w:tcPr>
          <w:p w14:paraId="42ADDFCE">
            <w:pPr>
              <w:autoSpaceDE w:val="0"/>
              <w:autoSpaceDN w:val="0"/>
              <w:rPr>
                <w:color w:val="auto"/>
                <w:kern w:val="0"/>
                <w:sz w:val="24"/>
                <w:highlight w:val="none"/>
              </w:rPr>
            </w:pPr>
          </w:p>
        </w:tc>
        <w:tc>
          <w:tcPr>
            <w:tcW w:w="1430" w:type="dxa"/>
            <w:tcBorders>
              <w:top w:val="single" w:color="auto" w:sz="8" w:space="0"/>
              <w:left w:val="single" w:color="auto" w:sz="8" w:space="0"/>
              <w:bottom w:val="single" w:color="auto" w:sz="8" w:space="0"/>
              <w:right w:val="single" w:color="auto" w:sz="8" w:space="0"/>
            </w:tcBorders>
          </w:tcPr>
          <w:p w14:paraId="52542736">
            <w:pPr>
              <w:autoSpaceDE w:val="0"/>
              <w:autoSpaceDN w:val="0"/>
              <w:rPr>
                <w:color w:val="auto"/>
                <w:kern w:val="0"/>
                <w:sz w:val="24"/>
                <w:highlight w:val="none"/>
              </w:rPr>
            </w:pPr>
          </w:p>
        </w:tc>
        <w:tc>
          <w:tcPr>
            <w:tcW w:w="2516" w:type="dxa"/>
            <w:tcBorders>
              <w:top w:val="single" w:color="auto" w:sz="8" w:space="0"/>
              <w:left w:val="single" w:color="auto" w:sz="8" w:space="0"/>
              <w:bottom w:val="single" w:color="auto" w:sz="8" w:space="0"/>
              <w:right w:val="single" w:color="auto" w:sz="8" w:space="0"/>
            </w:tcBorders>
          </w:tcPr>
          <w:p w14:paraId="24766861">
            <w:pPr>
              <w:autoSpaceDE w:val="0"/>
              <w:autoSpaceDN w:val="0"/>
              <w:rPr>
                <w:color w:val="auto"/>
                <w:kern w:val="0"/>
                <w:sz w:val="24"/>
                <w:highlight w:val="none"/>
              </w:rPr>
            </w:pPr>
          </w:p>
        </w:tc>
        <w:tc>
          <w:tcPr>
            <w:tcW w:w="2330" w:type="dxa"/>
            <w:tcBorders>
              <w:top w:val="single" w:color="auto" w:sz="8" w:space="0"/>
              <w:left w:val="single" w:color="auto" w:sz="8" w:space="0"/>
              <w:bottom w:val="single" w:color="auto" w:sz="8" w:space="0"/>
              <w:right w:val="single" w:color="auto" w:sz="8" w:space="0"/>
            </w:tcBorders>
          </w:tcPr>
          <w:p w14:paraId="12DFA7D1">
            <w:pPr>
              <w:autoSpaceDE w:val="0"/>
              <w:autoSpaceDN w:val="0"/>
              <w:rPr>
                <w:color w:val="auto"/>
                <w:kern w:val="0"/>
                <w:sz w:val="24"/>
                <w:highlight w:val="none"/>
              </w:rPr>
            </w:pPr>
          </w:p>
        </w:tc>
        <w:tc>
          <w:tcPr>
            <w:tcW w:w="1387" w:type="dxa"/>
            <w:tcBorders>
              <w:top w:val="single" w:color="auto" w:sz="8" w:space="0"/>
              <w:left w:val="single" w:color="auto" w:sz="8" w:space="0"/>
              <w:bottom w:val="single" w:color="auto" w:sz="8" w:space="0"/>
              <w:right w:val="single" w:color="auto" w:sz="12" w:space="0"/>
            </w:tcBorders>
          </w:tcPr>
          <w:p w14:paraId="2D390D30">
            <w:pPr>
              <w:autoSpaceDE w:val="0"/>
              <w:autoSpaceDN w:val="0"/>
              <w:rPr>
                <w:color w:val="auto"/>
                <w:kern w:val="0"/>
                <w:sz w:val="24"/>
                <w:highlight w:val="none"/>
              </w:rPr>
            </w:pPr>
          </w:p>
        </w:tc>
      </w:tr>
      <w:tr w14:paraId="095FD209">
        <w:tblPrEx>
          <w:tblCellMar>
            <w:top w:w="0" w:type="dxa"/>
            <w:left w:w="0" w:type="dxa"/>
            <w:bottom w:w="0" w:type="dxa"/>
            <w:right w:w="0" w:type="dxa"/>
          </w:tblCellMar>
        </w:tblPrEx>
        <w:trPr>
          <w:trHeight w:val="566" w:hRule="atLeast"/>
        </w:trPr>
        <w:tc>
          <w:tcPr>
            <w:tcW w:w="1437" w:type="dxa"/>
            <w:tcBorders>
              <w:top w:val="single" w:color="auto" w:sz="8" w:space="0"/>
              <w:left w:val="single" w:color="auto" w:sz="12" w:space="0"/>
              <w:bottom w:val="single" w:color="auto" w:sz="8" w:space="0"/>
              <w:right w:val="single" w:color="auto" w:sz="8" w:space="0"/>
            </w:tcBorders>
          </w:tcPr>
          <w:p w14:paraId="3C19706F">
            <w:pPr>
              <w:autoSpaceDE w:val="0"/>
              <w:autoSpaceDN w:val="0"/>
              <w:rPr>
                <w:color w:val="auto"/>
                <w:kern w:val="0"/>
                <w:sz w:val="24"/>
                <w:highlight w:val="none"/>
              </w:rPr>
            </w:pPr>
          </w:p>
        </w:tc>
        <w:tc>
          <w:tcPr>
            <w:tcW w:w="1430" w:type="dxa"/>
            <w:tcBorders>
              <w:top w:val="single" w:color="auto" w:sz="8" w:space="0"/>
              <w:left w:val="single" w:color="auto" w:sz="8" w:space="0"/>
              <w:bottom w:val="single" w:color="auto" w:sz="8" w:space="0"/>
              <w:right w:val="single" w:color="auto" w:sz="8" w:space="0"/>
            </w:tcBorders>
          </w:tcPr>
          <w:p w14:paraId="69DEAC2B">
            <w:pPr>
              <w:autoSpaceDE w:val="0"/>
              <w:autoSpaceDN w:val="0"/>
              <w:rPr>
                <w:color w:val="auto"/>
                <w:kern w:val="0"/>
                <w:sz w:val="24"/>
                <w:highlight w:val="none"/>
              </w:rPr>
            </w:pPr>
          </w:p>
        </w:tc>
        <w:tc>
          <w:tcPr>
            <w:tcW w:w="2516" w:type="dxa"/>
            <w:tcBorders>
              <w:top w:val="single" w:color="auto" w:sz="8" w:space="0"/>
              <w:left w:val="single" w:color="auto" w:sz="8" w:space="0"/>
              <w:bottom w:val="single" w:color="auto" w:sz="8" w:space="0"/>
              <w:right w:val="single" w:color="auto" w:sz="8" w:space="0"/>
            </w:tcBorders>
          </w:tcPr>
          <w:p w14:paraId="774D154A">
            <w:pPr>
              <w:autoSpaceDE w:val="0"/>
              <w:autoSpaceDN w:val="0"/>
              <w:rPr>
                <w:color w:val="auto"/>
                <w:kern w:val="0"/>
                <w:sz w:val="24"/>
                <w:highlight w:val="none"/>
              </w:rPr>
            </w:pPr>
          </w:p>
        </w:tc>
        <w:tc>
          <w:tcPr>
            <w:tcW w:w="2330" w:type="dxa"/>
            <w:tcBorders>
              <w:top w:val="single" w:color="auto" w:sz="8" w:space="0"/>
              <w:left w:val="single" w:color="auto" w:sz="8" w:space="0"/>
              <w:bottom w:val="single" w:color="auto" w:sz="8" w:space="0"/>
              <w:right w:val="single" w:color="auto" w:sz="8" w:space="0"/>
            </w:tcBorders>
          </w:tcPr>
          <w:p w14:paraId="640D9513">
            <w:pPr>
              <w:autoSpaceDE w:val="0"/>
              <w:autoSpaceDN w:val="0"/>
              <w:rPr>
                <w:color w:val="auto"/>
                <w:kern w:val="0"/>
                <w:sz w:val="24"/>
                <w:highlight w:val="none"/>
              </w:rPr>
            </w:pPr>
          </w:p>
        </w:tc>
        <w:tc>
          <w:tcPr>
            <w:tcW w:w="1387" w:type="dxa"/>
            <w:tcBorders>
              <w:top w:val="single" w:color="auto" w:sz="8" w:space="0"/>
              <w:left w:val="single" w:color="auto" w:sz="8" w:space="0"/>
              <w:bottom w:val="single" w:color="auto" w:sz="8" w:space="0"/>
              <w:right w:val="single" w:color="auto" w:sz="12" w:space="0"/>
            </w:tcBorders>
          </w:tcPr>
          <w:p w14:paraId="184702BB">
            <w:pPr>
              <w:autoSpaceDE w:val="0"/>
              <w:autoSpaceDN w:val="0"/>
              <w:rPr>
                <w:color w:val="auto"/>
                <w:kern w:val="0"/>
                <w:sz w:val="24"/>
                <w:highlight w:val="none"/>
              </w:rPr>
            </w:pPr>
          </w:p>
        </w:tc>
      </w:tr>
      <w:tr w14:paraId="44A8CAC0">
        <w:tblPrEx>
          <w:tblCellMar>
            <w:top w:w="0" w:type="dxa"/>
            <w:left w:w="0" w:type="dxa"/>
            <w:bottom w:w="0" w:type="dxa"/>
            <w:right w:w="0" w:type="dxa"/>
          </w:tblCellMar>
        </w:tblPrEx>
        <w:trPr>
          <w:trHeight w:val="574" w:hRule="atLeast"/>
        </w:trPr>
        <w:tc>
          <w:tcPr>
            <w:tcW w:w="1437" w:type="dxa"/>
            <w:tcBorders>
              <w:top w:val="single" w:color="auto" w:sz="8" w:space="0"/>
              <w:left w:val="single" w:color="auto" w:sz="12" w:space="0"/>
              <w:bottom w:val="single" w:color="auto" w:sz="8" w:space="0"/>
              <w:right w:val="single" w:color="auto" w:sz="8" w:space="0"/>
            </w:tcBorders>
          </w:tcPr>
          <w:p w14:paraId="2BBB9FD2">
            <w:pPr>
              <w:autoSpaceDE w:val="0"/>
              <w:autoSpaceDN w:val="0"/>
              <w:rPr>
                <w:color w:val="auto"/>
                <w:kern w:val="0"/>
                <w:sz w:val="24"/>
                <w:highlight w:val="none"/>
              </w:rPr>
            </w:pPr>
          </w:p>
        </w:tc>
        <w:tc>
          <w:tcPr>
            <w:tcW w:w="1430" w:type="dxa"/>
            <w:tcBorders>
              <w:top w:val="single" w:color="auto" w:sz="8" w:space="0"/>
              <w:left w:val="single" w:color="auto" w:sz="8" w:space="0"/>
              <w:bottom w:val="single" w:color="auto" w:sz="8" w:space="0"/>
              <w:right w:val="single" w:color="auto" w:sz="8" w:space="0"/>
            </w:tcBorders>
          </w:tcPr>
          <w:p w14:paraId="43576CB1">
            <w:pPr>
              <w:autoSpaceDE w:val="0"/>
              <w:autoSpaceDN w:val="0"/>
              <w:rPr>
                <w:color w:val="auto"/>
                <w:kern w:val="0"/>
                <w:sz w:val="24"/>
                <w:highlight w:val="none"/>
              </w:rPr>
            </w:pPr>
          </w:p>
        </w:tc>
        <w:tc>
          <w:tcPr>
            <w:tcW w:w="2516" w:type="dxa"/>
            <w:tcBorders>
              <w:top w:val="single" w:color="auto" w:sz="8" w:space="0"/>
              <w:left w:val="single" w:color="auto" w:sz="8" w:space="0"/>
              <w:bottom w:val="single" w:color="auto" w:sz="8" w:space="0"/>
              <w:right w:val="single" w:color="auto" w:sz="8" w:space="0"/>
            </w:tcBorders>
          </w:tcPr>
          <w:p w14:paraId="6BDFC29D">
            <w:pPr>
              <w:autoSpaceDE w:val="0"/>
              <w:autoSpaceDN w:val="0"/>
              <w:rPr>
                <w:color w:val="auto"/>
                <w:kern w:val="0"/>
                <w:sz w:val="24"/>
                <w:highlight w:val="none"/>
              </w:rPr>
            </w:pPr>
          </w:p>
        </w:tc>
        <w:tc>
          <w:tcPr>
            <w:tcW w:w="2330" w:type="dxa"/>
            <w:tcBorders>
              <w:top w:val="single" w:color="auto" w:sz="8" w:space="0"/>
              <w:left w:val="single" w:color="auto" w:sz="8" w:space="0"/>
              <w:bottom w:val="single" w:color="auto" w:sz="8" w:space="0"/>
              <w:right w:val="single" w:color="auto" w:sz="8" w:space="0"/>
            </w:tcBorders>
          </w:tcPr>
          <w:p w14:paraId="36033D02">
            <w:pPr>
              <w:autoSpaceDE w:val="0"/>
              <w:autoSpaceDN w:val="0"/>
              <w:rPr>
                <w:color w:val="auto"/>
                <w:kern w:val="0"/>
                <w:sz w:val="24"/>
                <w:highlight w:val="none"/>
              </w:rPr>
            </w:pPr>
          </w:p>
        </w:tc>
        <w:tc>
          <w:tcPr>
            <w:tcW w:w="1387" w:type="dxa"/>
            <w:tcBorders>
              <w:top w:val="single" w:color="auto" w:sz="8" w:space="0"/>
              <w:left w:val="single" w:color="auto" w:sz="8" w:space="0"/>
              <w:bottom w:val="single" w:color="auto" w:sz="8" w:space="0"/>
              <w:right w:val="single" w:color="auto" w:sz="12" w:space="0"/>
            </w:tcBorders>
          </w:tcPr>
          <w:p w14:paraId="0078A0D2">
            <w:pPr>
              <w:autoSpaceDE w:val="0"/>
              <w:autoSpaceDN w:val="0"/>
              <w:rPr>
                <w:color w:val="auto"/>
                <w:kern w:val="0"/>
                <w:sz w:val="24"/>
                <w:highlight w:val="none"/>
              </w:rPr>
            </w:pPr>
          </w:p>
        </w:tc>
      </w:tr>
      <w:tr w14:paraId="10076D8E">
        <w:tblPrEx>
          <w:tblCellMar>
            <w:top w:w="0" w:type="dxa"/>
            <w:left w:w="0" w:type="dxa"/>
            <w:bottom w:w="0" w:type="dxa"/>
            <w:right w:w="0" w:type="dxa"/>
          </w:tblCellMar>
        </w:tblPrEx>
        <w:trPr>
          <w:trHeight w:val="780" w:hRule="atLeast"/>
        </w:trPr>
        <w:tc>
          <w:tcPr>
            <w:tcW w:w="1437" w:type="dxa"/>
            <w:tcBorders>
              <w:top w:val="single" w:color="auto" w:sz="8" w:space="0"/>
              <w:left w:val="single" w:color="auto" w:sz="12" w:space="0"/>
              <w:bottom w:val="single" w:color="auto" w:sz="8" w:space="0"/>
              <w:right w:val="single" w:color="auto" w:sz="8" w:space="0"/>
            </w:tcBorders>
          </w:tcPr>
          <w:p w14:paraId="79AFE8FE">
            <w:pPr>
              <w:autoSpaceDE w:val="0"/>
              <w:autoSpaceDN w:val="0"/>
              <w:rPr>
                <w:color w:val="auto"/>
                <w:kern w:val="0"/>
                <w:sz w:val="24"/>
                <w:highlight w:val="none"/>
              </w:rPr>
            </w:pPr>
          </w:p>
        </w:tc>
        <w:tc>
          <w:tcPr>
            <w:tcW w:w="1430" w:type="dxa"/>
            <w:tcBorders>
              <w:top w:val="single" w:color="auto" w:sz="8" w:space="0"/>
              <w:left w:val="single" w:color="auto" w:sz="8" w:space="0"/>
              <w:bottom w:val="single" w:color="auto" w:sz="8" w:space="0"/>
              <w:right w:val="single" w:color="auto" w:sz="8" w:space="0"/>
            </w:tcBorders>
          </w:tcPr>
          <w:p w14:paraId="6BDB347F">
            <w:pPr>
              <w:autoSpaceDE w:val="0"/>
              <w:autoSpaceDN w:val="0"/>
              <w:rPr>
                <w:color w:val="auto"/>
                <w:kern w:val="0"/>
                <w:sz w:val="24"/>
                <w:highlight w:val="none"/>
              </w:rPr>
            </w:pPr>
          </w:p>
        </w:tc>
        <w:tc>
          <w:tcPr>
            <w:tcW w:w="2516" w:type="dxa"/>
            <w:tcBorders>
              <w:top w:val="single" w:color="auto" w:sz="8" w:space="0"/>
              <w:left w:val="single" w:color="auto" w:sz="8" w:space="0"/>
              <w:bottom w:val="single" w:color="auto" w:sz="8" w:space="0"/>
              <w:right w:val="single" w:color="auto" w:sz="8" w:space="0"/>
            </w:tcBorders>
          </w:tcPr>
          <w:p w14:paraId="30D0D783">
            <w:pPr>
              <w:autoSpaceDE w:val="0"/>
              <w:autoSpaceDN w:val="0"/>
              <w:rPr>
                <w:rFonts w:ascii="宋体" w:cs="宋体"/>
                <w:color w:val="auto"/>
                <w:kern w:val="0"/>
                <w:sz w:val="24"/>
                <w:highlight w:val="none"/>
              </w:rPr>
            </w:pPr>
          </w:p>
        </w:tc>
        <w:tc>
          <w:tcPr>
            <w:tcW w:w="2330" w:type="dxa"/>
            <w:tcBorders>
              <w:top w:val="single" w:color="auto" w:sz="8" w:space="0"/>
              <w:left w:val="single" w:color="auto" w:sz="8" w:space="0"/>
              <w:bottom w:val="single" w:color="auto" w:sz="8" w:space="0"/>
              <w:right w:val="single" w:color="auto" w:sz="8" w:space="0"/>
            </w:tcBorders>
          </w:tcPr>
          <w:p w14:paraId="4BDB0863">
            <w:pPr>
              <w:autoSpaceDE w:val="0"/>
              <w:autoSpaceDN w:val="0"/>
              <w:rPr>
                <w:color w:val="auto"/>
                <w:kern w:val="0"/>
                <w:sz w:val="24"/>
                <w:highlight w:val="none"/>
              </w:rPr>
            </w:pPr>
          </w:p>
        </w:tc>
        <w:tc>
          <w:tcPr>
            <w:tcW w:w="1387" w:type="dxa"/>
            <w:tcBorders>
              <w:top w:val="single" w:color="auto" w:sz="8" w:space="0"/>
              <w:left w:val="single" w:color="auto" w:sz="8" w:space="0"/>
              <w:bottom w:val="single" w:color="auto" w:sz="8" w:space="0"/>
              <w:right w:val="single" w:color="auto" w:sz="12" w:space="0"/>
            </w:tcBorders>
          </w:tcPr>
          <w:p w14:paraId="00E469EB">
            <w:pPr>
              <w:autoSpaceDE w:val="0"/>
              <w:autoSpaceDN w:val="0"/>
              <w:rPr>
                <w:color w:val="auto"/>
                <w:kern w:val="0"/>
                <w:sz w:val="24"/>
                <w:highlight w:val="none"/>
              </w:rPr>
            </w:pPr>
          </w:p>
        </w:tc>
      </w:tr>
      <w:tr w14:paraId="0DFBD747">
        <w:tblPrEx>
          <w:tblCellMar>
            <w:top w:w="0" w:type="dxa"/>
            <w:left w:w="0" w:type="dxa"/>
            <w:bottom w:w="0" w:type="dxa"/>
            <w:right w:w="0" w:type="dxa"/>
          </w:tblCellMar>
        </w:tblPrEx>
        <w:trPr>
          <w:trHeight w:val="574" w:hRule="atLeast"/>
        </w:trPr>
        <w:tc>
          <w:tcPr>
            <w:tcW w:w="1437" w:type="dxa"/>
            <w:tcBorders>
              <w:top w:val="single" w:color="auto" w:sz="8" w:space="0"/>
              <w:left w:val="single" w:color="auto" w:sz="12" w:space="0"/>
              <w:bottom w:val="single" w:color="auto" w:sz="8" w:space="0"/>
              <w:right w:val="single" w:color="auto" w:sz="8" w:space="0"/>
            </w:tcBorders>
          </w:tcPr>
          <w:p w14:paraId="575B6562">
            <w:pPr>
              <w:autoSpaceDE w:val="0"/>
              <w:autoSpaceDN w:val="0"/>
              <w:rPr>
                <w:color w:val="auto"/>
                <w:kern w:val="0"/>
                <w:sz w:val="24"/>
                <w:highlight w:val="none"/>
              </w:rPr>
            </w:pPr>
          </w:p>
        </w:tc>
        <w:tc>
          <w:tcPr>
            <w:tcW w:w="1430" w:type="dxa"/>
            <w:tcBorders>
              <w:top w:val="single" w:color="auto" w:sz="8" w:space="0"/>
              <w:left w:val="single" w:color="auto" w:sz="8" w:space="0"/>
              <w:bottom w:val="single" w:color="auto" w:sz="8" w:space="0"/>
              <w:right w:val="single" w:color="auto" w:sz="8" w:space="0"/>
            </w:tcBorders>
          </w:tcPr>
          <w:p w14:paraId="36A3D559">
            <w:pPr>
              <w:autoSpaceDE w:val="0"/>
              <w:autoSpaceDN w:val="0"/>
              <w:rPr>
                <w:color w:val="auto"/>
                <w:kern w:val="0"/>
                <w:sz w:val="24"/>
                <w:highlight w:val="none"/>
              </w:rPr>
            </w:pPr>
          </w:p>
        </w:tc>
        <w:tc>
          <w:tcPr>
            <w:tcW w:w="2516" w:type="dxa"/>
            <w:tcBorders>
              <w:top w:val="single" w:color="auto" w:sz="8" w:space="0"/>
              <w:left w:val="single" w:color="auto" w:sz="8" w:space="0"/>
              <w:bottom w:val="single" w:color="auto" w:sz="8" w:space="0"/>
              <w:right w:val="single" w:color="auto" w:sz="8" w:space="0"/>
            </w:tcBorders>
          </w:tcPr>
          <w:p w14:paraId="718B6234">
            <w:pPr>
              <w:autoSpaceDE w:val="0"/>
              <w:autoSpaceDN w:val="0"/>
              <w:rPr>
                <w:color w:val="auto"/>
                <w:kern w:val="0"/>
                <w:sz w:val="24"/>
                <w:highlight w:val="none"/>
              </w:rPr>
            </w:pPr>
          </w:p>
        </w:tc>
        <w:tc>
          <w:tcPr>
            <w:tcW w:w="2330" w:type="dxa"/>
            <w:tcBorders>
              <w:top w:val="single" w:color="auto" w:sz="8" w:space="0"/>
              <w:left w:val="single" w:color="auto" w:sz="8" w:space="0"/>
              <w:bottom w:val="single" w:color="auto" w:sz="8" w:space="0"/>
              <w:right w:val="single" w:color="auto" w:sz="8" w:space="0"/>
            </w:tcBorders>
          </w:tcPr>
          <w:p w14:paraId="3216E73A">
            <w:pPr>
              <w:autoSpaceDE w:val="0"/>
              <w:autoSpaceDN w:val="0"/>
              <w:rPr>
                <w:color w:val="auto"/>
                <w:kern w:val="0"/>
                <w:sz w:val="24"/>
                <w:highlight w:val="none"/>
              </w:rPr>
            </w:pPr>
          </w:p>
        </w:tc>
        <w:tc>
          <w:tcPr>
            <w:tcW w:w="1387" w:type="dxa"/>
            <w:tcBorders>
              <w:top w:val="single" w:color="auto" w:sz="8" w:space="0"/>
              <w:left w:val="single" w:color="auto" w:sz="8" w:space="0"/>
              <w:bottom w:val="single" w:color="auto" w:sz="8" w:space="0"/>
              <w:right w:val="single" w:color="auto" w:sz="12" w:space="0"/>
            </w:tcBorders>
          </w:tcPr>
          <w:p w14:paraId="1882F812">
            <w:pPr>
              <w:autoSpaceDE w:val="0"/>
              <w:autoSpaceDN w:val="0"/>
              <w:rPr>
                <w:color w:val="auto"/>
                <w:kern w:val="0"/>
                <w:sz w:val="24"/>
                <w:highlight w:val="none"/>
              </w:rPr>
            </w:pPr>
          </w:p>
        </w:tc>
      </w:tr>
      <w:tr w14:paraId="66C62E4D">
        <w:tblPrEx>
          <w:tblCellMar>
            <w:top w:w="0" w:type="dxa"/>
            <w:left w:w="0" w:type="dxa"/>
            <w:bottom w:w="0" w:type="dxa"/>
            <w:right w:w="0" w:type="dxa"/>
          </w:tblCellMar>
        </w:tblPrEx>
        <w:trPr>
          <w:trHeight w:val="566" w:hRule="atLeast"/>
        </w:trPr>
        <w:tc>
          <w:tcPr>
            <w:tcW w:w="1437" w:type="dxa"/>
            <w:tcBorders>
              <w:top w:val="single" w:color="auto" w:sz="8" w:space="0"/>
              <w:left w:val="single" w:color="auto" w:sz="12" w:space="0"/>
              <w:bottom w:val="single" w:color="auto" w:sz="8" w:space="0"/>
              <w:right w:val="single" w:color="auto" w:sz="8" w:space="0"/>
            </w:tcBorders>
          </w:tcPr>
          <w:p w14:paraId="6E89CC7E">
            <w:pPr>
              <w:autoSpaceDE w:val="0"/>
              <w:autoSpaceDN w:val="0"/>
              <w:rPr>
                <w:color w:val="auto"/>
                <w:kern w:val="0"/>
                <w:sz w:val="24"/>
                <w:highlight w:val="none"/>
              </w:rPr>
            </w:pPr>
          </w:p>
        </w:tc>
        <w:tc>
          <w:tcPr>
            <w:tcW w:w="1430" w:type="dxa"/>
            <w:tcBorders>
              <w:top w:val="single" w:color="auto" w:sz="8" w:space="0"/>
              <w:left w:val="single" w:color="auto" w:sz="8" w:space="0"/>
              <w:bottom w:val="single" w:color="auto" w:sz="8" w:space="0"/>
              <w:right w:val="single" w:color="auto" w:sz="8" w:space="0"/>
            </w:tcBorders>
          </w:tcPr>
          <w:p w14:paraId="1196F89B">
            <w:pPr>
              <w:autoSpaceDE w:val="0"/>
              <w:autoSpaceDN w:val="0"/>
              <w:rPr>
                <w:color w:val="auto"/>
                <w:kern w:val="0"/>
                <w:sz w:val="24"/>
                <w:highlight w:val="none"/>
              </w:rPr>
            </w:pPr>
          </w:p>
        </w:tc>
        <w:tc>
          <w:tcPr>
            <w:tcW w:w="2516" w:type="dxa"/>
            <w:tcBorders>
              <w:top w:val="single" w:color="auto" w:sz="8" w:space="0"/>
              <w:left w:val="single" w:color="auto" w:sz="8" w:space="0"/>
              <w:bottom w:val="single" w:color="auto" w:sz="8" w:space="0"/>
              <w:right w:val="single" w:color="auto" w:sz="8" w:space="0"/>
            </w:tcBorders>
          </w:tcPr>
          <w:p w14:paraId="30DD7E18">
            <w:pPr>
              <w:autoSpaceDE w:val="0"/>
              <w:autoSpaceDN w:val="0"/>
              <w:rPr>
                <w:color w:val="auto"/>
                <w:kern w:val="0"/>
                <w:sz w:val="24"/>
                <w:highlight w:val="none"/>
              </w:rPr>
            </w:pPr>
          </w:p>
        </w:tc>
        <w:tc>
          <w:tcPr>
            <w:tcW w:w="2330" w:type="dxa"/>
            <w:tcBorders>
              <w:top w:val="single" w:color="auto" w:sz="8" w:space="0"/>
              <w:left w:val="single" w:color="auto" w:sz="8" w:space="0"/>
              <w:bottom w:val="single" w:color="auto" w:sz="8" w:space="0"/>
              <w:right w:val="single" w:color="auto" w:sz="8" w:space="0"/>
            </w:tcBorders>
          </w:tcPr>
          <w:p w14:paraId="04A7E110">
            <w:pPr>
              <w:autoSpaceDE w:val="0"/>
              <w:autoSpaceDN w:val="0"/>
              <w:rPr>
                <w:color w:val="auto"/>
                <w:kern w:val="0"/>
                <w:sz w:val="24"/>
                <w:highlight w:val="none"/>
              </w:rPr>
            </w:pPr>
          </w:p>
        </w:tc>
        <w:tc>
          <w:tcPr>
            <w:tcW w:w="1387" w:type="dxa"/>
            <w:tcBorders>
              <w:top w:val="single" w:color="auto" w:sz="8" w:space="0"/>
              <w:left w:val="single" w:color="auto" w:sz="8" w:space="0"/>
              <w:bottom w:val="single" w:color="auto" w:sz="8" w:space="0"/>
              <w:right w:val="single" w:color="auto" w:sz="12" w:space="0"/>
            </w:tcBorders>
          </w:tcPr>
          <w:p w14:paraId="39295B3F">
            <w:pPr>
              <w:autoSpaceDE w:val="0"/>
              <w:autoSpaceDN w:val="0"/>
              <w:rPr>
                <w:color w:val="auto"/>
                <w:kern w:val="0"/>
                <w:sz w:val="24"/>
                <w:highlight w:val="none"/>
              </w:rPr>
            </w:pPr>
          </w:p>
        </w:tc>
      </w:tr>
      <w:tr w14:paraId="5CF49477">
        <w:tblPrEx>
          <w:tblCellMar>
            <w:top w:w="0" w:type="dxa"/>
            <w:left w:w="0" w:type="dxa"/>
            <w:bottom w:w="0" w:type="dxa"/>
            <w:right w:w="0" w:type="dxa"/>
          </w:tblCellMar>
        </w:tblPrEx>
        <w:trPr>
          <w:trHeight w:val="574" w:hRule="atLeast"/>
        </w:trPr>
        <w:tc>
          <w:tcPr>
            <w:tcW w:w="1437" w:type="dxa"/>
            <w:tcBorders>
              <w:top w:val="single" w:color="auto" w:sz="8" w:space="0"/>
              <w:left w:val="single" w:color="auto" w:sz="12" w:space="0"/>
              <w:bottom w:val="single" w:color="auto" w:sz="8" w:space="0"/>
              <w:right w:val="single" w:color="auto" w:sz="8" w:space="0"/>
            </w:tcBorders>
          </w:tcPr>
          <w:p w14:paraId="3DFF5DAF">
            <w:pPr>
              <w:autoSpaceDE w:val="0"/>
              <w:autoSpaceDN w:val="0"/>
              <w:rPr>
                <w:color w:val="auto"/>
                <w:kern w:val="0"/>
                <w:sz w:val="24"/>
                <w:highlight w:val="none"/>
              </w:rPr>
            </w:pPr>
          </w:p>
        </w:tc>
        <w:tc>
          <w:tcPr>
            <w:tcW w:w="1430" w:type="dxa"/>
            <w:tcBorders>
              <w:top w:val="single" w:color="auto" w:sz="8" w:space="0"/>
              <w:left w:val="single" w:color="auto" w:sz="8" w:space="0"/>
              <w:bottom w:val="single" w:color="auto" w:sz="8" w:space="0"/>
              <w:right w:val="single" w:color="auto" w:sz="8" w:space="0"/>
            </w:tcBorders>
          </w:tcPr>
          <w:p w14:paraId="486371DD">
            <w:pPr>
              <w:autoSpaceDE w:val="0"/>
              <w:autoSpaceDN w:val="0"/>
              <w:rPr>
                <w:color w:val="auto"/>
                <w:kern w:val="0"/>
                <w:sz w:val="24"/>
                <w:highlight w:val="none"/>
              </w:rPr>
            </w:pPr>
          </w:p>
        </w:tc>
        <w:tc>
          <w:tcPr>
            <w:tcW w:w="2516" w:type="dxa"/>
            <w:tcBorders>
              <w:top w:val="single" w:color="auto" w:sz="8" w:space="0"/>
              <w:left w:val="single" w:color="auto" w:sz="8" w:space="0"/>
              <w:bottom w:val="single" w:color="auto" w:sz="8" w:space="0"/>
              <w:right w:val="single" w:color="auto" w:sz="8" w:space="0"/>
            </w:tcBorders>
          </w:tcPr>
          <w:p w14:paraId="17B83CDB">
            <w:pPr>
              <w:autoSpaceDE w:val="0"/>
              <w:autoSpaceDN w:val="0"/>
              <w:rPr>
                <w:color w:val="auto"/>
                <w:kern w:val="0"/>
                <w:sz w:val="24"/>
                <w:highlight w:val="none"/>
              </w:rPr>
            </w:pPr>
          </w:p>
        </w:tc>
        <w:tc>
          <w:tcPr>
            <w:tcW w:w="2330" w:type="dxa"/>
            <w:tcBorders>
              <w:top w:val="single" w:color="auto" w:sz="8" w:space="0"/>
              <w:left w:val="single" w:color="auto" w:sz="8" w:space="0"/>
              <w:bottom w:val="single" w:color="auto" w:sz="8" w:space="0"/>
              <w:right w:val="single" w:color="auto" w:sz="8" w:space="0"/>
            </w:tcBorders>
          </w:tcPr>
          <w:p w14:paraId="32488F0B">
            <w:pPr>
              <w:autoSpaceDE w:val="0"/>
              <w:autoSpaceDN w:val="0"/>
              <w:rPr>
                <w:color w:val="auto"/>
                <w:kern w:val="0"/>
                <w:sz w:val="24"/>
                <w:highlight w:val="none"/>
              </w:rPr>
            </w:pPr>
          </w:p>
        </w:tc>
        <w:tc>
          <w:tcPr>
            <w:tcW w:w="1387" w:type="dxa"/>
            <w:tcBorders>
              <w:top w:val="single" w:color="auto" w:sz="8" w:space="0"/>
              <w:left w:val="single" w:color="auto" w:sz="8" w:space="0"/>
              <w:bottom w:val="single" w:color="auto" w:sz="8" w:space="0"/>
              <w:right w:val="single" w:color="auto" w:sz="12" w:space="0"/>
            </w:tcBorders>
          </w:tcPr>
          <w:p w14:paraId="5DFA6EEF">
            <w:pPr>
              <w:autoSpaceDE w:val="0"/>
              <w:autoSpaceDN w:val="0"/>
              <w:rPr>
                <w:color w:val="auto"/>
                <w:kern w:val="0"/>
                <w:sz w:val="24"/>
                <w:highlight w:val="none"/>
              </w:rPr>
            </w:pPr>
          </w:p>
        </w:tc>
      </w:tr>
      <w:tr w14:paraId="79A206C5">
        <w:tblPrEx>
          <w:tblCellMar>
            <w:top w:w="0" w:type="dxa"/>
            <w:left w:w="0" w:type="dxa"/>
            <w:bottom w:w="0" w:type="dxa"/>
            <w:right w:w="0" w:type="dxa"/>
          </w:tblCellMar>
        </w:tblPrEx>
        <w:trPr>
          <w:trHeight w:val="574" w:hRule="atLeast"/>
        </w:trPr>
        <w:tc>
          <w:tcPr>
            <w:tcW w:w="1437" w:type="dxa"/>
            <w:tcBorders>
              <w:top w:val="single" w:color="auto" w:sz="8" w:space="0"/>
              <w:left w:val="single" w:color="auto" w:sz="12" w:space="0"/>
              <w:bottom w:val="single" w:color="auto" w:sz="8" w:space="0"/>
              <w:right w:val="single" w:color="auto" w:sz="8" w:space="0"/>
            </w:tcBorders>
          </w:tcPr>
          <w:p w14:paraId="6F56771E">
            <w:pPr>
              <w:autoSpaceDE w:val="0"/>
              <w:autoSpaceDN w:val="0"/>
              <w:rPr>
                <w:color w:val="auto"/>
                <w:kern w:val="0"/>
                <w:sz w:val="24"/>
                <w:highlight w:val="none"/>
              </w:rPr>
            </w:pPr>
          </w:p>
        </w:tc>
        <w:tc>
          <w:tcPr>
            <w:tcW w:w="1430" w:type="dxa"/>
            <w:tcBorders>
              <w:top w:val="single" w:color="auto" w:sz="8" w:space="0"/>
              <w:left w:val="single" w:color="auto" w:sz="8" w:space="0"/>
              <w:bottom w:val="single" w:color="auto" w:sz="8" w:space="0"/>
              <w:right w:val="single" w:color="auto" w:sz="8" w:space="0"/>
            </w:tcBorders>
          </w:tcPr>
          <w:p w14:paraId="6AA476AA">
            <w:pPr>
              <w:autoSpaceDE w:val="0"/>
              <w:autoSpaceDN w:val="0"/>
              <w:rPr>
                <w:color w:val="auto"/>
                <w:kern w:val="0"/>
                <w:sz w:val="24"/>
                <w:highlight w:val="none"/>
              </w:rPr>
            </w:pPr>
          </w:p>
        </w:tc>
        <w:tc>
          <w:tcPr>
            <w:tcW w:w="2516" w:type="dxa"/>
            <w:tcBorders>
              <w:top w:val="single" w:color="auto" w:sz="8" w:space="0"/>
              <w:left w:val="single" w:color="auto" w:sz="8" w:space="0"/>
              <w:bottom w:val="single" w:color="auto" w:sz="8" w:space="0"/>
              <w:right w:val="single" w:color="auto" w:sz="8" w:space="0"/>
            </w:tcBorders>
          </w:tcPr>
          <w:p w14:paraId="7DE23D10">
            <w:pPr>
              <w:autoSpaceDE w:val="0"/>
              <w:autoSpaceDN w:val="0"/>
              <w:rPr>
                <w:color w:val="auto"/>
                <w:kern w:val="0"/>
                <w:sz w:val="24"/>
                <w:highlight w:val="none"/>
              </w:rPr>
            </w:pPr>
          </w:p>
        </w:tc>
        <w:tc>
          <w:tcPr>
            <w:tcW w:w="2330" w:type="dxa"/>
            <w:tcBorders>
              <w:top w:val="single" w:color="auto" w:sz="8" w:space="0"/>
              <w:left w:val="single" w:color="auto" w:sz="8" w:space="0"/>
              <w:bottom w:val="single" w:color="auto" w:sz="8" w:space="0"/>
              <w:right w:val="single" w:color="auto" w:sz="8" w:space="0"/>
            </w:tcBorders>
          </w:tcPr>
          <w:p w14:paraId="5FB52BE0">
            <w:pPr>
              <w:autoSpaceDE w:val="0"/>
              <w:autoSpaceDN w:val="0"/>
              <w:rPr>
                <w:color w:val="auto"/>
                <w:kern w:val="0"/>
                <w:sz w:val="24"/>
                <w:highlight w:val="none"/>
              </w:rPr>
            </w:pPr>
          </w:p>
        </w:tc>
        <w:tc>
          <w:tcPr>
            <w:tcW w:w="1387" w:type="dxa"/>
            <w:tcBorders>
              <w:top w:val="single" w:color="auto" w:sz="8" w:space="0"/>
              <w:left w:val="single" w:color="auto" w:sz="8" w:space="0"/>
              <w:bottom w:val="single" w:color="auto" w:sz="8" w:space="0"/>
              <w:right w:val="single" w:color="auto" w:sz="12" w:space="0"/>
            </w:tcBorders>
          </w:tcPr>
          <w:p w14:paraId="591A6D1C">
            <w:pPr>
              <w:autoSpaceDE w:val="0"/>
              <w:autoSpaceDN w:val="0"/>
              <w:rPr>
                <w:color w:val="auto"/>
                <w:kern w:val="0"/>
                <w:sz w:val="24"/>
                <w:highlight w:val="none"/>
              </w:rPr>
            </w:pPr>
          </w:p>
        </w:tc>
      </w:tr>
      <w:tr w14:paraId="62155C74">
        <w:tblPrEx>
          <w:tblCellMar>
            <w:top w:w="0" w:type="dxa"/>
            <w:left w:w="0" w:type="dxa"/>
            <w:bottom w:w="0" w:type="dxa"/>
            <w:right w:w="0" w:type="dxa"/>
          </w:tblCellMar>
        </w:tblPrEx>
        <w:trPr>
          <w:trHeight w:val="602" w:hRule="atLeast"/>
        </w:trPr>
        <w:tc>
          <w:tcPr>
            <w:tcW w:w="1437" w:type="dxa"/>
            <w:tcBorders>
              <w:top w:val="single" w:color="auto" w:sz="8" w:space="0"/>
              <w:left w:val="single" w:color="auto" w:sz="12" w:space="0"/>
              <w:bottom w:val="single" w:color="auto" w:sz="12" w:space="0"/>
              <w:right w:val="single" w:color="auto" w:sz="8" w:space="0"/>
            </w:tcBorders>
          </w:tcPr>
          <w:p w14:paraId="17D64671">
            <w:pPr>
              <w:autoSpaceDE w:val="0"/>
              <w:autoSpaceDN w:val="0"/>
              <w:rPr>
                <w:color w:val="auto"/>
                <w:kern w:val="0"/>
                <w:sz w:val="24"/>
                <w:highlight w:val="none"/>
              </w:rPr>
            </w:pPr>
          </w:p>
        </w:tc>
        <w:tc>
          <w:tcPr>
            <w:tcW w:w="1430" w:type="dxa"/>
            <w:tcBorders>
              <w:top w:val="single" w:color="auto" w:sz="8" w:space="0"/>
              <w:left w:val="single" w:color="auto" w:sz="8" w:space="0"/>
              <w:bottom w:val="single" w:color="auto" w:sz="12" w:space="0"/>
              <w:right w:val="single" w:color="auto" w:sz="8" w:space="0"/>
            </w:tcBorders>
          </w:tcPr>
          <w:p w14:paraId="03AC6C68">
            <w:pPr>
              <w:autoSpaceDE w:val="0"/>
              <w:autoSpaceDN w:val="0"/>
              <w:rPr>
                <w:color w:val="auto"/>
                <w:kern w:val="0"/>
                <w:sz w:val="24"/>
                <w:highlight w:val="none"/>
              </w:rPr>
            </w:pPr>
          </w:p>
        </w:tc>
        <w:tc>
          <w:tcPr>
            <w:tcW w:w="2516" w:type="dxa"/>
            <w:tcBorders>
              <w:top w:val="single" w:color="auto" w:sz="8" w:space="0"/>
              <w:left w:val="single" w:color="auto" w:sz="8" w:space="0"/>
              <w:bottom w:val="single" w:color="auto" w:sz="12" w:space="0"/>
              <w:right w:val="single" w:color="auto" w:sz="8" w:space="0"/>
            </w:tcBorders>
          </w:tcPr>
          <w:p w14:paraId="7B842493">
            <w:pPr>
              <w:autoSpaceDE w:val="0"/>
              <w:autoSpaceDN w:val="0"/>
              <w:rPr>
                <w:color w:val="auto"/>
                <w:kern w:val="0"/>
                <w:sz w:val="24"/>
                <w:highlight w:val="none"/>
              </w:rPr>
            </w:pPr>
          </w:p>
        </w:tc>
        <w:tc>
          <w:tcPr>
            <w:tcW w:w="2330" w:type="dxa"/>
            <w:tcBorders>
              <w:top w:val="single" w:color="auto" w:sz="8" w:space="0"/>
              <w:left w:val="single" w:color="auto" w:sz="8" w:space="0"/>
              <w:bottom w:val="single" w:color="auto" w:sz="12" w:space="0"/>
              <w:right w:val="single" w:color="auto" w:sz="8" w:space="0"/>
            </w:tcBorders>
          </w:tcPr>
          <w:p w14:paraId="6C7B3A2B">
            <w:pPr>
              <w:autoSpaceDE w:val="0"/>
              <w:autoSpaceDN w:val="0"/>
              <w:rPr>
                <w:color w:val="auto"/>
                <w:kern w:val="0"/>
                <w:sz w:val="24"/>
                <w:highlight w:val="none"/>
              </w:rPr>
            </w:pPr>
          </w:p>
        </w:tc>
        <w:tc>
          <w:tcPr>
            <w:tcW w:w="1387" w:type="dxa"/>
            <w:tcBorders>
              <w:top w:val="single" w:color="auto" w:sz="8" w:space="0"/>
              <w:left w:val="single" w:color="auto" w:sz="8" w:space="0"/>
              <w:bottom w:val="single" w:color="auto" w:sz="12" w:space="0"/>
              <w:right w:val="single" w:color="auto" w:sz="12" w:space="0"/>
            </w:tcBorders>
          </w:tcPr>
          <w:p w14:paraId="3F24C16E">
            <w:pPr>
              <w:autoSpaceDE w:val="0"/>
              <w:autoSpaceDN w:val="0"/>
              <w:rPr>
                <w:color w:val="auto"/>
                <w:kern w:val="0"/>
                <w:sz w:val="24"/>
                <w:highlight w:val="none"/>
              </w:rPr>
            </w:pPr>
          </w:p>
        </w:tc>
      </w:tr>
    </w:tbl>
    <w:p w14:paraId="0852D63A">
      <w:pPr>
        <w:autoSpaceDE w:val="0"/>
        <w:autoSpaceDN w:val="0"/>
        <w:adjustRightInd w:val="0"/>
        <w:jc w:val="left"/>
        <w:rPr>
          <w:color w:val="auto"/>
          <w:kern w:val="0"/>
          <w:sz w:val="24"/>
          <w:highlight w:val="none"/>
        </w:rPr>
      </w:pPr>
    </w:p>
    <w:p w14:paraId="3C031BA4">
      <w:pPr>
        <w:snapToGrid w:val="0"/>
        <w:spacing w:before="50" w:after="50"/>
        <w:rPr>
          <w:rFonts w:ascii="宋体" w:hAnsi="宋体"/>
          <w:color w:val="auto"/>
          <w:szCs w:val="21"/>
          <w:highlight w:val="none"/>
        </w:rPr>
      </w:pPr>
    </w:p>
    <w:p w14:paraId="32C04C0B">
      <w:pPr>
        <w:pStyle w:val="5"/>
        <w:overflowPunct w:val="0"/>
        <w:spacing w:line="520" w:lineRule="exact"/>
        <w:ind w:firstLine="0"/>
        <w:jc w:val="center"/>
        <w:rPr>
          <w:color w:val="auto"/>
          <w:sz w:val="24"/>
          <w:highlight w:val="none"/>
        </w:rPr>
      </w:pPr>
      <w:r>
        <w:rPr>
          <w:rFonts w:hint="eastAsia"/>
          <w:color w:val="auto"/>
          <w:sz w:val="24"/>
          <w:highlight w:val="none"/>
        </w:rPr>
        <w:t>供应商名称：</w:t>
      </w:r>
      <w:r>
        <w:rPr>
          <w:rFonts w:hint="eastAsia"/>
          <w:color w:val="auto"/>
          <w:sz w:val="24"/>
          <w:highlight w:val="none"/>
          <w:u w:val="single"/>
        </w:rPr>
        <w:t xml:space="preserve">                         </w:t>
      </w:r>
      <w:r>
        <w:rPr>
          <w:rFonts w:hint="eastAsia"/>
          <w:color w:val="auto"/>
          <w:sz w:val="24"/>
          <w:highlight w:val="none"/>
        </w:rPr>
        <w:t>（盖单位公章）</w:t>
      </w:r>
    </w:p>
    <w:p w14:paraId="762DEC56">
      <w:pPr>
        <w:pStyle w:val="5"/>
        <w:overflowPunct w:val="0"/>
        <w:spacing w:line="520" w:lineRule="exact"/>
        <w:ind w:firstLine="1478" w:firstLineChars="616"/>
        <w:rPr>
          <w:color w:val="auto"/>
          <w:sz w:val="24"/>
          <w:highlight w:val="none"/>
        </w:rPr>
      </w:pPr>
      <w:r>
        <w:rPr>
          <w:rFonts w:hint="eastAsia"/>
          <w:color w:val="auto"/>
          <w:sz w:val="24"/>
          <w:highlight w:val="none"/>
        </w:rPr>
        <w:t>法定代表人或其委托代理人：</w:t>
      </w:r>
      <w:r>
        <w:rPr>
          <w:rFonts w:hint="eastAsia"/>
          <w:color w:val="auto"/>
          <w:sz w:val="24"/>
          <w:highlight w:val="none"/>
          <w:u w:val="single"/>
        </w:rPr>
        <w:t xml:space="preserve">           </w:t>
      </w:r>
      <w:r>
        <w:rPr>
          <w:rFonts w:hint="eastAsia"/>
          <w:color w:val="auto"/>
          <w:sz w:val="24"/>
          <w:highlight w:val="none"/>
        </w:rPr>
        <w:t>（签字）</w:t>
      </w:r>
    </w:p>
    <w:p w14:paraId="63EE8259">
      <w:pPr>
        <w:pStyle w:val="5"/>
        <w:overflowPunct w:val="0"/>
        <w:spacing w:line="520" w:lineRule="exact"/>
        <w:ind w:firstLine="3998" w:firstLineChars="1666"/>
        <w:rPr>
          <w:color w:val="auto"/>
          <w:sz w:val="24"/>
          <w:highlight w:val="none"/>
        </w:rPr>
      </w:pPr>
      <w:r>
        <w:rPr>
          <w:rFonts w:hint="eastAsia"/>
          <w:color w:val="auto"/>
          <w:sz w:val="24"/>
          <w:highlight w:val="none"/>
          <w:u w:val="single"/>
        </w:rPr>
        <w:t xml:space="preserve">      </w:t>
      </w:r>
      <w:r>
        <w:rPr>
          <w:rFonts w:hint="eastAsia"/>
          <w:color w:val="auto"/>
          <w:sz w:val="24"/>
          <w:highlight w:val="none"/>
        </w:rPr>
        <w:t>年</w:t>
      </w:r>
      <w:r>
        <w:rPr>
          <w:rFonts w:hint="eastAsia"/>
          <w:color w:val="auto"/>
          <w:sz w:val="24"/>
          <w:highlight w:val="none"/>
          <w:u w:val="single"/>
        </w:rPr>
        <w:t xml:space="preserve">    </w:t>
      </w:r>
      <w:r>
        <w:rPr>
          <w:rFonts w:hint="eastAsia"/>
          <w:color w:val="auto"/>
          <w:sz w:val="24"/>
          <w:highlight w:val="none"/>
        </w:rPr>
        <w:t>月</w:t>
      </w:r>
      <w:r>
        <w:rPr>
          <w:rFonts w:hint="eastAsia"/>
          <w:color w:val="auto"/>
          <w:sz w:val="24"/>
          <w:highlight w:val="none"/>
          <w:u w:val="single"/>
        </w:rPr>
        <w:t xml:space="preserve">    </w:t>
      </w:r>
      <w:r>
        <w:rPr>
          <w:rFonts w:hint="eastAsia"/>
          <w:color w:val="auto"/>
          <w:sz w:val="24"/>
          <w:highlight w:val="none"/>
        </w:rPr>
        <w:t>日</w:t>
      </w:r>
    </w:p>
    <w:p w14:paraId="65F00846">
      <w:pPr>
        <w:snapToGrid w:val="0"/>
        <w:spacing w:before="120" w:beforeLines="50" w:after="50"/>
        <w:jc w:val="left"/>
        <w:rPr>
          <w:rFonts w:ascii="宋体" w:hAnsi="宋体"/>
          <w:color w:val="auto"/>
          <w:szCs w:val="21"/>
          <w:highlight w:val="none"/>
        </w:rPr>
      </w:pPr>
    </w:p>
    <w:p w14:paraId="62469DAE">
      <w:pPr>
        <w:snapToGrid w:val="0"/>
        <w:spacing w:before="120" w:beforeLines="50" w:after="50"/>
        <w:jc w:val="left"/>
        <w:rPr>
          <w:rFonts w:ascii="宋体" w:hAnsi="宋体"/>
          <w:color w:val="auto"/>
          <w:szCs w:val="21"/>
          <w:highlight w:val="none"/>
        </w:rPr>
      </w:pPr>
    </w:p>
    <w:p w14:paraId="36026572">
      <w:pPr>
        <w:jc w:val="center"/>
        <w:outlineLvl w:val="3"/>
        <w:rPr>
          <w:rFonts w:ascii="黑体" w:hAnsi="宋体" w:eastAsia="黑体"/>
          <w:color w:val="auto"/>
          <w:sz w:val="24"/>
          <w:highlight w:val="none"/>
        </w:rPr>
      </w:pPr>
      <w:r>
        <w:rPr>
          <w:rFonts w:hint="eastAsia" w:ascii="宋体" w:hAnsi="宋体"/>
          <w:b/>
          <w:color w:val="auto"/>
          <w:sz w:val="24"/>
          <w:highlight w:val="none"/>
        </w:rPr>
        <w:br w:type="page"/>
      </w:r>
      <w:r>
        <w:rPr>
          <w:rFonts w:hint="eastAsia" w:ascii="宋体" w:hAnsi="宋体"/>
          <w:b/>
          <w:color w:val="auto"/>
          <w:sz w:val="24"/>
          <w:highlight w:val="none"/>
        </w:rPr>
        <w:t>2.</w:t>
      </w:r>
      <w:r>
        <w:rPr>
          <w:rFonts w:ascii="黑体" w:hAnsi="宋体" w:eastAsia="黑体"/>
          <w:b/>
          <w:bCs/>
          <w:color w:val="auto"/>
          <w:sz w:val="24"/>
          <w:highlight w:val="none"/>
        </w:rPr>
        <w:t>近</w:t>
      </w:r>
      <w:r>
        <w:rPr>
          <w:rFonts w:hint="eastAsia" w:ascii="黑体" w:hAnsi="宋体" w:eastAsia="黑体"/>
          <w:b/>
          <w:bCs/>
          <w:color w:val="auto"/>
          <w:sz w:val="24"/>
          <w:highlight w:val="none"/>
          <w:lang w:val="en-US" w:eastAsia="zh-CN"/>
        </w:rPr>
        <w:t>5</w:t>
      </w:r>
      <w:r>
        <w:rPr>
          <w:rFonts w:ascii="黑体" w:hAnsi="宋体" w:eastAsia="黑体"/>
          <w:b/>
          <w:bCs/>
          <w:color w:val="auto"/>
          <w:sz w:val="24"/>
          <w:highlight w:val="none"/>
        </w:rPr>
        <w:t xml:space="preserve"> 年类似项目情况详表</w:t>
      </w:r>
    </w:p>
    <w:p w14:paraId="5A0E0A27">
      <w:pPr>
        <w:rPr>
          <w:rFonts w:ascii="黑体" w:hAnsi="宋体" w:eastAsia="黑体"/>
          <w:color w:val="auto"/>
          <w:sz w:val="24"/>
          <w:highlight w:val="none"/>
        </w:rPr>
      </w:pPr>
    </w:p>
    <w:tbl>
      <w:tblPr>
        <w:tblStyle w:val="25"/>
        <w:tblW w:w="0" w:type="auto"/>
        <w:tblInd w:w="0" w:type="dxa"/>
        <w:tblLayout w:type="fixed"/>
        <w:tblCellMar>
          <w:top w:w="0" w:type="dxa"/>
          <w:left w:w="0" w:type="dxa"/>
          <w:bottom w:w="0" w:type="dxa"/>
          <w:right w:w="0" w:type="dxa"/>
        </w:tblCellMar>
      </w:tblPr>
      <w:tblGrid>
        <w:gridCol w:w="2700"/>
        <w:gridCol w:w="6465"/>
      </w:tblGrid>
      <w:tr w14:paraId="284A9F59">
        <w:tblPrEx>
          <w:tblCellMar>
            <w:top w:w="0" w:type="dxa"/>
            <w:left w:w="0" w:type="dxa"/>
            <w:bottom w:w="0" w:type="dxa"/>
            <w:right w:w="0" w:type="dxa"/>
          </w:tblCellMar>
        </w:tblPrEx>
        <w:trPr>
          <w:trHeight w:val="432" w:hRule="atLeast"/>
        </w:trPr>
        <w:tc>
          <w:tcPr>
            <w:tcW w:w="2700" w:type="dxa"/>
            <w:tcBorders>
              <w:top w:val="single" w:color="auto" w:sz="12" w:space="0"/>
              <w:left w:val="single" w:color="auto" w:sz="12" w:space="0"/>
              <w:bottom w:val="single" w:color="auto" w:sz="8" w:space="0"/>
              <w:right w:val="single" w:color="auto" w:sz="8" w:space="0"/>
            </w:tcBorders>
            <w:vAlign w:val="center"/>
          </w:tcPr>
          <w:p w14:paraId="79D8106B">
            <w:pPr>
              <w:autoSpaceDE w:val="0"/>
              <w:autoSpaceDN w:val="0"/>
              <w:jc w:val="center"/>
              <w:rPr>
                <w:rFonts w:ascii="宋体" w:cs="宋体"/>
                <w:color w:val="auto"/>
                <w:kern w:val="0"/>
                <w:sz w:val="24"/>
                <w:highlight w:val="none"/>
              </w:rPr>
            </w:pPr>
            <w:r>
              <w:rPr>
                <w:rFonts w:hint="eastAsia" w:ascii="宋体" w:cs="宋体"/>
                <w:color w:val="auto"/>
                <w:kern w:val="0"/>
                <w:sz w:val="24"/>
                <w:highlight w:val="none"/>
              </w:rPr>
              <w:t>项目名称</w:t>
            </w:r>
          </w:p>
        </w:tc>
        <w:tc>
          <w:tcPr>
            <w:tcW w:w="6465" w:type="dxa"/>
            <w:tcBorders>
              <w:top w:val="single" w:color="auto" w:sz="12" w:space="0"/>
              <w:left w:val="single" w:color="auto" w:sz="8" w:space="0"/>
              <w:bottom w:val="single" w:color="auto" w:sz="8" w:space="0"/>
              <w:right w:val="single" w:color="auto" w:sz="12" w:space="0"/>
            </w:tcBorders>
          </w:tcPr>
          <w:p w14:paraId="354E00E9">
            <w:pPr>
              <w:autoSpaceDE w:val="0"/>
              <w:autoSpaceDN w:val="0"/>
              <w:rPr>
                <w:color w:val="auto"/>
                <w:kern w:val="0"/>
                <w:sz w:val="24"/>
                <w:highlight w:val="none"/>
              </w:rPr>
            </w:pPr>
          </w:p>
        </w:tc>
      </w:tr>
      <w:tr w14:paraId="70951C06">
        <w:tblPrEx>
          <w:tblCellMar>
            <w:top w:w="0" w:type="dxa"/>
            <w:left w:w="0" w:type="dxa"/>
            <w:bottom w:w="0" w:type="dxa"/>
            <w:right w:w="0" w:type="dxa"/>
          </w:tblCellMar>
        </w:tblPrEx>
        <w:trPr>
          <w:trHeight w:val="453" w:hRule="atLeast"/>
        </w:trPr>
        <w:tc>
          <w:tcPr>
            <w:tcW w:w="2700" w:type="dxa"/>
            <w:tcBorders>
              <w:top w:val="single" w:color="auto" w:sz="8" w:space="0"/>
              <w:left w:val="single" w:color="auto" w:sz="12" w:space="0"/>
              <w:bottom w:val="single" w:color="auto" w:sz="8" w:space="0"/>
              <w:right w:val="single" w:color="auto" w:sz="8" w:space="0"/>
            </w:tcBorders>
            <w:vAlign w:val="center"/>
          </w:tcPr>
          <w:p w14:paraId="76601784">
            <w:pPr>
              <w:autoSpaceDE w:val="0"/>
              <w:autoSpaceDN w:val="0"/>
              <w:jc w:val="center"/>
              <w:rPr>
                <w:rFonts w:ascii="宋体" w:cs="宋体"/>
                <w:color w:val="auto"/>
                <w:kern w:val="0"/>
                <w:sz w:val="24"/>
                <w:highlight w:val="none"/>
              </w:rPr>
            </w:pPr>
            <w:r>
              <w:rPr>
                <w:rFonts w:hint="eastAsia" w:ascii="宋体" w:cs="宋体"/>
                <w:color w:val="auto"/>
                <w:kern w:val="0"/>
                <w:sz w:val="24"/>
                <w:highlight w:val="none"/>
              </w:rPr>
              <w:t>项目所在地</w:t>
            </w:r>
          </w:p>
        </w:tc>
        <w:tc>
          <w:tcPr>
            <w:tcW w:w="6465" w:type="dxa"/>
            <w:tcBorders>
              <w:top w:val="single" w:color="auto" w:sz="8" w:space="0"/>
              <w:left w:val="single" w:color="auto" w:sz="8" w:space="0"/>
              <w:bottom w:val="single" w:color="auto" w:sz="8" w:space="0"/>
              <w:right w:val="single" w:color="auto" w:sz="12" w:space="0"/>
            </w:tcBorders>
          </w:tcPr>
          <w:p w14:paraId="4F9EA828">
            <w:pPr>
              <w:autoSpaceDE w:val="0"/>
              <w:autoSpaceDN w:val="0"/>
              <w:rPr>
                <w:color w:val="auto"/>
                <w:kern w:val="0"/>
                <w:sz w:val="24"/>
                <w:highlight w:val="none"/>
              </w:rPr>
            </w:pPr>
          </w:p>
        </w:tc>
      </w:tr>
      <w:tr w14:paraId="3E48EE0E">
        <w:tblPrEx>
          <w:tblCellMar>
            <w:top w:w="0" w:type="dxa"/>
            <w:left w:w="0" w:type="dxa"/>
            <w:bottom w:w="0" w:type="dxa"/>
            <w:right w:w="0" w:type="dxa"/>
          </w:tblCellMar>
        </w:tblPrEx>
        <w:trPr>
          <w:trHeight w:val="446" w:hRule="atLeast"/>
        </w:trPr>
        <w:tc>
          <w:tcPr>
            <w:tcW w:w="2700" w:type="dxa"/>
            <w:tcBorders>
              <w:top w:val="single" w:color="auto" w:sz="8" w:space="0"/>
              <w:left w:val="single" w:color="auto" w:sz="12" w:space="0"/>
              <w:bottom w:val="single" w:color="auto" w:sz="8" w:space="0"/>
              <w:right w:val="single" w:color="auto" w:sz="8" w:space="0"/>
            </w:tcBorders>
            <w:vAlign w:val="center"/>
          </w:tcPr>
          <w:p w14:paraId="0FE35490">
            <w:pPr>
              <w:autoSpaceDE w:val="0"/>
              <w:autoSpaceDN w:val="0"/>
              <w:jc w:val="center"/>
              <w:rPr>
                <w:rFonts w:ascii="宋体" w:cs="宋体"/>
                <w:color w:val="auto"/>
                <w:kern w:val="0"/>
                <w:sz w:val="24"/>
                <w:highlight w:val="none"/>
              </w:rPr>
            </w:pPr>
            <w:r>
              <w:rPr>
                <w:rFonts w:hint="eastAsia" w:ascii="宋体" w:cs="宋体"/>
                <w:color w:val="auto"/>
                <w:kern w:val="0"/>
                <w:sz w:val="24"/>
                <w:highlight w:val="none"/>
              </w:rPr>
              <w:t>发包人名称</w:t>
            </w:r>
          </w:p>
        </w:tc>
        <w:tc>
          <w:tcPr>
            <w:tcW w:w="6465" w:type="dxa"/>
            <w:tcBorders>
              <w:top w:val="single" w:color="auto" w:sz="8" w:space="0"/>
              <w:left w:val="single" w:color="auto" w:sz="8" w:space="0"/>
              <w:bottom w:val="single" w:color="auto" w:sz="8" w:space="0"/>
              <w:right w:val="single" w:color="auto" w:sz="12" w:space="0"/>
            </w:tcBorders>
          </w:tcPr>
          <w:p w14:paraId="390F7861">
            <w:pPr>
              <w:autoSpaceDE w:val="0"/>
              <w:autoSpaceDN w:val="0"/>
              <w:rPr>
                <w:color w:val="auto"/>
                <w:kern w:val="0"/>
                <w:sz w:val="24"/>
                <w:highlight w:val="none"/>
              </w:rPr>
            </w:pPr>
          </w:p>
        </w:tc>
      </w:tr>
      <w:tr w14:paraId="4C7FE252">
        <w:tblPrEx>
          <w:tblCellMar>
            <w:top w:w="0" w:type="dxa"/>
            <w:left w:w="0" w:type="dxa"/>
            <w:bottom w:w="0" w:type="dxa"/>
            <w:right w:w="0" w:type="dxa"/>
          </w:tblCellMar>
        </w:tblPrEx>
        <w:trPr>
          <w:trHeight w:val="453" w:hRule="atLeast"/>
        </w:trPr>
        <w:tc>
          <w:tcPr>
            <w:tcW w:w="2700" w:type="dxa"/>
            <w:tcBorders>
              <w:top w:val="single" w:color="auto" w:sz="8" w:space="0"/>
              <w:left w:val="single" w:color="auto" w:sz="12" w:space="0"/>
              <w:bottom w:val="single" w:color="auto" w:sz="8" w:space="0"/>
              <w:right w:val="single" w:color="auto" w:sz="8" w:space="0"/>
            </w:tcBorders>
            <w:vAlign w:val="center"/>
          </w:tcPr>
          <w:p w14:paraId="1DE342AF">
            <w:pPr>
              <w:autoSpaceDE w:val="0"/>
              <w:autoSpaceDN w:val="0"/>
              <w:jc w:val="center"/>
              <w:rPr>
                <w:rFonts w:ascii="宋体" w:cs="宋体"/>
                <w:color w:val="auto"/>
                <w:kern w:val="0"/>
                <w:sz w:val="24"/>
                <w:highlight w:val="none"/>
              </w:rPr>
            </w:pPr>
            <w:r>
              <w:rPr>
                <w:rFonts w:hint="eastAsia" w:ascii="宋体" w:cs="宋体"/>
                <w:color w:val="auto"/>
                <w:kern w:val="0"/>
                <w:sz w:val="24"/>
                <w:highlight w:val="none"/>
              </w:rPr>
              <w:t>发包人地址</w:t>
            </w:r>
          </w:p>
        </w:tc>
        <w:tc>
          <w:tcPr>
            <w:tcW w:w="6465" w:type="dxa"/>
            <w:tcBorders>
              <w:top w:val="single" w:color="auto" w:sz="8" w:space="0"/>
              <w:left w:val="single" w:color="auto" w:sz="8" w:space="0"/>
              <w:bottom w:val="single" w:color="auto" w:sz="8" w:space="0"/>
              <w:right w:val="single" w:color="auto" w:sz="12" w:space="0"/>
            </w:tcBorders>
          </w:tcPr>
          <w:p w14:paraId="77A35335">
            <w:pPr>
              <w:autoSpaceDE w:val="0"/>
              <w:autoSpaceDN w:val="0"/>
              <w:rPr>
                <w:color w:val="auto"/>
                <w:kern w:val="0"/>
                <w:sz w:val="24"/>
                <w:highlight w:val="none"/>
              </w:rPr>
            </w:pPr>
          </w:p>
        </w:tc>
      </w:tr>
      <w:tr w14:paraId="5253E74E">
        <w:tblPrEx>
          <w:tblCellMar>
            <w:top w:w="0" w:type="dxa"/>
            <w:left w:w="0" w:type="dxa"/>
            <w:bottom w:w="0" w:type="dxa"/>
            <w:right w:w="0" w:type="dxa"/>
          </w:tblCellMar>
        </w:tblPrEx>
        <w:trPr>
          <w:trHeight w:val="453" w:hRule="atLeast"/>
        </w:trPr>
        <w:tc>
          <w:tcPr>
            <w:tcW w:w="2700" w:type="dxa"/>
            <w:tcBorders>
              <w:top w:val="single" w:color="auto" w:sz="8" w:space="0"/>
              <w:left w:val="single" w:color="auto" w:sz="12" w:space="0"/>
              <w:bottom w:val="single" w:color="auto" w:sz="8" w:space="0"/>
              <w:right w:val="single" w:color="auto" w:sz="8" w:space="0"/>
            </w:tcBorders>
            <w:vAlign w:val="center"/>
          </w:tcPr>
          <w:p w14:paraId="606D539C">
            <w:pPr>
              <w:autoSpaceDE w:val="0"/>
              <w:autoSpaceDN w:val="0"/>
              <w:jc w:val="center"/>
              <w:rPr>
                <w:rFonts w:ascii="宋体" w:cs="宋体"/>
                <w:color w:val="auto"/>
                <w:kern w:val="0"/>
                <w:sz w:val="24"/>
                <w:highlight w:val="none"/>
              </w:rPr>
            </w:pPr>
            <w:r>
              <w:rPr>
                <w:rFonts w:hint="eastAsia" w:ascii="宋体" w:cs="宋体"/>
                <w:color w:val="auto"/>
                <w:kern w:val="0"/>
                <w:sz w:val="24"/>
                <w:highlight w:val="none"/>
              </w:rPr>
              <w:t>发包人电话</w:t>
            </w:r>
          </w:p>
        </w:tc>
        <w:tc>
          <w:tcPr>
            <w:tcW w:w="6465" w:type="dxa"/>
            <w:tcBorders>
              <w:top w:val="single" w:color="auto" w:sz="8" w:space="0"/>
              <w:left w:val="single" w:color="auto" w:sz="8" w:space="0"/>
              <w:bottom w:val="single" w:color="auto" w:sz="8" w:space="0"/>
              <w:right w:val="single" w:color="auto" w:sz="12" w:space="0"/>
            </w:tcBorders>
          </w:tcPr>
          <w:p w14:paraId="2D42A198">
            <w:pPr>
              <w:autoSpaceDE w:val="0"/>
              <w:autoSpaceDN w:val="0"/>
              <w:rPr>
                <w:color w:val="auto"/>
                <w:kern w:val="0"/>
                <w:sz w:val="24"/>
                <w:highlight w:val="none"/>
              </w:rPr>
            </w:pPr>
          </w:p>
        </w:tc>
      </w:tr>
      <w:tr w14:paraId="73E77B7A">
        <w:tblPrEx>
          <w:tblCellMar>
            <w:top w:w="0" w:type="dxa"/>
            <w:left w:w="0" w:type="dxa"/>
            <w:bottom w:w="0" w:type="dxa"/>
            <w:right w:w="0" w:type="dxa"/>
          </w:tblCellMar>
        </w:tblPrEx>
        <w:trPr>
          <w:trHeight w:val="453" w:hRule="atLeast"/>
        </w:trPr>
        <w:tc>
          <w:tcPr>
            <w:tcW w:w="2700" w:type="dxa"/>
            <w:tcBorders>
              <w:top w:val="single" w:color="auto" w:sz="8" w:space="0"/>
              <w:left w:val="single" w:color="auto" w:sz="12" w:space="0"/>
              <w:bottom w:val="single" w:color="auto" w:sz="8" w:space="0"/>
              <w:right w:val="single" w:color="auto" w:sz="8" w:space="0"/>
            </w:tcBorders>
            <w:vAlign w:val="center"/>
          </w:tcPr>
          <w:p w14:paraId="5A2611AD">
            <w:pPr>
              <w:autoSpaceDE w:val="0"/>
              <w:autoSpaceDN w:val="0"/>
              <w:jc w:val="center"/>
              <w:rPr>
                <w:rFonts w:ascii="宋体" w:cs="宋体"/>
                <w:color w:val="auto"/>
                <w:kern w:val="0"/>
                <w:sz w:val="24"/>
                <w:highlight w:val="none"/>
              </w:rPr>
            </w:pPr>
            <w:r>
              <w:rPr>
                <w:rFonts w:hint="eastAsia" w:ascii="宋体" w:cs="宋体"/>
                <w:color w:val="auto"/>
                <w:kern w:val="0"/>
                <w:sz w:val="24"/>
                <w:highlight w:val="none"/>
              </w:rPr>
              <w:t>项目规模</w:t>
            </w:r>
          </w:p>
        </w:tc>
        <w:tc>
          <w:tcPr>
            <w:tcW w:w="6465" w:type="dxa"/>
            <w:tcBorders>
              <w:top w:val="single" w:color="auto" w:sz="8" w:space="0"/>
              <w:left w:val="single" w:color="auto" w:sz="8" w:space="0"/>
              <w:bottom w:val="single" w:color="auto" w:sz="8" w:space="0"/>
              <w:right w:val="single" w:color="auto" w:sz="12" w:space="0"/>
            </w:tcBorders>
          </w:tcPr>
          <w:p w14:paraId="31665DCB">
            <w:pPr>
              <w:autoSpaceDE w:val="0"/>
              <w:autoSpaceDN w:val="0"/>
              <w:rPr>
                <w:color w:val="auto"/>
                <w:kern w:val="0"/>
                <w:sz w:val="24"/>
                <w:highlight w:val="none"/>
              </w:rPr>
            </w:pPr>
          </w:p>
        </w:tc>
      </w:tr>
      <w:tr w14:paraId="3B867471">
        <w:tblPrEx>
          <w:tblCellMar>
            <w:top w:w="0" w:type="dxa"/>
            <w:left w:w="0" w:type="dxa"/>
            <w:bottom w:w="0" w:type="dxa"/>
            <w:right w:w="0" w:type="dxa"/>
          </w:tblCellMar>
        </w:tblPrEx>
        <w:trPr>
          <w:trHeight w:val="446" w:hRule="atLeast"/>
        </w:trPr>
        <w:tc>
          <w:tcPr>
            <w:tcW w:w="2700" w:type="dxa"/>
            <w:tcBorders>
              <w:top w:val="single" w:color="auto" w:sz="8" w:space="0"/>
              <w:left w:val="single" w:color="auto" w:sz="12" w:space="0"/>
              <w:bottom w:val="single" w:color="auto" w:sz="8" w:space="0"/>
              <w:right w:val="single" w:color="auto" w:sz="8" w:space="0"/>
            </w:tcBorders>
            <w:vAlign w:val="center"/>
          </w:tcPr>
          <w:p w14:paraId="6703137B">
            <w:pPr>
              <w:autoSpaceDE w:val="0"/>
              <w:autoSpaceDN w:val="0"/>
              <w:jc w:val="center"/>
              <w:rPr>
                <w:rFonts w:ascii="宋体" w:cs="宋体"/>
                <w:color w:val="auto"/>
                <w:kern w:val="0"/>
                <w:sz w:val="24"/>
                <w:highlight w:val="none"/>
              </w:rPr>
            </w:pPr>
            <w:r>
              <w:rPr>
                <w:rFonts w:hint="eastAsia" w:ascii="宋体" w:cs="宋体"/>
                <w:color w:val="auto"/>
                <w:kern w:val="0"/>
                <w:sz w:val="24"/>
                <w:highlight w:val="none"/>
              </w:rPr>
              <w:t>项目总投资</w:t>
            </w:r>
          </w:p>
        </w:tc>
        <w:tc>
          <w:tcPr>
            <w:tcW w:w="6465" w:type="dxa"/>
            <w:tcBorders>
              <w:top w:val="single" w:color="auto" w:sz="8" w:space="0"/>
              <w:left w:val="single" w:color="auto" w:sz="8" w:space="0"/>
              <w:bottom w:val="single" w:color="auto" w:sz="8" w:space="0"/>
              <w:right w:val="single" w:color="auto" w:sz="12" w:space="0"/>
            </w:tcBorders>
          </w:tcPr>
          <w:p w14:paraId="3AA739B4">
            <w:pPr>
              <w:autoSpaceDE w:val="0"/>
              <w:autoSpaceDN w:val="0"/>
              <w:rPr>
                <w:rFonts w:ascii="宋体" w:cs="宋体"/>
                <w:color w:val="auto"/>
                <w:kern w:val="0"/>
                <w:sz w:val="24"/>
                <w:highlight w:val="none"/>
              </w:rPr>
            </w:pPr>
          </w:p>
        </w:tc>
      </w:tr>
      <w:tr w14:paraId="2CF37D5E">
        <w:tblPrEx>
          <w:tblCellMar>
            <w:top w:w="0" w:type="dxa"/>
            <w:left w:w="0" w:type="dxa"/>
            <w:bottom w:w="0" w:type="dxa"/>
            <w:right w:w="0" w:type="dxa"/>
          </w:tblCellMar>
        </w:tblPrEx>
        <w:trPr>
          <w:trHeight w:val="453" w:hRule="atLeast"/>
        </w:trPr>
        <w:tc>
          <w:tcPr>
            <w:tcW w:w="2700" w:type="dxa"/>
            <w:tcBorders>
              <w:top w:val="single" w:color="auto" w:sz="8" w:space="0"/>
              <w:left w:val="single" w:color="auto" w:sz="12" w:space="0"/>
              <w:bottom w:val="single" w:color="auto" w:sz="8" w:space="0"/>
              <w:right w:val="single" w:color="auto" w:sz="8" w:space="0"/>
            </w:tcBorders>
            <w:vAlign w:val="center"/>
          </w:tcPr>
          <w:p w14:paraId="046AC534">
            <w:pPr>
              <w:autoSpaceDE w:val="0"/>
              <w:autoSpaceDN w:val="0"/>
              <w:jc w:val="center"/>
              <w:rPr>
                <w:rFonts w:ascii="宋体" w:cs="宋体"/>
                <w:color w:val="auto"/>
                <w:kern w:val="0"/>
                <w:sz w:val="24"/>
                <w:highlight w:val="none"/>
              </w:rPr>
            </w:pPr>
            <w:r>
              <w:rPr>
                <w:rFonts w:hint="eastAsia" w:ascii="宋体" w:cs="宋体"/>
                <w:color w:val="auto"/>
                <w:kern w:val="0"/>
                <w:sz w:val="24"/>
                <w:highlight w:val="none"/>
              </w:rPr>
              <w:t>承担的工作</w:t>
            </w:r>
          </w:p>
        </w:tc>
        <w:tc>
          <w:tcPr>
            <w:tcW w:w="6465" w:type="dxa"/>
            <w:tcBorders>
              <w:top w:val="single" w:color="auto" w:sz="8" w:space="0"/>
              <w:left w:val="single" w:color="auto" w:sz="8" w:space="0"/>
              <w:bottom w:val="single" w:color="auto" w:sz="8" w:space="0"/>
              <w:right w:val="single" w:color="auto" w:sz="12" w:space="0"/>
            </w:tcBorders>
          </w:tcPr>
          <w:p w14:paraId="3392345D">
            <w:pPr>
              <w:autoSpaceDE w:val="0"/>
              <w:autoSpaceDN w:val="0"/>
              <w:rPr>
                <w:color w:val="auto"/>
                <w:kern w:val="0"/>
                <w:sz w:val="24"/>
                <w:highlight w:val="none"/>
              </w:rPr>
            </w:pPr>
          </w:p>
        </w:tc>
      </w:tr>
      <w:tr w14:paraId="5CE2B5E6">
        <w:tblPrEx>
          <w:tblCellMar>
            <w:top w:w="0" w:type="dxa"/>
            <w:left w:w="0" w:type="dxa"/>
            <w:bottom w:w="0" w:type="dxa"/>
            <w:right w:w="0" w:type="dxa"/>
          </w:tblCellMar>
        </w:tblPrEx>
        <w:trPr>
          <w:trHeight w:val="453" w:hRule="atLeast"/>
        </w:trPr>
        <w:tc>
          <w:tcPr>
            <w:tcW w:w="2700" w:type="dxa"/>
            <w:tcBorders>
              <w:top w:val="single" w:color="auto" w:sz="8" w:space="0"/>
              <w:left w:val="single" w:color="auto" w:sz="12" w:space="0"/>
              <w:bottom w:val="single" w:color="auto" w:sz="8" w:space="0"/>
              <w:right w:val="single" w:color="auto" w:sz="8" w:space="0"/>
            </w:tcBorders>
            <w:vAlign w:val="center"/>
          </w:tcPr>
          <w:p w14:paraId="069ED021">
            <w:pPr>
              <w:autoSpaceDE w:val="0"/>
              <w:autoSpaceDN w:val="0"/>
              <w:jc w:val="center"/>
              <w:rPr>
                <w:rFonts w:ascii="宋体" w:cs="宋体"/>
                <w:color w:val="auto"/>
                <w:kern w:val="0"/>
                <w:sz w:val="24"/>
                <w:highlight w:val="none"/>
              </w:rPr>
            </w:pPr>
            <w:r>
              <w:rPr>
                <w:rFonts w:hint="eastAsia" w:ascii="宋体" w:cs="宋体"/>
                <w:color w:val="auto"/>
                <w:kern w:val="0"/>
                <w:sz w:val="24"/>
                <w:highlight w:val="none"/>
              </w:rPr>
              <w:t>工期</w:t>
            </w:r>
          </w:p>
        </w:tc>
        <w:tc>
          <w:tcPr>
            <w:tcW w:w="6465" w:type="dxa"/>
            <w:tcBorders>
              <w:top w:val="single" w:color="auto" w:sz="8" w:space="0"/>
              <w:left w:val="single" w:color="auto" w:sz="8" w:space="0"/>
              <w:bottom w:val="single" w:color="auto" w:sz="8" w:space="0"/>
              <w:right w:val="single" w:color="auto" w:sz="12" w:space="0"/>
            </w:tcBorders>
          </w:tcPr>
          <w:p w14:paraId="4362EE0C">
            <w:pPr>
              <w:autoSpaceDE w:val="0"/>
              <w:autoSpaceDN w:val="0"/>
              <w:rPr>
                <w:color w:val="auto"/>
                <w:kern w:val="0"/>
                <w:sz w:val="24"/>
                <w:highlight w:val="none"/>
              </w:rPr>
            </w:pPr>
          </w:p>
        </w:tc>
      </w:tr>
      <w:tr w14:paraId="1C5A08CD">
        <w:tblPrEx>
          <w:tblCellMar>
            <w:top w:w="0" w:type="dxa"/>
            <w:left w:w="0" w:type="dxa"/>
            <w:bottom w:w="0" w:type="dxa"/>
            <w:right w:w="0" w:type="dxa"/>
          </w:tblCellMar>
        </w:tblPrEx>
        <w:trPr>
          <w:trHeight w:val="453" w:hRule="atLeast"/>
        </w:trPr>
        <w:tc>
          <w:tcPr>
            <w:tcW w:w="2700" w:type="dxa"/>
            <w:tcBorders>
              <w:top w:val="single" w:color="auto" w:sz="8" w:space="0"/>
              <w:left w:val="single" w:color="auto" w:sz="12" w:space="0"/>
              <w:bottom w:val="single" w:color="auto" w:sz="8" w:space="0"/>
              <w:right w:val="single" w:color="auto" w:sz="8" w:space="0"/>
            </w:tcBorders>
            <w:vAlign w:val="center"/>
          </w:tcPr>
          <w:p w14:paraId="378AB98E">
            <w:pPr>
              <w:autoSpaceDE w:val="0"/>
              <w:autoSpaceDN w:val="0"/>
              <w:jc w:val="center"/>
              <w:rPr>
                <w:rFonts w:ascii="宋体" w:cs="宋体"/>
                <w:color w:val="auto"/>
                <w:kern w:val="0"/>
                <w:sz w:val="24"/>
                <w:highlight w:val="none"/>
              </w:rPr>
            </w:pPr>
            <w:r>
              <w:rPr>
                <w:rFonts w:hint="eastAsia" w:ascii="宋体" w:cs="宋体"/>
                <w:color w:val="auto"/>
                <w:kern w:val="0"/>
                <w:sz w:val="24"/>
                <w:highlight w:val="none"/>
              </w:rPr>
              <w:t>项目负责人</w:t>
            </w:r>
          </w:p>
        </w:tc>
        <w:tc>
          <w:tcPr>
            <w:tcW w:w="6465" w:type="dxa"/>
            <w:tcBorders>
              <w:top w:val="single" w:color="auto" w:sz="8" w:space="0"/>
              <w:left w:val="single" w:color="auto" w:sz="8" w:space="0"/>
              <w:bottom w:val="single" w:color="auto" w:sz="8" w:space="0"/>
              <w:right w:val="single" w:color="auto" w:sz="12" w:space="0"/>
            </w:tcBorders>
          </w:tcPr>
          <w:p w14:paraId="159F0760">
            <w:pPr>
              <w:autoSpaceDE w:val="0"/>
              <w:autoSpaceDN w:val="0"/>
              <w:rPr>
                <w:color w:val="auto"/>
                <w:kern w:val="0"/>
                <w:sz w:val="24"/>
                <w:highlight w:val="none"/>
              </w:rPr>
            </w:pPr>
          </w:p>
        </w:tc>
      </w:tr>
      <w:tr w14:paraId="5F3B50E2">
        <w:tblPrEx>
          <w:tblCellMar>
            <w:top w:w="0" w:type="dxa"/>
            <w:left w:w="0" w:type="dxa"/>
            <w:bottom w:w="0" w:type="dxa"/>
            <w:right w:w="0" w:type="dxa"/>
          </w:tblCellMar>
        </w:tblPrEx>
        <w:trPr>
          <w:trHeight w:val="453" w:hRule="atLeast"/>
        </w:trPr>
        <w:tc>
          <w:tcPr>
            <w:tcW w:w="2700" w:type="dxa"/>
            <w:tcBorders>
              <w:top w:val="single" w:color="auto" w:sz="8" w:space="0"/>
              <w:left w:val="single" w:color="auto" w:sz="12" w:space="0"/>
              <w:bottom w:val="single" w:color="auto" w:sz="8" w:space="0"/>
              <w:right w:val="single" w:color="auto" w:sz="8" w:space="0"/>
            </w:tcBorders>
            <w:vAlign w:val="center"/>
          </w:tcPr>
          <w:p w14:paraId="3FD2AC91">
            <w:pPr>
              <w:autoSpaceDE w:val="0"/>
              <w:autoSpaceDN w:val="0"/>
              <w:jc w:val="center"/>
              <w:rPr>
                <w:rFonts w:ascii="宋体" w:cs="宋体"/>
                <w:color w:val="auto"/>
                <w:kern w:val="0"/>
                <w:sz w:val="24"/>
                <w:highlight w:val="none"/>
              </w:rPr>
            </w:pPr>
            <w:r>
              <w:rPr>
                <w:rFonts w:hint="eastAsia" w:ascii="宋体" w:cs="宋体"/>
                <w:color w:val="auto"/>
                <w:kern w:val="0"/>
                <w:sz w:val="24"/>
                <w:highlight w:val="none"/>
              </w:rPr>
              <w:t>项目完成情况</w:t>
            </w:r>
          </w:p>
        </w:tc>
        <w:tc>
          <w:tcPr>
            <w:tcW w:w="6465" w:type="dxa"/>
            <w:tcBorders>
              <w:top w:val="single" w:color="auto" w:sz="8" w:space="0"/>
              <w:left w:val="single" w:color="auto" w:sz="8" w:space="0"/>
              <w:bottom w:val="single" w:color="auto" w:sz="8" w:space="0"/>
              <w:right w:val="single" w:color="auto" w:sz="12" w:space="0"/>
            </w:tcBorders>
          </w:tcPr>
          <w:p w14:paraId="31065ABC">
            <w:pPr>
              <w:autoSpaceDE w:val="0"/>
              <w:autoSpaceDN w:val="0"/>
              <w:rPr>
                <w:color w:val="auto"/>
                <w:kern w:val="0"/>
                <w:sz w:val="24"/>
                <w:highlight w:val="none"/>
              </w:rPr>
            </w:pPr>
          </w:p>
        </w:tc>
      </w:tr>
      <w:tr w14:paraId="1F8EA860">
        <w:tblPrEx>
          <w:tblCellMar>
            <w:top w:w="0" w:type="dxa"/>
            <w:left w:w="0" w:type="dxa"/>
            <w:bottom w:w="0" w:type="dxa"/>
            <w:right w:w="0" w:type="dxa"/>
          </w:tblCellMar>
        </w:tblPrEx>
        <w:trPr>
          <w:trHeight w:val="453" w:hRule="atLeast"/>
        </w:trPr>
        <w:tc>
          <w:tcPr>
            <w:tcW w:w="2700" w:type="dxa"/>
            <w:tcBorders>
              <w:top w:val="single" w:color="auto" w:sz="8" w:space="0"/>
              <w:left w:val="single" w:color="auto" w:sz="12" w:space="0"/>
              <w:bottom w:val="single" w:color="auto" w:sz="8" w:space="0"/>
              <w:right w:val="single" w:color="auto" w:sz="8" w:space="0"/>
            </w:tcBorders>
            <w:vAlign w:val="center"/>
          </w:tcPr>
          <w:p w14:paraId="2BAA1FED">
            <w:pPr>
              <w:autoSpaceDE w:val="0"/>
              <w:autoSpaceDN w:val="0"/>
              <w:jc w:val="center"/>
              <w:rPr>
                <w:rFonts w:ascii="宋体" w:cs="宋体"/>
                <w:color w:val="auto"/>
                <w:kern w:val="0"/>
                <w:sz w:val="24"/>
                <w:highlight w:val="none"/>
              </w:rPr>
            </w:pPr>
            <w:r>
              <w:rPr>
                <w:rFonts w:hint="eastAsia" w:ascii="宋体" w:hAnsi="宋体" w:cs="宋体"/>
                <w:color w:val="auto"/>
                <w:kern w:val="0"/>
                <w:sz w:val="24"/>
                <w:highlight w:val="none"/>
              </w:rPr>
              <w:t>成果文件完成时间</w:t>
            </w:r>
          </w:p>
        </w:tc>
        <w:tc>
          <w:tcPr>
            <w:tcW w:w="6465" w:type="dxa"/>
            <w:tcBorders>
              <w:top w:val="single" w:color="auto" w:sz="8" w:space="0"/>
              <w:left w:val="single" w:color="auto" w:sz="8" w:space="0"/>
              <w:bottom w:val="single" w:color="auto" w:sz="8" w:space="0"/>
              <w:right w:val="single" w:color="auto" w:sz="12" w:space="0"/>
            </w:tcBorders>
          </w:tcPr>
          <w:p w14:paraId="55757DC6">
            <w:pPr>
              <w:autoSpaceDE w:val="0"/>
              <w:autoSpaceDN w:val="0"/>
              <w:rPr>
                <w:color w:val="auto"/>
                <w:kern w:val="0"/>
                <w:sz w:val="24"/>
                <w:highlight w:val="none"/>
              </w:rPr>
            </w:pPr>
          </w:p>
        </w:tc>
      </w:tr>
      <w:tr w14:paraId="4D41A5C8">
        <w:tblPrEx>
          <w:tblCellMar>
            <w:top w:w="0" w:type="dxa"/>
            <w:left w:w="0" w:type="dxa"/>
            <w:bottom w:w="0" w:type="dxa"/>
            <w:right w:w="0" w:type="dxa"/>
          </w:tblCellMar>
        </w:tblPrEx>
        <w:trPr>
          <w:trHeight w:val="446" w:hRule="atLeast"/>
        </w:trPr>
        <w:tc>
          <w:tcPr>
            <w:tcW w:w="2700" w:type="dxa"/>
            <w:tcBorders>
              <w:top w:val="single" w:color="auto" w:sz="8" w:space="0"/>
              <w:left w:val="single" w:color="auto" w:sz="12" w:space="0"/>
              <w:bottom w:val="single" w:color="auto" w:sz="12" w:space="0"/>
              <w:right w:val="single" w:color="auto" w:sz="8" w:space="0"/>
            </w:tcBorders>
            <w:vAlign w:val="center"/>
          </w:tcPr>
          <w:p w14:paraId="5D78E089">
            <w:pPr>
              <w:autoSpaceDE w:val="0"/>
              <w:autoSpaceDN w:val="0"/>
              <w:jc w:val="center"/>
              <w:rPr>
                <w:rFonts w:ascii="宋体" w:cs="宋体"/>
                <w:color w:val="auto"/>
                <w:kern w:val="0"/>
                <w:sz w:val="24"/>
                <w:highlight w:val="none"/>
              </w:rPr>
            </w:pPr>
            <w:r>
              <w:rPr>
                <w:rFonts w:hint="eastAsia" w:ascii="宋体" w:cs="宋体"/>
                <w:color w:val="auto"/>
                <w:kern w:val="0"/>
                <w:sz w:val="24"/>
                <w:highlight w:val="none"/>
              </w:rPr>
              <w:t>备注</w:t>
            </w:r>
          </w:p>
        </w:tc>
        <w:tc>
          <w:tcPr>
            <w:tcW w:w="6465" w:type="dxa"/>
            <w:tcBorders>
              <w:top w:val="single" w:color="auto" w:sz="8" w:space="0"/>
              <w:left w:val="single" w:color="auto" w:sz="8" w:space="0"/>
              <w:bottom w:val="single" w:color="auto" w:sz="12" w:space="0"/>
              <w:right w:val="single" w:color="auto" w:sz="12" w:space="0"/>
            </w:tcBorders>
          </w:tcPr>
          <w:p w14:paraId="127B830A">
            <w:pPr>
              <w:autoSpaceDE w:val="0"/>
              <w:autoSpaceDN w:val="0"/>
              <w:rPr>
                <w:color w:val="auto"/>
                <w:kern w:val="0"/>
                <w:sz w:val="24"/>
                <w:highlight w:val="none"/>
              </w:rPr>
            </w:pPr>
          </w:p>
        </w:tc>
      </w:tr>
    </w:tbl>
    <w:p w14:paraId="01DB3DE1">
      <w:pPr>
        <w:autoSpaceDE w:val="0"/>
        <w:autoSpaceDN w:val="0"/>
        <w:adjustRightInd w:val="0"/>
        <w:spacing w:line="160" w:lineRule="exact"/>
        <w:jc w:val="left"/>
        <w:rPr>
          <w:color w:val="auto"/>
          <w:kern w:val="0"/>
          <w:sz w:val="24"/>
          <w:highlight w:val="none"/>
        </w:rPr>
      </w:pPr>
    </w:p>
    <w:p w14:paraId="1B41761E">
      <w:pPr>
        <w:spacing w:line="360" w:lineRule="auto"/>
        <w:ind w:firstLine="420" w:firstLineChars="200"/>
        <w:rPr>
          <w:rFonts w:hAnsi="宋体" w:cs="仿宋"/>
          <w:color w:val="auto"/>
          <w:szCs w:val="21"/>
          <w:highlight w:val="none"/>
        </w:rPr>
      </w:pPr>
      <w:r>
        <w:rPr>
          <w:rFonts w:hint="eastAsia" w:hAnsi="宋体" w:cs="仿宋"/>
          <w:color w:val="auto"/>
          <w:szCs w:val="21"/>
          <w:highlight w:val="none"/>
        </w:rPr>
        <w:t>注：每个项目填写一张表</w:t>
      </w:r>
    </w:p>
    <w:p w14:paraId="3E25A3CC">
      <w:pPr>
        <w:spacing w:line="360" w:lineRule="auto"/>
        <w:ind w:left="420"/>
        <w:rPr>
          <w:rFonts w:hAnsi="宋体" w:cs="仿宋"/>
          <w:color w:val="auto"/>
          <w:szCs w:val="21"/>
          <w:highlight w:val="none"/>
        </w:rPr>
      </w:pPr>
      <w:r>
        <w:rPr>
          <w:rFonts w:hint="eastAsia" w:hAnsi="宋体" w:cs="仿宋"/>
          <w:color w:val="auto"/>
          <w:szCs w:val="21"/>
          <w:highlight w:val="none"/>
        </w:rPr>
        <w:t>①投标人应将</w:t>
      </w:r>
      <w:r>
        <w:rPr>
          <w:rFonts w:hint="eastAsia" w:hAnsi="宋体" w:cs="仿宋"/>
          <w:b/>
          <w:color w:val="auto"/>
          <w:szCs w:val="21"/>
          <w:highlight w:val="none"/>
          <w:u w:val="single"/>
        </w:rPr>
        <w:t xml:space="preserve"> 202</w:t>
      </w:r>
      <w:r>
        <w:rPr>
          <w:rFonts w:hint="eastAsia" w:hAnsi="宋体" w:cs="仿宋"/>
          <w:b/>
          <w:color w:val="auto"/>
          <w:szCs w:val="21"/>
          <w:highlight w:val="none"/>
          <w:u w:val="single"/>
          <w:lang w:val="en-US" w:eastAsia="zh-CN"/>
        </w:rPr>
        <w:t>1</w:t>
      </w:r>
      <w:r>
        <w:rPr>
          <w:rFonts w:hint="eastAsia" w:hAnsi="宋体" w:cs="仿宋"/>
          <w:b/>
          <w:color w:val="auto"/>
          <w:szCs w:val="21"/>
          <w:highlight w:val="none"/>
          <w:u w:val="single"/>
        </w:rPr>
        <w:t xml:space="preserve">年1月 </w:t>
      </w:r>
      <w:r>
        <w:rPr>
          <w:rFonts w:hint="eastAsia" w:hAnsi="宋体" w:cs="仿宋"/>
          <w:color w:val="auto"/>
          <w:szCs w:val="21"/>
          <w:highlight w:val="none"/>
        </w:rPr>
        <w:t>以来已完成的类似项目情况填入本表中，</w:t>
      </w:r>
    </w:p>
    <w:p w14:paraId="78E24D46">
      <w:pPr>
        <w:spacing w:line="360" w:lineRule="auto"/>
        <w:ind w:firstLine="420" w:firstLineChars="200"/>
        <w:rPr>
          <w:rFonts w:hAnsi="宋体" w:cs="仿宋"/>
          <w:color w:val="auto"/>
          <w:szCs w:val="21"/>
          <w:highlight w:val="none"/>
        </w:rPr>
      </w:pPr>
      <w:r>
        <w:rPr>
          <w:rFonts w:hint="eastAsia" w:hAnsi="宋体" w:cs="仿宋"/>
          <w:color w:val="auto"/>
          <w:szCs w:val="21"/>
          <w:highlight w:val="none"/>
        </w:rPr>
        <w:t>②</w:t>
      </w:r>
      <w:r>
        <w:rPr>
          <w:rFonts w:hAnsi="宋体" w:cs="仿宋"/>
          <w:color w:val="auto"/>
          <w:szCs w:val="21"/>
          <w:highlight w:val="none"/>
        </w:rPr>
        <w:t>本表后须</w:t>
      </w:r>
      <w:r>
        <w:rPr>
          <w:rFonts w:hAnsi="宋体" w:cs="仿宋"/>
          <w:b/>
          <w:color w:val="auto"/>
          <w:szCs w:val="21"/>
          <w:highlight w:val="none"/>
        </w:rPr>
        <w:t>应附合同协议书或委托书</w:t>
      </w:r>
      <w:r>
        <w:rPr>
          <w:rFonts w:hAnsi="宋体" w:cs="仿宋"/>
          <w:color w:val="auto"/>
          <w:szCs w:val="21"/>
          <w:highlight w:val="none"/>
        </w:rPr>
        <w:t>等的</w:t>
      </w:r>
      <w:r>
        <w:rPr>
          <w:rFonts w:hint="eastAsia" w:hAnsi="宋体" w:cs="仿宋"/>
          <w:color w:val="auto"/>
          <w:szCs w:val="21"/>
          <w:highlight w:val="none"/>
        </w:rPr>
        <w:t>扫描件</w:t>
      </w:r>
      <w:r>
        <w:rPr>
          <w:rFonts w:hAnsi="宋体" w:cs="仿宋"/>
          <w:color w:val="auto"/>
          <w:szCs w:val="21"/>
          <w:highlight w:val="none"/>
        </w:rPr>
        <w:t>；</w:t>
      </w:r>
    </w:p>
    <w:p w14:paraId="581A4DFD">
      <w:pPr>
        <w:spacing w:line="360" w:lineRule="auto"/>
        <w:ind w:firstLine="420" w:firstLineChars="200"/>
        <w:rPr>
          <w:rFonts w:hAnsi="宋体" w:cs="仿宋"/>
          <w:color w:val="auto"/>
          <w:szCs w:val="21"/>
          <w:highlight w:val="none"/>
        </w:rPr>
      </w:pPr>
      <w:r>
        <w:rPr>
          <w:rFonts w:hint="eastAsia" w:hAnsi="宋体" w:cs="仿宋"/>
          <w:color w:val="auto"/>
          <w:szCs w:val="21"/>
          <w:highlight w:val="none"/>
        </w:rPr>
        <w:t>③</w:t>
      </w:r>
      <w:r>
        <w:rPr>
          <w:rFonts w:hAnsi="宋体" w:cs="仿宋"/>
          <w:color w:val="auto"/>
          <w:szCs w:val="21"/>
          <w:highlight w:val="none"/>
        </w:rPr>
        <w:t>近年来，</w:t>
      </w:r>
      <w:r>
        <w:rPr>
          <w:rFonts w:hint="eastAsia" w:hAnsi="宋体" w:cs="仿宋"/>
          <w:color w:val="auto"/>
          <w:szCs w:val="21"/>
          <w:highlight w:val="none"/>
        </w:rPr>
        <w:t>供应商</w:t>
      </w:r>
      <w:r>
        <w:rPr>
          <w:rFonts w:hAnsi="宋体" w:cs="仿宋"/>
          <w:color w:val="auto"/>
          <w:szCs w:val="21"/>
          <w:highlight w:val="none"/>
        </w:rPr>
        <w:t>法人机构发生合法变更或重组或法人名称变更时，应提供相关部门的合法批件及其他相关证明材料来证明其所附业绩的继承性；</w:t>
      </w:r>
    </w:p>
    <w:p w14:paraId="2266DA76">
      <w:pPr>
        <w:spacing w:line="360" w:lineRule="auto"/>
        <w:ind w:firstLine="420" w:firstLineChars="200"/>
        <w:rPr>
          <w:rFonts w:ascii="宋体" w:hAnsi="宋体"/>
          <w:color w:val="auto"/>
          <w:sz w:val="24"/>
          <w:highlight w:val="none"/>
        </w:rPr>
      </w:pPr>
      <w:r>
        <w:rPr>
          <w:rFonts w:hint="eastAsia" w:hAnsi="宋体" w:cs="仿宋"/>
          <w:color w:val="auto"/>
          <w:szCs w:val="21"/>
          <w:highlight w:val="none"/>
        </w:rPr>
        <w:t>④</w:t>
      </w:r>
      <w:r>
        <w:rPr>
          <w:rFonts w:hint="eastAsia" w:hAnsi="宋体" w:cs="仿宋"/>
          <w:color w:val="auto"/>
          <w:highlight w:val="none"/>
        </w:rPr>
        <w:t>须附有效证明材料，有效证明材料具体要求见第四章评审办法。</w:t>
      </w:r>
    </w:p>
    <w:p w14:paraId="39317B16">
      <w:pPr>
        <w:rPr>
          <w:rFonts w:ascii="黑体" w:hAnsi="宋体" w:eastAsia="黑体"/>
          <w:color w:val="auto"/>
          <w:sz w:val="24"/>
          <w:highlight w:val="none"/>
        </w:rPr>
      </w:pPr>
    </w:p>
    <w:p w14:paraId="256C2301">
      <w:pPr>
        <w:snapToGrid w:val="0"/>
        <w:spacing w:before="120" w:beforeLines="50" w:after="50"/>
        <w:jc w:val="center"/>
        <w:outlineLvl w:val="2"/>
        <w:rPr>
          <w:rFonts w:ascii="宋体" w:hAnsi="宋体"/>
          <w:b/>
          <w:bCs/>
          <w:color w:val="auto"/>
          <w:sz w:val="24"/>
          <w:highlight w:val="none"/>
        </w:rPr>
      </w:pPr>
      <w:r>
        <w:rPr>
          <w:rFonts w:hint="eastAsia" w:ascii="宋体" w:hAnsi="宋体"/>
          <w:b/>
          <w:color w:val="auto"/>
          <w:sz w:val="24"/>
          <w:highlight w:val="none"/>
        </w:rPr>
        <w:br w:type="page"/>
      </w:r>
      <w:bookmarkStart w:id="277" w:name="_Toc212"/>
      <w:bookmarkStart w:id="278" w:name="_Toc5907"/>
      <w:bookmarkStart w:id="279" w:name="_Toc11569"/>
      <w:bookmarkStart w:id="280" w:name="_Toc12138"/>
      <w:r>
        <w:rPr>
          <w:rFonts w:hint="eastAsia" w:ascii="宋体" w:hAnsi="宋体"/>
          <w:b/>
          <w:bCs/>
          <w:color w:val="auto"/>
          <w:sz w:val="24"/>
          <w:highlight w:val="none"/>
        </w:rPr>
        <w:t>（三）供应商信用及守法证明材料</w:t>
      </w:r>
      <w:bookmarkEnd w:id="277"/>
      <w:bookmarkEnd w:id="278"/>
      <w:bookmarkEnd w:id="279"/>
      <w:bookmarkEnd w:id="280"/>
    </w:p>
    <w:p w14:paraId="67F396E3">
      <w:pPr>
        <w:snapToGrid w:val="0"/>
        <w:spacing w:before="120" w:beforeLines="50" w:after="50"/>
        <w:ind w:left="142"/>
        <w:jc w:val="left"/>
        <w:rPr>
          <w:rFonts w:ascii="宋体" w:hAnsi="宋体"/>
          <w:b/>
          <w:color w:val="auto"/>
          <w:sz w:val="24"/>
          <w:highlight w:val="none"/>
        </w:rPr>
      </w:pPr>
    </w:p>
    <w:p w14:paraId="265000D7">
      <w:pPr>
        <w:jc w:val="center"/>
        <w:outlineLvl w:val="3"/>
        <w:rPr>
          <w:rFonts w:ascii="黑体" w:hAnsi="宋体" w:eastAsia="黑体"/>
          <w:color w:val="auto"/>
          <w:sz w:val="24"/>
          <w:highlight w:val="none"/>
        </w:rPr>
      </w:pPr>
      <w:r>
        <w:rPr>
          <w:rFonts w:hint="eastAsia" w:ascii="黑体" w:hAnsi="宋体" w:eastAsia="黑体"/>
          <w:color w:val="auto"/>
          <w:sz w:val="24"/>
          <w:highlight w:val="none"/>
        </w:rPr>
        <w:t>根据采购文件规定提供。</w:t>
      </w:r>
    </w:p>
    <w:p w14:paraId="0740E190">
      <w:pPr>
        <w:rPr>
          <w:rFonts w:ascii="宋体" w:hAnsi="宋体"/>
          <w:color w:val="auto"/>
          <w:sz w:val="24"/>
          <w:highlight w:val="none"/>
        </w:rPr>
      </w:pPr>
    </w:p>
    <w:p w14:paraId="466FC222">
      <w:pPr>
        <w:rPr>
          <w:rFonts w:ascii="宋体" w:hAnsi="宋体"/>
          <w:color w:val="auto"/>
          <w:sz w:val="24"/>
          <w:highlight w:val="none"/>
        </w:rPr>
      </w:pPr>
    </w:p>
    <w:p w14:paraId="137396B0">
      <w:pPr>
        <w:snapToGrid w:val="0"/>
        <w:spacing w:before="120" w:beforeLines="50" w:after="50"/>
        <w:jc w:val="left"/>
        <w:rPr>
          <w:rFonts w:ascii="宋体" w:hAnsi="宋体"/>
          <w:color w:val="auto"/>
          <w:szCs w:val="21"/>
          <w:highlight w:val="none"/>
        </w:rPr>
      </w:pPr>
    </w:p>
    <w:p w14:paraId="4F6475C5">
      <w:pPr>
        <w:snapToGrid w:val="0"/>
        <w:spacing w:before="120" w:beforeLines="50" w:after="50"/>
        <w:jc w:val="center"/>
        <w:outlineLvl w:val="2"/>
        <w:rPr>
          <w:rFonts w:ascii="宋体" w:hAnsi="宋体"/>
          <w:b/>
          <w:bCs/>
          <w:color w:val="auto"/>
          <w:sz w:val="24"/>
          <w:highlight w:val="none"/>
        </w:rPr>
      </w:pPr>
      <w:r>
        <w:rPr>
          <w:rFonts w:hint="eastAsia" w:ascii="宋体" w:hAnsi="宋体"/>
          <w:b/>
          <w:color w:val="auto"/>
          <w:sz w:val="24"/>
          <w:highlight w:val="none"/>
        </w:rPr>
        <w:br w:type="page"/>
      </w:r>
      <w:bookmarkStart w:id="281" w:name="_Toc27275"/>
      <w:bookmarkStart w:id="282" w:name="_Toc5115"/>
      <w:r>
        <w:rPr>
          <w:rFonts w:hint="eastAsia" w:ascii="宋体" w:hAnsi="宋体"/>
          <w:b/>
          <w:bCs/>
          <w:color w:val="auto"/>
          <w:sz w:val="24"/>
          <w:highlight w:val="none"/>
        </w:rPr>
        <w:t>（四）拟投入的主要人员表</w:t>
      </w:r>
      <w:bookmarkEnd w:id="281"/>
      <w:bookmarkEnd w:id="282"/>
    </w:p>
    <w:p w14:paraId="5591F511">
      <w:pPr>
        <w:jc w:val="center"/>
        <w:rPr>
          <w:rFonts w:ascii="黑体" w:hAnsi="宋体" w:eastAsia="黑体"/>
          <w:color w:val="auto"/>
          <w:sz w:val="24"/>
          <w:highlight w:val="none"/>
        </w:rPr>
      </w:pPr>
    </w:p>
    <w:tbl>
      <w:tblPr>
        <w:tblStyle w:val="25"/>
        <w:tblW w:w="9165" w:type="dxa"/>
        <w:tblInd w:w="15" w:type="dxa"/>
        <w:tblLayout w:type="fixed"/>
        <w:tblCellMar>
          <w:top w:w="0" w:type="dxa"/>
          <w:left w:w="0" w:type="dxa"/>
          <w:bottom w:w="0" w:type="dxa"/>
          <w:right w:w="0" w:type="dxa"/>
        </w:tblCellMar>
      </w:tblPr>
      <w:tblGrid>
        <w:gridCol w:w="712"/>
        <w:gridCol w:w="720"/>
        <w:gridCol w:w="1815"/>
        <w:gridCol w:w="1267"/>
        <w:gridCol w:w="1267"/>
        <w:gridCol w:w="1267"/>
        <w:gridCol w:w="2117"/>
      </w:tblGrid>
      <w:tr w14:paraId="2BBC686A">
        <w:tblPrEx>
          <w:tblCellMar>
            <w:top w:w="0" w:type="dxa"/>
            <w:left w:w="0" w:type="dxa"/>
            <w:bottom w:w="0" w:type="dxa"/>
            <w:right w:w="0" w:type="dxa"/>
          </w:tblCellMar>
        </w:tblPrEx>
        <w:trPr>
          <w:trHeight w:val="900" w:hRule="atLeast"/>
        </w:trPr>
        <w:tc>
          <w:tcPr>
            <w:tcW w:w="712" w:type="dxa"/>
            <w:tcBorders>
              <w:top w:val="single" w:color="auto" w:sz="12" w:space="0"/>
              <w:left w:val="single" w:color="auto" w:sz="12" w:space="0"/>
              <w:bottom w:val="single" w:color="auto" w:sz="8" w:space="0"/>
              <w:right w:val="single" w:color="auto" w:sz="8" w:space="0"/>
            </w:tcBorders>
            <w:vAlign w:val="center"/>
          </w:tcPr>
          <w:p w14:paraId="0154C576">
            <w:pPr>
              <w:autoSpaceDE w:val="0"/>
              <w:autoSpaceDN w:val="0"/>
              <w:jc w:val="center"/>
              <w:rPr>
                <w:rFonts w:ascii="宋体" w:cs="宋体"/>
                <w:color w:val="auto"/>
                <w:kern w:val="0"/>
                <w:sz w:val="24"/>
                <w:highlight w:val="none"/>
              </w:rPr>
            </w:pPr>
            <w:r>
              <w:rPr>
                <w:rFonts w:hint="eastAsia" w:ascii="宋体" w:cs="宋体"/>
                <w:color w:val="auto"/>
                <w:kern w:val="0"/>
                <w:sz w:val="24"/>
                <w:highlight w:val="none"/>
              </w:rPr>
              <w:t>姓名</w:t>
            </w:r>
          </w:p>
        </w:tc>
        <w:tc>
          <w:tcPr>
            <w:tcW w:w="720" w:type="dxa"/>
            <w:tcBorders>
              <w:top w:val="single" w:color="auto" w:sz="12" w:space="0"/>
              <w:left w:val="single" w:color="auto" w:sz="8" w:space="0"/>
              <w:bottom w:val="single" w:color="auto" w:sz="8" w:space="0"/>
              <w:right w:val="single" w:color="auto" w:sz="8" w:space="0"/>
            </w:tcBorders>
            <w:vAlign w:val="center"/>
          </w:tcPr>
          <w:p w14:paraId="50EB8DBE">
            <w:pPr>
              <w:autoSpaceDE w:val="0"/>
              <w:autoSpaceDN w:val="0"/>
              <w:jc w:val="center"/>
              <w:rPr>
                <w:rFonts w:ascii="宋体" w:cs="宋体"/>
                <w:color w:val="auto"/>
                <w:kern w:val="0"/>
                <w:sz w:val="24"/>
                <w:highlight w:val="none"/>
              </w:rPr>
            </w:pPr>
            <w:r>
              <w:rPr>
                <w:rFonts w:hint="eastAsia" w:ascii="宋体" w:cs="宋体"/>
                <w:color w:val="auto"/>
                <w:kern w:val="0"/>
                <w:sz w:val="24"/>
                <w:highlight w:val="none"/>
              </w:rPr>
              <w:t>年龄</w:t>
            </w:r>
          </w:p>
        </w:tc>
        <w:tc>
          <w:tcPr>
            <w:tcW w:w="1815" w:type="dxa"/>
            <w:tcBorders>
              <w:top w:val="single" w:color="auto" w:sz="12" w:space="0"/>
              <w:left w:val="single" w:color="auto" w:sz="8" w:space="0"/>
              <w:bottom w:val="single" w:color="auto" w:sz="8" w:space="0"/>
              <w:right w:val="single" w:color="auto" w:sz="8" w:space="0"/>
            </w:tcBorders>
            <w:vAlign w:val="center"/>
          </w:tcPr>
          <w:p w14:paraId="366AE625">
            <w:pPr>
              <w:autoSpaceDE w:val="0"/>
              <w:autoSpaceDN w:val="0"/>
              <w:jc w:val="center"/>
              <w:rPr>
                <w:rFonts w:ascii="宋体" w:cs="宋体"/>
                <w:color w:val="auto"/>
                <w:kern w:val="0"/>
                <w:sz w:val="24"/>
                <w:highlight w:val="none"/>
              </w:rPr>
            </w:pPr>
            <w:r>
              <w:rPr>
                <w:rFonts w:hint="eastAsia" w:ascii="宋体" w:cs="宋体"/>
                <w:color w:val="auto"/>
                <w:kern w:val="0"/>
                <w:sz w:val="24"/>
                <w:highlight w:val="none"/>
              </w:rPr>
              <w:t>拟在本项目中</w:t>
            </w:r>
          </w:p>
          <w:p w14:paraId="46F995CB">
            <w:pPr>
              <w:autoSpaceDE w:val="0"/>
              <w:autoSpaceDN w:val="0"/>
              <w:jc w:val="center"/>
              <w:rPr>
                <w:rFonts w:ascii="宋体" w:cs="宋体"/>
                <w:color w:val="auto"/>
                <w:kern w:val="0"/>
                <w:sz w:val="24"/>
                <w:highlight w:val="none"/>
              </w:rPr>
            </w:pPr>
            <w:r>
              <w:rPr>
                <w:rFonts w:hint="eastAsia" w:ascii="宋体" w:cs="宋体"/>
                <w:color w:val="auto"/>
                <w:kern w:val="0"/>
                <w:sz w:val="24"/>
                <w:highlight w:val="none"/>
              </w:rPr>
              <w:t>担任的职务</w:t>
            </w:r>
          </w:p>
        </w:tc>
        <w:tc>
          <w:tcPr>
            <w:tcW w:w="1267" w:type="dxa"/>
            <w:tcBorders>
              <w:top w:val="single" w:color="auto" w:sz="12" w:space="0"/>
              <w:left w:val="single" w:color="auto" w:sz="8" w:space="0"/>
              <w:bottom w:val="single" w:color="auto" w:sz="8" w:space="0"/>
              <w:right w:val="single" w:color="auto" w:sz="8" w:space="0"/>
            </w:tcBorders>
            <w:vAlign w:val="center"/>
          </w:tcPr>
          <w:p w14:paraId="34F16B49">
            <w:pPr>
              <w:autoSpaceDE w:val="0"/>
              <w:autoSpaceDN w:val="0"/>
              <w:jc w:val="center"/>
              <w:rPr>
                <w:rFonts w:ascii="宋体" w:cs="宋体"/>
                <w:color w:val="auto"/>
                <w:kern w:val="0"/>
                <w:sz w:val="24"/>
                <w:highlight w:val="none"/>
              </w:rPr>
            </w:pPr>
            <w:r>
              <w:rPr>
                <w:rFonts w:hint="eastAsia" w:ascii="宋体" w:cs="宋体"/>
                <w:color w:val="auto"/>
                <w:kern w:val="0"/>
                <w:sz w:val="24"/>
                <w:highlight w:val="none"/>
              </w:rPr>
              <w:t>技术职称</w:t>
            </w:r>
          </w:p>
        </w:tc>
        <w:tc>
          <w:tcPr>
            <w:tcW w:w="1267" w:type="dxa"/>
            <w:tcBorders>
              <w:top w:val="single" w:color="auto" w:sz="12" w:space="0"/>
              <w:left w:val="single" w:color="auto" w:sz="8" w:space="0"/>
              <w:bottom w:val="single" w:color="auto" w:sz="8" w:space="0"/>
              <w:right w:val="single" w:color="auto" w:sz="8" w:space="0"/>
            </w:tcBorders>
            <w:vAlign w:val="center"/>
          </w:tcPr>
          <w:p w14:paraId="5A6FE56E">
            <w:pPr>
              <w:autoSpaceDE w:val="0"/>
              <w:autoSpaceDN w:val="0"/>
              <w:jc w:val="center"/>
              <w:rPr>
                <w:rFonts w:ascii="宋体" w:cs="宋体"/>
                <w:color w:val="auto"/>
                <w:kern w:val="0"/>
                <w:sz w:val="24"/>
                <w:highlight w:val="none"/>
              </w:rPr>
            </w:pPr>
            <w:r>
              <w:rPr>
                <w:rFonts w:hint="eastAsia" w:ascii="宋体" w:cs="宋体"/>
                <w:color w:val="auto"/>
                <w:kern w:val="0"/>
                <w:sz w:val="24"/>
                <w:highlight w:val="none"/>
              </w:rPr>
              <w:t>从事专业</w:t>
            </w:r>
          </w:p>
        </w:tc>
        <w:tc>
          <w:tcPr>
            <w:tcW w:w="1267" w:type="dxa"/>
            <w:tcBorders>
              <w:top w:val="single" w:color="auto" w:sz="12" w:space="0"/>
              <w:left w:val="single" w:color="auto" w:sz="8" w:space="0"/>
              <w:bottom w:val="single" w:color="auto" w:sz="8" w:space="0"/>
              <w:right w:val="single" w:color="auto" w:sz="8" w:space="0"/>
            </w:tcBorders>
            <w:vAlign w:val="center"/>
          </w:tcPr>
          <w:p w14:paraId="59B72A7F">
            <w:pPr>
              <w:autoSpaceDE w:val="0"/>
              <w:autoSpaceDN w:val="0"/>
              <w:jc w:val="center"/>
              <w:rPr>
                <w:rFonts w:ascii="宋体" w:cs="宋体"/>
                <w:color w:val="auto"/>
                <w:kern w:val="0"/>
                <w:sz w:val="24"/>
                <w:highlight w:val="none"/>
              </w:rPr>
            </w:pPr>
            <w:r>
              <w:rPr>
                <w:rFonts w:hint="eastAsia" w:ascii="宋体" w:cs="宋体"/>
                <w:color w:val="auto"/>
                <w:kern w:val="0"/>
                <w:sz w:val="24"/>
                <w:highlight w:val="none"/>
              </w:rPr>
              <w:t>工作年限</w:t>
            </w:r>
          </w:p>
        </w:tc>
        <w:tc>
          <w:tcPr>
            <w:tcW w:w="2117" w:type="dxa"/>
            <w:tcBorders>
              <w:top w:val="single" w:color="auto" w:sz="12" w:space="0"/>
              <w:left w:val="single" w:color="auto" w:sz="8" w:space="0"/>
              <w:bottom w:val="single" w:color="auto" w:sz="8" w:space="0"/>
              <w:right w:val="single" w:color="auto" w:sz="12" w:space="0"/>
            </w:tcBorders>
            <w:vAlign w:val="center"/>
          </w:tcPr>
          <w:p w14:paraId="1AF1A774">
            <w:pPr>
              <w:autoSpaceDE w:val="0"/>
              <w:autoSpaceDN w:val="0"/>
              <w:jc w:val="center"/>
              <w:rPr>
                <w:rFonts w:ascii="宋体" w:cs="宋体"/>
                <w:color w:val="auto"/>
                <w:kern w:val="0"/>
                <w:sz w:val="24"/>
                <w:highlight w:val="none"/>
              </w:rPr>
            </w:pPr>
            <w:r>
              <w:rPr>
                <w:rFonts w:hint="eastAsia" w:ascii="宋体" w:cs="宋体"/>
                <w:color w:val="auto"/>
                <w:kern w:val="0"/>
                <w:sz w:val="24"/>
                <w:highlight w:val="none"/>
              </w:rPr>
              <w:t>类似项目</w:t>
            </w:r>
          </w:p>
          <w:p w14:paraId="3448A327">
            <w:pPr>
              <w:autoSpaceDE w:val="0"/>
              <w:autoSpaceDN w:val="0"/>
              <w:jc w:val="center"/>
              <w:rPr>
                <w:rFonts w:ascii="宋体" w:cs="宋体"/>
                <w:color w:val="auto"/>
                <w:kern w:val="0"/>
                <w:sz w:val="24"/>
                <w:highlight w:val="none"/>
              </w:rPr>
            </w:pPr>
            <w:r>
              <w:rPr>
                <w:rFonts w:hint="eastAsia" w:ascii="宋体" w:cs="宋体"/>
                <w:color w:val="auto"/>
                <w:kern w:val="0"/>
                <w:sz w:val="24"/>
                <w:highlight w:val="none"/>
              </w:rPr>
              <w:t>经验年限</w:t>
            </w:r>
          </w:p>
        </w:tc>
      </w:tr>
      <w:tr w14:paraId="23ADAD81">
        <w:tblPrEx>
          <w:tblCellMar>
            <w:top w:w="0" w:type="dxa"/>
            <w:left w:w="0" w:type="dxa"/>
            <w:bottom w:w="0" w:type="dxa"/>
            <w:right w:w="0" w:type="dxa"/>
          </w:tblCellMar>
        </w:tblPrEx>
        <w:trPr>
          <w:trHeight w:val="900" w:hRule="atLeast"/>
        </w:trPr>
        <w:tc>
          <w:tcPr>
            <w:tcW w:w="712" w:type="dxa"/>
            <w:tcBorders>
              <w:top w:val="single" w:color="auto" w:sz="8" w:space="0"/>
              <w:left w:val="single" w:color="auto" w:sz="12" w:space="0"/>
              <w:bottom w:val="single" w:color="auto" w:sz="8" w:space="0"/>
              <w:right w:val="single" w:color="auto" w:sz="8" w:space="0"/>
            </w:tcBorders>
            <w:vAlign w:val="center"/>
          </w:tcPr>
          <w:p w14:paraId="62962B74">
            <w:pPr>
              <w:autoSpaceDE w:val="0"/>
              <w:autoSpaceDN w:val="0"/>
              <w:jc w:val="center"/>
              <w:rPr>
                <w:color w:val="auto"/>
                <w:kern w:val="0"/>
                <w:sz w:val="24"/>
                <w:highlight w:val="none"/>
              </w:rPr>
            </w:pPr>
          </w:p>
        </w:tc>
        <w:tc>
          <w:tcPr>
            <w:tcW w:w="720" w:type="dxa"/>
            <w:tcBorders>
              <w:top w:val="single" w:color="auto" w:sz="8" w:space="0"/>
              <w:left w:val="single" w:color="auto" w:sz="8" w:space="0"/>
              <w:bottom w:val="single" w:color="auto" w:sz="8" w:space="0"/>
              <w:right w:val="single" w:color="auto" w:sz="8" w:space="0"/>
            </w:tcBorders>
            <w:vAlign w:val="center"/>
          </w:tcPr>
          <w:p w14:paraId="7F06F3F4">
            <w:pPr>
              <w:autoSpaceDE w:val="0"/>
              <w:autoSpaceDN w:val="0"/>
              <w:jc w:val="center"/>
              <w:rPr>
                <w:color w:val="auto"/>
                <w:kern w:val="0"/>
                <w:sz w:val="24"/>
                <w:highlight w:val="none"/>
              </w:rPr>
            </w:pPr>
          </w:p>
        </w:tc>
        <w:tc>
          <w:tcPr>
            <w:tcW w:w="1815" w:type="dxa"/>
            <w:tcBorders>
              <w:top w:val="single" w:color="auto" w:sz="8" w:space="0"/>
              <w:left w:val="single" w:color="auto" w:sz="8" w:space="0"/>
              <w:bottom w:val="single" w:color="auto" w:sz="8" w:space="0"/>
              <w:right w:val="single" w:color="auto" w:sz="8" w:space="0"/>
            </w:tcBorders>
            <w:vAlign w:val="center"/>
          </w:tcPr>
          <w:p w14:paraId="4F65DB65">
            <w:pPr>
              <w:autoSpaceDE w:val="0"/>
              <w:autoSpaceDN w:val="0"/>
              <w:jc w:val="center"/>
              <w:rPr>
                <w:color w:val="auto"/>
                <w:kern w:val="0"/>
                <w:sz w:val="24"/>
                <w:highlight w:val="none"/>
              </w:rPr>
            </w:pPr>
          </w:p>
        </w:tc>
        <w:tc>
          <w:tcPr>
            <w:tcW w:w="1267" w:type="dxa"/>
            <w:tcBorders>
              <w:top w:val="single" w:color="auto" w:sz="8" w:space="0"/>
              <w:left w:val="single" w:color="auto" w:sz="8" w:space="0"/>
              <w:bottom w:val="single" w:color="auto" w:sz="8" w:space="0"/>
              <w:right w:val="single" w:color="auto" w:sz="8" w:space="0"/>
            </w:tcBorders>
            <w:vAlign w:val="center"/>
          </w:tcPr>
          <w:p w14:paraId="02F44D9F">
            <w:pPr>
              <w:autoSpaceDE w:val="0"/>
              <w:autoSpaceDN w:val="0"/>
              <w:jc w:val="center"/>
              <w:rPr>
                <w:color w:val="auto"/>
                <w:kern w:val="0"/>
                <w:sz w:val="24"/>
                <w:highlight w:val="none"/>
              </w:rPr>
            </w:pPr>
          </w:p>
        </w:tc>
        <w:tc>
          <w:tcPr>
            <w:tcW w:w="1267" w:type="dxa"/>
            <w:tcBorders>
              <w:top w:val="single" w:color="auto" w:sz="8" w:space="0"/>
              <w:left w:val="single" w:color="auto" w:sz="8" w:space="0"/>
              <w:bottom w:val="single" w:color="auto" w:sz="8" w:space="0"/>
              <w:right w:val="single" w:color="auto" w:sz="8" w:space="0"/>
            </w:tcBorders>
            <w:vAlign w:val="center"/>
          </w:tcPr>
          <w:p w14:paraId="0DC8E2E4">
            <w:pPr>
              <w:autoSpaceDE w:val="0"/>
              <w:autoSpaceDN w:val="0"/>
              <w:jc w:val="center"/>
              <w:rPr>
                <w:color w:val="auto"/>
                <w:kern w:val="0"/>
                <w:sz w:val="24"/>
                <w:highlight w:val="none"/>
              </w:rPr>
            </w:pPr>
          </w:p>
        </w:tc>
        <w:tc>
          <w:tcPr>
            <w:tcW w:w="1267" w:type="dxa"/>
            <w:tcBorders>
              <w:top w:val="single" w:color="auto" w:sz="8" w:space="0"/>
              <w:left w:val="single" w:color="auto" w:sz="8" w:space="0"/>
              <w:bottom w:val="single" w:color="auto" w:sz="8" w:space="0"/>
              <w:right w:val="single" w:color="auto" w:sz="8" w:space="0"/>
            </w:tcBorders>
            <w:vAlign w:val="center"/>
          </w:tcPr>
          <w:p w14:paraId="617AB747">
            <w:pPr>
              <w:autoSpaceDE w:val="0"/>
              <w:autoSpaceDN w:val="0"/>
              <w:jc w:val="center"/>
              <w:rPr>
                <w:color w:val="auto"/>
                <w:kern w:val="0"/>
                <w:sz w:val="24"/>
                <w:highlight w:val="none"/>
              </w:rPr>
            </w:pPr>
          </w:p>
        </w:tc>
        <w:tc>
          <w:tcPr>
            <w:tcW w:w="2117" w:type="dxa"/>
            <w:tcBorders>
              <w:top w:val="single" w:color="auto" w:sz="8" w:space="0"/>
              <w:left w:val="single" w:color="auto" w:sz="8" w:space="0"/>
              <w:bottom w:val="single" w:color="auto" w:sz="8" w:space="0"/>
              <w:right w:val="single" w:color="auto" w:sz="12" w:space="0"/>
            </w:tcBorders>
            <w:vAlign w:val="center"/>
          </w:tcPr>
          <w:p w14:paraId="5C4F00AF">
            <w:pPr>
              <w:autoSpaceDE w:val="0"/>
              <w:autoSpaceDN w:val="0"/>
              <w:jc w:val="center"/>
              <w:rPr>
                <w:color w:val="auto"/>
                <w:kern w:val="0"/>
                <w:sz w:val="24"/>
                <w:highlight w:val="none"/>
              </w:rPr>
            </w:pPr>
          </w:p>
        </w:tc>
      </w:tr>
      <w:tr w14:paraId="5F6DE498">
        <w:tblPrEx>
          <w:tblCellMar>
            <w:top w:w="0" w:type="dxa"/>
            <w:left w:w="0" w:type="dxa"/>
            <w:bottom w:w="0" w:type="dxa"/>
            <w:right w:w="0" w:type="dxa"/>
          </w:tblCellMar>
        </w:tblPrEx>
        <w:trPr>
          <w:trHeight w:val="907" w:hRule="atLeast"/>
        </w:trPr>
        <w:tc>
          <w:tcPr>
            <w:tcW w:w="712" w:type="dxa"/>
            <w:tcBorders>
              <w:top w:val="single" w:color="auto" w:sz="8" w:space="0"/>
              <w:left w:val="single" w:color="auto" w:sz="12" w:space="0"/>
              <w:bottom w:val="single" w:color="auto" w:sz="8" w:space="0"/>
              <w:right w:val="single" w:color="auto" w:sz="8" w:space="0"/>
            </w:tcBorders>
            <w:vAlign w:val="center"/>
          </w:tcPr>
          <w:p w14:paraId="52B5E562">
            <w:pPr>
              <w:autoSpaceDE w:val="0"/>
              <w:autoSpaceDN w:val="0"/>
              <w:jc w:val="center"/>
              <w:rPr>
                <w:color w:val="auto"/>
                <w:kern w:val="0"/>
                <w:sz w:val="24"/>
                <w:highlight w:val="none"/>
              </w:rPr>
            </w:pPr>
          </w:p>
        </w:tc>
        <w:tc>
          <w:tcPr>
            <w:tcW w:w="720" w:type="dxa"/>
            <w:tcBorders>
              <w:top w:val="single" w:color="auto" w:sz="8" w:space="0"/>
              <w:left w:val="single" w:color="auto" w:sz="8" w:space="0"/>
              <w:bottom w:val="single" w:color="auto" w:sz="8" w:space="0"/>
              <w:right w:val="single" w:color="auto" w:sz="8" w:space="0"/>
            </w:tcBorders>
            <w:vAlign w:val="center"/>
          </w:tcPr>
          <w:p w14:paraId="310F5DF4">
            <w:pPr>
              <w:autoSpaceDE w:val="0"/>
              <w:autoSpaceDN w:val="0"/>
              <w:jc w:val="center"/>
              <w:rPr>
                <w:color w:val="auto"/>
                <w:kern w:val="0"/>
                <w:sz w:val="24"/>
                <w:highlight w:val="none"/>
              </w:rPr>
            </w:pPr>
          </w:p>
        </w:tc>
        <w:tc>
          <w:tcPr>
            <w:tcW w:w="1815" w:type="dxa"/>
            <w:tcBorders>
              <w:top w:val="single" w:color="auto" w:sz="8" w:space="0"/>
              <w:left w:val="single" w:color="auto" w:sz="8" w:space="0"/>
              <w:bottom w:val="single" w:color="auto" w:sz="8" w:space="0"/>
              <w:right w:val="single" w:color="auto" w:sz="8" w:space="0"/>
            </w:tcBorders>
            <w:vAlign w:val="center"/>
          </w:tcPr>
          <w:p w14:paraId="3EA512CC">
            <w:pPr>
              <w:autoSpaceDE w:val="0"/>
              <w:autoSpaceDN w:val="0"/>
              <w:jc w:val="center"/>
              <w:rPr>
                <w:color w:val="auto"/>
                <w:kern w:val="0"/>
                <w:sz w:val="24"/>
                <w:highlight w:val="none"/>
              </w:rPr>
            </w:pPr>
          </w:p>
        </w:tc>
        <w:tc>
          <w:tcPr>
            <w:tcW w:w="1267" w:type="dxa"/>
            <w:tcBorders>
              <w:top w:val="single" w:color="auto" w:sz="8" w:space="0"/>
              <w:left w:val="single" w:color="auto" w:sz="8" w:space="0"/>
              <w:bottom w:val="single" w:color="auto" w:sz="8" w:space="0"/>
              <w:right w:val="single" w:color="auto" w:sz="8" w:space="0"/>
            </w:tcBorders>
            <w:vAlign w:val="center"/>
          </w:tcPr>
          <w:p w14:paraId="3CE6D287">
            <w:pPr>
              <w:autoSpaceDE w:val="0"/>
              <w:autoSpaceDN w:val="0"/>
              <w:jc w:val="center"/>
              <w:rPr>
                <w:color w:val="auto"/>
                <w:kern w:val="0"/>
                <w:sz w:val="24"/>
                <w:highlight w:val="none"/>
              </w:rPr>
            </w:pPr>
          </w:p>
        </w:tc>
        <w:tc>
          <w:tcPr>
            <w:tcW w:w="1267" w:type="dxa"/>
            <w:tcBorders>
              <w:top w:val="single" w:color="auto" w:sz="8" w:space="0"/>
              <w:left w:val="single" w:color="auto" w:sz="8" w:space="0"/>
              <w:bottom w:val="single" w:color="auto" w:sz="8" w:space="0"/>
              <w:right w:val="single" w:color="auto" w:sz="8" w:space="0"/>
            </w:tcBorders>
            <w:vAlign w:val="center"/>
          </w:tcPr>
          <w:p w14:paraId="72C64620">
            <w:pPr>
              <w:autoSpaceDE w:val="0"/>
              <w:autoSpaceDN w:val="0"/>
              <w:jc w:val="center"/>
              <w:rPr>
                <w:color w:val="auto"/>
                <w:kern w:val="0"/>
                <w:sz w:val="24"/>
                <w:highlight w:val="none"/>
              </w:rPr>
            </w:pPr>
          </w:p>
        </w:tc>
        <w:tc>
          <w:tcPr>
            <w:tcW w:w="1267" w:type="dxa"/>
            <w:tcBorders>
              <w:top w:val="single" w:color="auto" w:sz="8" w:space="0"/>
              <w:left w:val="single" w:color="auto" w:sz="8" w:space="0"/>
              <w:bottom w:val="single" w:color="auto" w:sz="8" w:space="0"/>
              <w:right w:val="single" w:color="auto" w:sz="8" w:space="0"/>
            </w:tcBorders>
            <w:vAlign w:val="center"/>
          </w:tcPr>
          <w:p w14:paraId="5E659CF4">
            <w:pPr>
              <w:autoSpaceDE w:val="0"/>
              <w:autoSpaceDN w:val="0"/>
              <w:jc w:val="center"/>
              <w:rPr>
                <w:color w:val="auto"/>
                <w:kern w:val="0"/>
                <w:sz w:val="24"/>
                <w:highlight w:val="none"/>
              </w:rPr>
            </w:pPr>
          </w:p>
        </w:tc>
        <w:tc>
          <w:tcPr>
            <w:tcW w:w="2117" w:type="dxa"/>
            <w:tcBorders>
              <w:top w:val="single" w:color="auto" w:sz="8" w:space="0"/>
              <w:left w:val="single" w:color="auto" w:sz="8" w:space="0"/>
              <w:bottom w:val="single" w:color="auto" w:sz="8" w:space="0"/>
              <w:right w:val="single" w:color="auto" w:sz="12" w:space="0"/>
            </w:tcBorders>
            <w:vAlign w:val="center"/>
          </w:tcPr>
          <w:p w14:paraId="200FC717">
            <w:pPr>
              <w:autoSpaceDE w:val="0"/>
              <w:autoSpaceDN w:val="0"/>
              <w:jc w:val="center"/>
              <w:rPr>
                <w:color w:val="auto"/>
                <w:kern w:val="0"/>
                <w:sz w:val="24"/>
                <w:highlight w:val="none"/>
              </w:rPr>
            </w:pPr>
          </w:p>
        </w:tc>
      </w:tr>
      <w:tr w14:paraId="7F51402D">
        <w:tblPrEx>
          <w:tblCellMar>
            <w:top w:w="0" w:type="dxa"/>
            <w:left w:w="0" w:type="dxa"/>
            <w:bottom w:w="0" w:type="dxa"/>
            <w:right w:w="0" w:type="dxa"/>
          </w:tblCellMar>
        </w:tblPrEx>
        <w:trPr>
          <w:trHeight w:val="907" w:hRule="atLeast"/>
        </w:trPr>
        <w:tc>
          <w:tcPr>
            <w:tcW w:w="712" w:type="dxa"/>
            <w:tcBorders>
              <w:top w:val="single" w:color="auto" w:sz="8" w:space="0"/>
              <w:left w:val="single" w:color="auto" w:sz="12" w:space="0"/>
              <w:bottom w:val="single" w:color="auto" w:sz="8" w:space="0"/>
              <w:right w:val="single" w:color="auto" w:sz="8" w:space="0"/>
            </w:tcBorders>
            <w:vAlign w:val="center"/>
          </w:tcPr>
          <w:p w14:paraId="42B19576">
            <w:pPr>
              <w:autoSpaceDE w:val="0"/>
              <w:autoSpaceDN w:val="0"/>
              <w:jc w:val="center"/>
              <w:rPr>
                <w:color w:val="auto"/>
                <w:kern w:val="0"/>
                <w:sz w:val="24"/>
                <w:highlight w:val="none"/>
              </w:rPr>
            </w:pPr>
          </w:p>
        </w:tc>
        <w:tc>
          <w:tcPr>
            <w:tcW w:w="720" w:type="dxa"/>
            <w:tcBorders>
              <w:top w:val="single" w:color="auto" w:sz="8" w:space="0"/>
              <w:left w:val="single" w:color="auto" w:sz="8" w:space="0"/>
              <w:bottom w:val="single" w:color="auto" w:sz="8" w:space="0"/>
              <w:right w:val="single" w:color="auto" w:sz="8" w:space="0"/>
            </w:tcBorders>
            <w:vAlign w:val="center"/>
          </w:tcPr>
          <w:p w14:paraId="1A5D5F8E">
            <w:pPr>
              <w:autoSpaceDE w:val="0"/>
              <w:autoSpaceDN w:val="0"/>
              <w:jc w:val="center"/>
              <w:rPr>
                <w:color w:val="auto"/>
                <w:kern w:val="0"/>
                <w:sz w:val="24"/>
                <w:highlight w:val="none"/>
              </w:rPr>
            </w:pPr>
          </w:p>
        </w:tc>
        <w:tc>
          <w:tcPr>
            <w:tcW w:w="1815" w:type="dxa"/>
            <w:tcBorders>
              <w:top w:val="single" w:color="auto" w:sz="8" w:space="0"/>
              <w:left w:val="single" w:color="auto" w:sz="8" w:space="0"/>
              <w:bottom w:val="single" w:color="auto" w:sz="8" w:space="0"/>
              <w:right w:val="single" w:color="auto" w:sz="8" w:space="0"/>
            </w:tcBorders>
            <w:vAlign w:val="center"/>
          </w:tcPr>
          <w:p w14:paraId="10466E73">
            <w:pPr>
              <w:autoSpaceDE w:val="0"/>
              <w:autoSpaceDN w:val="0"/>
              <w:jc w:val="center"/>
              <w:rPr>
                <w:rFonts w:ascii="宋体" w:cs="宋体"/>
                <w:color w:val="auto"/>
                <w:kern w:val="0"/>
                <w:sz w:val="24"/>
                <w:highlight w:val="none"/>
              </w:rPr>
            </w:pPr>
          </w:p>
        </w:tc>
        <w:tc>
          <w:tcPr>
            <w:tcW w:w="1267" w:type="dxa"/>
            <w:tcBorders>
              <w:top w:val="single" w:color="auto" w:sz="8" w:space="0"/>
              <w:left w:val="single" w:color="auto" w:sz="8" w:space="0"/>
              <w:bottom w:val="single" w:color="auto" w:sz="8" w:space="0"/>
              <w:right w:val="single" w:color="auto" w:sz="8" w:space="0"/>
            </w:tcBorders>
            <w:vAlign w:val="center"/>
          </w:tcPr>
          <w:p w14:paraId="471288B5">
            <w:pPr>
              <w:autoSpaceDE w:val="0"/>
              <w:autoSpaceDN w:val="0"/>
              <w:jc w:val="center"/>
              <w:rPr>
                <w:color w:val="auto"/>
                <w:kern w:val="0"/>
                <w:sz w:val="24"/>
                <w:highlight w:val="none"/>
              </w:rPr>
            </w:pPr>
          </w:p>
        </w:tc>
        <w:tc>
          <w:tcPr>
            <w:tcW w:w="1267" w:type="dxa"/>
            <w:tcBorders>
              <w:top w:val="single" w:color="auto" w:sz="8" w:space="0"/>
              <w:left w:val="single" w:color="auto" w:sz="8" w:space="0"/>
              <w:bottom w:val="single" w:color="auto" w:sz="8" w:space="0"/>
              <w:right w:val="single" w:color="auto" w:sz="8" w:space="0"/>
            </w:tcBorders>
            <w:vAlign w:val="center"/>
          </w:tcPr>
          <w:p w14:paraId="10FBE29E">
            <w:pPr>
              <w:autoSpaceDE w:val="0"/>
              <w:autoSpaceDN w:val="0"/>
              <w:jc w:val="center"/>
              <w:rPr>
                <w:color w:val="auto"/>
                <w:kern w:val="0"/>
                <w:sz w:val="24"/>
                <w:highlight w:val="none"/>
              </w:rPr>
            </w:pPr>
          </w:p>
        </w:tc>
        <w:tc>
          <w:tcPr>
            <w:tcW w:w="1267" w:type="dxa"/>
            <w:tcBorders>
              <w:top w:val="single" w:color="auto" w:sz="8" w:space="0"/>
              <w:left w:val="single" w:color="auto" w:sz="8" w:space="0"/>
              <w:bottom w:val="single" w:color="auto" w:sz="8" w:space="0"/>
              <w:right w:val="single" w:color="auto" w:sz="8" w:space="0"/>
            </w:tcBorders>
            <w:vAlign w:val="center"/>
          </w:tcPr>
          <w:p w14:paraId="6D4A13D6">
            <w:pPr>
              <w:autoSpaceDE w:val="0"/>
              <w:autoSpaceDN w:val="0"/>
              <w:jc w:val="center"/>
              <w:rPr>
                <w:color w:val="auto"/>
                <w:kern w:val="0"/>
                <w:sz w:val="24"/>
                <w:highlight w:val="none"/>
              </w:rPr>
            </w:pPr>
          </w:p>
        </w:tc>
        <w:tc>
          <w:tcPr>
            <w:tcW w:w="2117" w:type="dxa"/>
            <w:tcBorders>
              <w:top w:val="single" w:color="auto" w:sz="8" w:space="0"/>
              <w:left w:val="single" w:color="auto" w:sz="8" w:space="0"/>
              <w:bottom w:val="single" w:color="auto" w:sz="8" w:space="0"/>
              <w:right w:val="single" w:color="auto" w:sz="12" w:space="0"/>
            </w:tcBorders>
            <w:vAlign w:val="center"/>
          </w:tcPr>
          <w:p w14:paraId="775DE3C6">
            <w:pPr>
              <w:autoSpaceDE w:val="0"/>
              <w:autoSpaceDN w:val="0"/>
              <w:jc w:val="center"/>
              <w:rPr>
                <w:color w:val="auto"/>
                <w:kern w:val="0"/>
                <w:sz w:val="24"/>
                <w:highlight w:val="none"/>
              </w:rPr>
            </w:pPr>
          </w:p>
        </w:tc>
      </w:tr>
      <w:tr w14:paraId="2C54B01D">
        <w:tblPrEx>
          <w:tblCellMar>
            <w:top w:w="0" w:type="dxa"/>
            <w:left w:w="0" w:type="dxa"/>
            <w:bottom w:w="0" w:type="dxa"/>
            <w:right w:w="0" w:type="dxa"/>
          </w:tblCellMar>
        </w:tblPrEx>
        <w:trPr>
          <w:trHeight w:val="900" w:hRule="atLeast"/>
        </w:trPr>
        <w:tc>
          <w:tcPr>
            <w:tcW w:w="712" w:type="dxa"/>
            <w:tcBorders>
              <w:top w:val="single" w:color="auto" w:sz="8" w:space="0"/>
              <w:left w:val="single" w:color="auto" w:sz="12" w:space="0"/>
              <w:bottom w:val="single" w:color="auto" w:sz="8" w:space="0"/>
              <w:right w:val="single" w:color="auto" w:sz="8" w:space="0"/>
            </w:tcBorders>
            <w:vAlign w:val="center"/>
          </w:tcPr>
          <w:p w14:paraId="4BF8FFF8">
            <w:pPr>
              <w:autoSpaceDE w:val="0"/>
              <w:autoSpaceDN w:val="0"/>
              <w:jc w:val="center"/>
              <w:rPr>
                <w:color w:val="auto"/>
                <w:kern w:val="0"/>
                <w:sz w:val="24"/>
                <w:highlight w:val="none"/>
              </w:rPr>
            </w:pPr>
          </w:p>
        </w:tc>
        <w:tc>
          <w:tcPr>
            <w:tcW w:w="720" w:type="dxa"/>
            <w:tcBorders>
              <w:top w:val="single" w:color="auto" w:sz="8" w:space="0"/>
              <w:left w:val="single" w:color="auto" w:sz="8" w:space="0"/>
              <w:bottom w:val="single" w:color="auto" w:sz="8" w:space="0"/>
              <w:right w:val="single" w:color="auto" w:sz="8" w:space="0"/>
            </w:tcBorders>
            <w:vAlign w:val="center"/>
          </w:tcPr>
          <w:p w14:paraId="779C21BB">
            <w:pPr>
              <w:autoSpaceDE w:val="0"/>
              <w:autoSpaceDN w:val="0"/>
              <w:jc w:val="center"/>
              <w:rPr>
                <w:color w:val="auto"/>
                <w:kern w:val="0"/>
                <w:sz w:val="24"/>
                <w:highlight w:val="none"/>
              </w:rPr>
            </w:pPr>
          </w:p>
        </w:tc>
        <w:tc>
          <w:tcPr>
            <w:tcW w:w="1815" w:type="dxa"/>
            <w:tcBorders>
              <w:top w:val="single" w:color="auto" w:sz="8" w:space="0"/>
              <w:left w:val="single" w:color="auto" w:sz="8" w:space="0"/>
              <w:bottom w:val="single" w:color="auto" w:sz="8" w:space="0"/>
              <w:right w:val="single" w:color="auto" w:sz="8" w:space="0"/>
            </w:tcBorders>
            <w:vAlign w:val="center"/>
          </w:tcPr>
          <w:p w14:paraId="366C55A8">
            <w:pPr>
              <w:autoSpaceDE w:val="0"/>
              <w:autoSpaceDN w:val="0"/>
              <w:jc w:val="center"/>
              <w:rPr>
                <w:color w:val="auto"/>
                <w:kern w:val="0"/>
                <w:sz w:val="24"/>
                <w:highlight w:val="none"/>
              </w:rPr>
            </w:pPr>
          </w:p>
        </w:tc>
        <w:tc>
          <w:tcPr>
            <w:tcW w:w="1267" w:type="dxa"/>
            <w:tcBorders>
              <w:top w:val="single" w:color="auto" w:sz="8" w:space="0"/>
              <w:left w:val="single" w:color="auto" w:sz="8" w:space="0"/>
              <w:bottom w:val="single" w:color="auto" w:sz="8" w:space="0"/>
              <w:right w:val="single" w:color="auto" w:sz="8" w:space="0"/>
            </w:tcBorders>
            <w:vAlign w:val="center"/>
          </w:tcPr>
          <w:p w14:paraId="508E030F">
            <w:pPr>
              <w:autoSpaceDE w:val="0"/>
              <w:autoSpaceDN w:val="0"/>
              <w:jc w:val="center"/>
              <w:rPr>
                <w:color w:val="auto"/>
                <w:kern w:val="0"/>
                <w:sz w:val="24"/>
                <w:highlight w:val="none"/>
              </w:rPr>
            </w:pPr>
          </w:p>
        </w:tc>
        <w:tc>
          <w:tcPr>
            <w:tcW w:w="1267" w:type="dxa"/>
            <w:tcBorders>
              <w:top w:val="single" w:color="auto" w:sz="8" w:space="0"/>
              <w:left w:val="single" w:color="auto" w:sz="8" w:space="0"/>
              <w:bottom w:val="single" w:color="auto" w:sz="8" w:space="0"/>
              <w:right w:val="single" w:color="auto" w:sz="8" w:space="0"/>
            </w:tcBorders>
            <w:vAlign w:val="center"/>
          </w:tcPr>
          <w:p w14:paraId="4EFC7279">
            <w:pPr>
              <w:autoSpaceDE w:val="0"/>
              <w:autoSpaceDN w:val="0"/>
              <w:jc w:val="center"/>
              <w:rPr>
                <w:color w:val="auto"/>
                <w:kern w:val="0"/>
                <w:sz w:val="24"/>
                <w:highlight w:val="none"/>
              </w:rPr>
            </w:pPr>
          </w:p>
        </w:tc>
        <w:tc>
          <w:tcPr>
            <w:tcW w:w="1267" w:type="dxa"/>
            <w:tcBorders>
              <w:top w:val="single" w:color="auto" w:sz="8" w:space="0"/>
              <w:left w:val="single" w:color="auto" w:sz="8" w:space="0"/>
              <w:bottom w:val="single" w:color="auto" w:sz="8" w:space="0"/>
              <w:right w:val="single" w:color="auto" w:sz="8" w:space="0"/>
            </w:tcBorders>
            <w:vAlign w:val="center"/>
          </w:tcPr>
          <w:p w14:paraId="46DD28FB">
            <w:pPr>
              <w:autoSpaceDE w:val="0"/>
              <w:autoSpaceDN w:val="0"/>
              <w:jc w:val="center"/>
              <w:rPr>
                <w:color w:val="auto"/>
                <w:kern w:val="0"/>
                <w:sz w:val="24"/>
                <w:highlight w:val="none"/>
              </w:rPr>
            </w:pPr>
          </w:p>
        </w:tc>
        <w:tc>
          <w:tcPr>
            <w:tcW w:w="2117" w:type="dxa"/>
            <w:tcBorders>
              <w:top w:val="single" w:color="auto" w:sz="8" w:space="0"/>
              <w:left w:val="single" w:color="auto" w:sz="8" w:space="0"/>
              <w:bottom w:val="single" w:color="auto" w:sz="8" w:space="0"/>
              <w:right w:val="single" w:color="auto" w:sz="12" w:space="0"/>
            </w:tcBorders>
            <w:vAlign w:val="center"/>
          </w:tcPr>
          <w:p w14:paraId="656424B7">
            <w:pPr>
              <w:autoSpaceDE w:val="0"/>
              <w:autoSpaceDN w:val="0"/>
              <w:jc w:val="center"/>
              <w:rPr>
                <w:color w:val="auto"/>
                <w:kern w:val="0"/>
                <w:sz w:val="24"/>
                <w:highlight w:val="none"/>
              </w:rPr>
            </w:pPr>
          </w:p>
        </w:tc>
      </w:tr>
      <w:tr w14:paraId="39C94D08">
        <w:tblPrEx>
          <w:tblCellMar>
            <w:top w:w="0" w:type="dxa"/>
            <w:left w:w="0" w:type="dxa"/>
            <w:bottom w:w="0" w:type="dxa"/>
            <w:right w:w="0" w:type="dxa"/>
          </w:tblCellMar>
        </w:tblPrEx>
        <w:trPr>
          <w:trHeight w:val="907" w:hRule="atLeast"/>
        </w:trPr>
        <w:tc>
          <w:tcPr>
            <w:tcW w:w="712" w:type="dxa"/>
            <w:tcBorders>
              <w:top w:val="single" w:color="auto" w:sz="8" w:space="0"/>
              <w:left w:val="single" w:color="auto" w:sz="12" w:space="0"/>
              <w:bottom w:val="single" w:color="auto" w:sz="8" w:space="0"/>
              <w:right w:val="single" w:color="auto" w:sz="8" w:space="0"/>
            </w:tcBorders>
            <w:vAlign w:val="center"/>
          </w:tcPr>
          <w:p w14:paraId="461EED76">
            <w:pPr>
              <w:autoSpaceDE w:val="0"/>
              <w:autoSpaceDN w:val="0"/>
              <w:jc w:val="center"/>
              <w:rPr>
                <w:color w:val="auto"/>
                <w:kern w:val="0"/>
                <w:sz w:val="24"/>
                <w:highlight w:val="none"/>
              </w:rPr>
            </w:pPr>
          </w:p>
        </w:tc>
        <w:tc>
          <w:tcPr>
            <w:tcW w:w="720" w:type="dxa"/>
            <w:tcBorders>
              <w:top w:val="single" w:color="auto" w:sz="8" w:space="0"/>
              <w:left w:val="single" w:color="auto" w:sz="8" w:space="0"/>
              <w:bottom w:val="single" w:color="auto" w:sz="8" w:space="0"/>
              <w:right w:val="single" w:color="auto" w:sz="8" w:space="0"/>
            </w:tcBorders>
            <w:vAlign w:val="center"/>
          </w:tcPr>
          <w:p w14:paraId="3F8BD988">
            <w:pPr>
              <w:autoSpaceDE w:val="0"/>
              <w:autoSpaceDN w:val="0"/>
              <w:jc w:val="center"/>
              <w:rPr>
                <w:color w:val="auto"/>
                <w:kern w:val="0"/>
                <w:sz w:val="24"/>
                <w:highlight w:val="none"/>
              </w:rPr>
            </w:pPr>
          </w:p>
        </w:tc>
        <w:tc>
          <w:tcPr>
            <w:tcW w:w="1815" w:type="dxa"/>
            <w:tcBorders>
              <w:top w:val="single" w:color="auto" w:sz="8" w:space="0"/>
              <w:left w:val="single" w:color="auto" w:sz="8" w:space="0"/>
              <w:bottom w:val="single" w:color="auto" w:sz="8" w:space="0"/>
              <w:right w:val="single" w:color="auto" w:sz="8" w:space="0"/>
            </w:tcBorders>
            <w:vAlign w:val="center"/>
          </w:tcPr>
          <w:p w14:paraId="7D8C6035">
            <w:pPr>
              <w:autoSpaceDE w:val="0"/>
              <w:autoSpaceDN w:val="0"/>
              <w:jc w:val="center"/>
              <w:rPr>
                <w:color w:val="auto"/>
                <w:kern w:val="0"/>
                <w:sz w:val="24"/>
                <w:highlight w:val="none"/>
              </w:rPr>
            </w:pPr>
          </w:p>
        </w:tc>
        <w:tc>
          <w:tcPr>
            <w:tcW w:w="1267" w:type="dxa"/>
            <w:tcBorders>
              <w:top w:val="single" w:color="auto" w:sz="8" w:space="0"/>
              <w:left w:val="single" w:color="auto" w:sz="8" w:space="0"/>
              <w:bottom w:val="single" w:color="auto" w:sz="8" w:space="0"/>
              <w:right w:val="single" w:color="auto" w:sz="8" w:space="0"/>
            </w:tcBorders>
            <w:vAlign w:val="center"/>
          </w:tcPr>
          <w:p w14:paraId="2A3658AE">
            <w:pPr>
              <w:autoSpaceDE w:val="0"/>
              <w:autoSpaceDN w:val="0"/>
              <w:jc w:val="center"/>
              <w:rPr>
                <w:color w:val="auto"/>
                <w:kern w:val="0"/>
                <w:sz w:val="24"/>
                <w:highlight w:val="none"/>
              </w:rPr>
            </w:pPr>
          </w:p>
        </w:tc>
        <w:tc>
          <w:tcPr>
            <w:tcW w:w="1267" w:type="dxa"/>
            <w:tcBorders>
              <w:top w:val="single" w:color="auto" w:sz="8" w:space="0"/>
              <w:left w:val="single" w:color="auto" w:sz="8" w:space="0"/>
              <w:bottom w:val="single" w:color="auto" w:sz="8" w:space="0"/>
              <w:right w:val="single" w:color="auto" w:sz="8" w:space="0"/>
            </w:tcBorders>
            <w:vAlign w:val="center"/>
          </w:tcPr>
          <w:p w14:paraId="2BF6CFBC">
            <w:pPr>
              <w:autoSpaceDE w:val="0"/>
              <w:autoSpaceDN w:val="0"/>
              <w:jc w:val="center"/>
              <w:rPr>
                <w:color w:val="auto"/>
                <w:kern w:val="0"/>
                <w:sz w:val="24"/>
                <w:highlight w:val="none"/>
              </w:rPr>
            </w:pPr>
          </w:p>
        </w:tc>
        <w:tc>
          <w:tcPr>
            <w:tcW w:w="1267" w:type="dxa"/>
            <w:tcBorders>
              <w:top w:val="single" w:color="auto" w:sz="8" w:space="0"/>
              <w:left w:val="single" w:color="auto" w:sz="8" w:space="0"/>
              <w:bottom w:val="single" w:color="auto" w:sz="8" w:space="0"/>
              <w:right w:val="single" w:color="auto" w:sz="8" w:space="0"/>
            </w:tcBorders>
            <w:vAlign w:val="center"/>
          </w:tcPr>
          <w:p w14:paraId="7E044422">
            <w:pPr>
              <w:autoSpaceDE w:val="0"/>
              <w:autoSpaceDN w:val="0"/>
              <w:jc w:val="center"/>
              <w:rPr>
                <w:color w:val="auto"/>
                <w:kern w:val="0"/>
                <w:sz w:val="24"/>
                <w:highlight w:val="none"/>
              </w:rPr>
            </w:pPr>
          </w:p>
        </w:tc>
        <w:tc>
          <w:tcPr>
            <w:tcW w:w="2117" w:type="dxa"/>
            <w:tcBorders>
              <w:top w:val="single" w:color="auto" w:sz="8" w:space="0"/>
              <w:left w:val="single" w:color="auto" w:sz="8" w:space="0"/>
              <w:bottom w:val="single" w:color="auto" w:sz="8" w:space="0"/>
              <w:right w:val="single" w:color="auto" w:sz="12" w:space="0"/>
            </w:tcBorders>
            <w:vAlign w:val="center"/>
          </w:tcPr>
          <w:p w14:paraId="027C0E7C">
            <w:pPr>
              <w:autoSpaceDE w:val="0"/>
              <w:autoSpaceDN w:val="0"/>
              <w:jc w:val="center"/>
              <w:rPr>
                <w:color w:val="auto"/>
                <w:kern w:val="0"/>
                <w:sz w:val="24"/>
                <w:highlight w:val="none"/>
              </w:rPr>
            </w:pPr>
          </w:p>
        </w:tc>
      </w:tr>
      <w:tr w14:paraId="7AA7E91E">
        <w:tblPrEx>
          <w:tblCellMar>
            <w:top w:w="0" w:type="dxa"/>
            <w:left w:w="0" w:type="dxa"/>
            <w:bottom w:w="0" w:type="dxa"/>
            <w:right w:w="0" w:type="dxa"/>
          </w:tblCellMar>
        </w:tblPrEx>
        <w:trPr>
          <w:trHeight w:val="900" w:hRule="atLeast"/>
        </w:trPr>
        <w:tc>
          <w:tcPr>
            <w:tcW w:w="712" w:type="dxa"/>
            <w:tcBorders>
              <w:top w:val="single" w:color="auto" w:sz="8" w:space="0"/>
              <w:left w:val="single" w:color="auto" w:sz="12" w:space="0"/>
              <w:bottom w:val="single" w:color="auto" w:sz="12" w:space="0"/>
              <w:right w:val="single" w:color="auto" w:sz="8" w:space="0"/>
            </w:tcBorders>
            <w:vAlign w:val="center"/>
          </w:tcPr>
          <w:p w14:paraId="7E509DF7">
            <w:pPr>
              <w:autoSpaceDE w:val="0"/>
              <w:autoSpaceDN w:val="0"/>
              <w:jc w:val="center"/>
              <w:rPr>
                <w:color w:val="auto"/>
                <w:kern w:val="0"/>
                <w:sz w:val="24"/>
                <w:highlight w:val="none"/>
              </w:rPr>
            </w:pPr>
          </w:p>
        </w:tc>
        <w:tc>
          <w:tcPr>
            <w:tcW w:w="720" w:type="dxa"/>
            <w:tcBorders>
              <w:top w:val="single" w:color="auto" w:sz="8" w:space="0"/>
              <w:left w:val="single" w:color="auto" w:sz="8" w:space="0"/>
              <w:bottom w:val="single" w:color="auto" w:sz="12" w:space="0"/>
              <w:right w:val="single" w:color="auto" w:sz="8" w:space="0"/>
            </w:tcBorders>
            <w:vAlign w:val="center"/>
          </w:tcPr>
          <w:p w14:paraId="3662A328">
            <w:pPr>
              <w:autoSpaceDE w:val="0"/>
              <w:autoSpaceDN w:val="0"/>
              <w:jc w:val="center"/>
              <w:rPr>
                <w:color w:val="auto"/>
                <w:kern w:val="0"/>
                <w:sz w:val="24"/>
                <w:highlight w:val="none"/>
              </w:rPr>
            </w:pPr>
          </w:p>
        </w:tc>
        <w:tc>
          <w:tcPr>
            <w:tcW w:w="1815" w:type="dxa"/>
            <w:tcBorders>
              <w:top w:val="single" w:color="auto" w:sz="8" w:space="0"/>
              <w:left w:val="single" w:color="auto" w:sz="8" w:space="0"/>
              <w:bottom w:val="single" w:color="auto" w:sz="12" w:space="0"/>
              <w:right w:val="single" w:color="auto" w:sz="8" w:space="0"/>
            </w:tcBorders>
            <w:vAlign w:val="center"/>
          </w:tcPr>
          <w:p w14:paraId="12225B19">
            <w:pPr>
              <w:autoSpaceDE w:val="0"/>
              <w:autoSpaceDN w:val="0"/>
              <w:jc w:val="center"/>
              <w:rPr>
                <w:color w:val="auto"/>
                <w:kern w:val="0"/>
                <w:sz w:val="24"/>
                <w:highlight w:val="none"/>
              </w:rPr>
            </w:pPr>
          </w:p>
        </w:tc>
        <w:tc>
          <w:tcPr>
            <w:tcW w:w="1267" w:type="dxa"/>
            <w:tcBorders>
              <w:top w:val="single" w:color="auto" w:sz="8" w:space="0"/>
              <w:left w:val="single" w:color="auto" w:sz="8" w:space="0"/>
              <w:bottom w:val="single" w:color="auto" w:sz="12" w:space="0"/>
              <w:right w:val="single" w:color="auto" w:sz="8" w:space="0"/>
            </w:tcBorders>
            <w:vAlign w:val="center"/>
          </w:tcPr>
          <w:p w14:paraId="01F95D62">
            <w:pPr>
              <w:autoSpaceDE w:val="0"/>
              <w:autoSpaceDN w:val="0"/>
              <w:jc w:val="center"/>
              <w:rPr>
                <w:color w:val="auto"/>
                <w:kern w:val="0"/>
                <w:sz w:val="24"/>
                <w:highlight w:val="none"/>
              </w:rPr>
            </w:pPr>
          </w:p>
        </w:tc>
        <w:tc>
          <w:tcPr>
            <w:tcW w:w="1267" w:type="dxa"/>
            <w:tcBorders>
              <w:top w:val="single" w:color="auto" w:sz="8" w:space="0"/>
              <w:left w:val="single" w:color="auto" w:sz="8" w:space="0"/>
              <w:bottom w:val="single" w:color="auto" w:sz="12" w:space="0"/>
              <w:right w:val="single" w:color="auto" w:sz="8" w:space="0"/>
            </w:tcBorders>
            <w:vAlign w:val="center"/>
          </w:tcPr>
          <w:p w14:paraId="1FEC1428">
            <w:pPr>
              <w:autoSpaceDE w:val="0"/>
              <w:autoSpaceDN w:val="0"/>
              <w:jc w:val="center"/>
              <w:rPr>
                <w:color w:val="auto"/>
                <w:kern w:val="0"/>
                <w:sz w:val="24"/>
                <w:highlight w:val="none"/>
              </w:rPr>
            </w:pPr>
          </w:p>
        </w:tc>
        <w:tc>
          <w:tcPr>
            <w:tcW w:w="1267" w:type="dxa"/>
            <w:tcBorders>
              <w:top w:val="single" w:color="auto" w:sz="8" w:space="0"/>
              <w:left w:val="single" w:color="auto" w:sz="8" w:space="0"/>
              <w:bottom w:val="single" w:color="auto" w:sz="12" w:space="0"/>
              <w:right w:val="single" w:color="auto" w:sz="8" w:space="0"/>
            </w:tcBorders>
            <w:vAlign w:val="center"/>
          </w:tcPr>
          <w:p w14:paraId="5FE00AF1">
            <w:pPr>
              <w:autoSpaceDE w:val="0"/>
              <w:autoSpaceDN w:val="0"/>
              <w:jc w:val="center"/>
              <w:rPr>
                <w:color w:val="auto"/>
                <w:kern w:val="0"/>
                <w:sz w:val="24"/>
                <w:highlight w:val="none"/>
              </w:rPr>
            </w:pPr>
          </w:p>
        </w:tc>
        <w:tc>
          <w:tcPr>
            <w:tcW w:w="2117" w:type="dxa"/>
            <w:tcBorders>
              <w:top w:val="single" w:color="auto" w:sz="8" w:space="0"/>
              <w:left w:val="single" w:color="auto" w:sz="8" w:space="0"/>
              <w:bottom w:val="single" w:color="auto" w:sz="12" w:space="0"/>
              <w:right w:val="single" w:color="auto" w:sz="12" w:space="0"/>
            </w:tcBorders>
            <w:vAlign w:val="center"/>
          </w:tcPr>
          <w:p w14:paraId="76DEC0EB">
            <w:pPr>
              <w:autoSpaceDE w:val="0"/>
              <w:autoSpaceDN w:val="0"/>
              <w:jc w:val="center"/>
              <w:rPr>
                <w:color w:val="auto"/>
                <w:kern w:val="0"/>
                <w:sz w:val="24"/>
                <w:highlight w:val="none"/>
              </w:rPr>
            </w:pPr>
          </w:p>
        </w:tc>
      </w:tr>
    </w:tbl>
    <w:p w14:paraId="231C856B">
      <w:pPr>
        <w:spacing w:line="360" w:lineRule="auto"/>
        <w:rPr>
          <w:rFonts w:hAnsi="宋体" w:cs="仿宋"/>
          <w:color w:val="auto"/>
          <w:szCs w:val="21"/>
          <w:highlight w:val="none"/>
        </w:rPr>
      </w:pPr>
      <w:r>
        <w:rPr>
          <w:rFonts w:hint="eastAsia" w:hAnsi="宋体" w:cs="仿宋"/>
          <w:color w:val="auto"/>
          <w:szCs w:val="21"/>
          <w:highlight w:val="none"/>
        </w:rPr>
        <w:t>注：①项目负责人及各专业负责人均应填写；</w:t>
      </w:r>
    </w:p>
    <w:p w14:paraId="67FA5801">
      <w:pPr>
        <w:spacing w:line="360" w:lineRule="auto"/>
        <w:ind w:firstLine="420" w:firstLineChars="200"/>
        <w:rPr>
          <w:rFonts w:hAnsi="宋体" w:cs="仿宋"/>
          <w:color w:val="auto"/>
          <w:szCs w:val="21"/>
          <w:highlight w:val="none"/>
        </w:rPr>
      </w:pPr>
      <w:r>
        <w:rPr>
          <w:rFonts w:hint="eastAsia" w:hAnsi="宋体" w:cs="仿宋"/>
          <w:color w:val="auto"/>
          <w:szCs w:val="21"/>
          <w:highlight w:val="none"/>
        </w:rPr>
        <w:t>①</w:t>
      </w:r>
      <w:r>
        <w:rPr>
          <w:rFonts w:hAnsi="宋体" w:cs="仿宋"/>
          <w:color w:val="auto"/>
          <w:szCs w:val="21"/>
          <w:highlight w:val="none"/>
        </w:rPr>
        <w:t>本表人员应附</w:t>
      </w:r>
      <w:r>
        <w:rPr>
          <w:rFonts w:hAnsi="宋体" w:cs="仿宋"/>
          <w:b/>
          <w:color w:val="auto"/>
          <w:szCs w:val="21"/>
          <w:highlight w:val="none"/>
        </w:rPr>
        <w:t>身份证、毕业证、职称证、执业资格证书</w:t>
      </w:r>
      <w:r>
        <w:rPr>
          <w:rFonts w:hint="eastAsia" w:hAnsi="宋体" w:cs="仿宋"/>
          <w:b/>
          <w:color w:val="auto"/>
          <w:szCs w:val="21"/>
          <w:highlight w:val="none"/>
        </w:rPr>
        <w:t>（如有）</w:t>
      </w:r>
      <w:r>
        <w:rPr>
          <w:rFonts w:hAnsi="宋体" w:cs="仿宋"/>
          <w:color w:val="auto"/>
          <w:szCs w:val="21"/>
          <w:highlight w:val="none"/>
        </w:rPr>
        <w:t>以及资格审查条件所要求的其他相关证书的</w:t>
      </w:r>
      <w:r>
        <w:rPr>
          <w:rFonts w:hint="eastAsia" w:hAnsi="宋体" w:cs="仿宋"/>
          <w:color w:val="auto"/>
          <w:szCs w:val="21"/>
          <w:highlight w:val="none"/>
        </w:rPr>
        <w:t>原件扫描</w:t>
      </w:r>
      <w:r>
        <w:rPr>
          <w:rFonts w:hAnsi="宋体" w:cs="仿宋"/>
          <w:color w:val="auto"/>
          <w:szCs w:val="21"/>
          <w:highlight w:val="none"/>
        </w:rPr>
        <w:t>件。</w:t>
      </w:r>
    </w:p>
    <w:p w14:paraId="14C670B9">
      <w:pPr>
        <w:spacing w:line="360" w:lineRule="auto"/>
        <w:ind w:firstLine="420" w:firstLineChars="200"/>
        <w:rPr>
          <w:rFonts w:hAnsi="宋体" w:cs="仿宋"/>
          <w:color w:val="auto"/>
          <w:szCs w:val="21"/>
          <w:highlight w:val="none"/>
        </w:rPr>
      </w:pPr>
      <w:r>
        <w:rPr>
          <w:rFonts w:hAnsi="宋体" w:cs="仿宋"/>
          <w:color w:val="auto"/>
          <w:szCs w:val="21"/>
          <w:highlight w:val="none"/>
        </w:rPr>
        <w:t>②</w:t>
      </w:r>
      <w:r>
        <w:rPr>
          <w:rFonts w:hint="eastAsia" w:hAnsi="宋体" w:cs="仿宋"/>
          <w:color w:val="auto"/>
          <w:szCs w:val="21"/>
          <w:highlight w:val="none"/>
        </w:rPr>
        <w:t>供应商拟安排参与本工程的人员必须是在供应商处进行岗位登记[要求出具近半年来连续三个月的社保缴费证明或参加社保的有效证明材料]。</w:t>
      </w:r>
    </w:p>
    <w:p w14:paraId="137C67FA">
      <w:pPr>
        <w:spacing w:line="360" w:lineRule="auto"/>
        <w:ind w:firstLine="420" w:firstLineChars="200"/>
        <w:rPr>
          <w:rFonts w:hAnsi="宋体" w:cs="仿宋"/>
          <w:color w:val="auto"/>
          <w:szCs w:val="21"/>
          <w:highlight w:val="none"/>
        </w:rPr>
      </w:pPr>
      <w:r>
        <w:rPr>
          <w:rFonts w:hint="eastAsia" w:ascii="微软雅黑" w:hAnsi="微软雅黑" w:eastAsia="微软雅黑" w:cs="微软雅黑"/>
          <w:color w:val="auto"/>
          <w:szCs w:val="21"/>
          <w:highlight w:val="none"/>
        </w:rPr>
        <w:t>③</w:t>
      </w:r>
      <w:r>
        <w:rPr>
          <w:rFonts w:hint="eastAsia" w:hAnsi="宋体" w:cs="仿宋"/>
          <w:color w:val="auto"/>
          <w:szCs w:val="21"/>
          <w:highlight w:val="none"/>
        </w:rPr>
        <w:t>须附有效证明材料，如成果文件签名页面等，有效证明材料具体要求见</w:t>
      </w:r>
      <w:r>
        <w:rPr>
          <w:rFonts w:hint="eastAsia" w:hAnsi="宋体" w:cs="仿宋"/>
          <w:color w:val="auto"/>
          <w:highlight w:val="none"/>
        </w:rPr>
        <w:t>第四章评审办法</w:t>
      </w:r>
      <w:r>
        <w:rPr>
          <w:rFonts w:hint="eastAsia" w:hAnsi="宋体" w:cs="仿宋"/>
          <w:color w:val="auto"/>
          <w:szCs w:val="21"/>
          <w:highlight w:val="none"/>
        </w:rPr>
        <w:t>。</w:t>
      </w:r>
    </w:p>
    <w:p w14:paraId="103B3BDC">
      <w:pPr>
        <w:snapToGrid w:val="0"/>
        <w:spacing w:before="50" w:after="50"/>
        <w:rPr>
          <w:rFonts w:ascii="宋体" w:hAnsi="宋体"/>
          <w:color w:val="auto"/>
          <w:szCs w:val="21"/>
          <w:highlight w:val="none"/>
        </w:rPr>
      </w:pPr>
    </w:p>
    <w:p w14:paraId="3619F61A">
      <w:pPr>
        <w:pStyle w:val="5"/>
        <w:overflowPunct w:val="0"/>
        <w:spacing w:line="520" w:lineRule="exact"/>
        <w:ind w:firstLine="0"/>
        <w:jc w:val="center"/>
        <w:rPr>
          <w:color w:val="auto"/>
          <w:sz w:val="24"/>
          <w:highlight w:val="none"/>
        </w:rPr>
      </w:pPr>
      <w:r>
        <w:rPr>
          <w:rFonts w:hint="eastAsia"/>
          <w:color w:val="auto"/>
          <w:sz w:val="24"/>
          <w:highlight w:val="none"/>
        </w:rPr>
        <w:t>供应商名称：</w:t>
      </w:r>
      <w:r>
        <w:rPr>
          <w:rFonts w:hint="eastAsia"/>
          <w:color w:val="auto"/>
          <w:sz w:val="24"/>
          <w:highlight w:val="none"/>
          <w:u w:val="single"/>
        </w:rPr>
        <w:t xml:space="preserve">                         </w:t>
      </w:r>
      <w:r>
        <w:rPr>
          <w:rFonts w:hint="eastAsia"/>
          <w:color w:val="auto"/>
          <w:sz w:val="24"/>
          <w:highlight w:val="none"/>
        </w:rPr>
        <w:t>（盖单位公章）</w:t>
      </w:r>
    </w:p>
    <w:p w14:paraId="7FCB0EEE">
      <w:pPr>
        <w:pStyle w:val="5"/>
        <w:overflowPunct w:val="0"/>
        <w:spacing w:line="520" w:lineRule="exact"/>
        <w:ind w:firstLine="1478" w:firstLineChars="616"/>
        <w:rPr>
          <w:color w:val="auto"/>
          <w:sz w:val="24"/>
          <w:highlight w:val="none"/>
        </w:rPr>
      </w:pPr>
      <w:r>
        <w:rPr>
          <w:rFonts w:hint="eastAsia"/>
          <w:color w:val="auto"/>
          <w:sz w:val="24"/>
          <w:highlight w:val="none"/>
        </w:rPr>
        <w:t>法定代表人或其委托代理人：</w:t>
      </w:r>
      <w:r>
        <w:rPr>
          <w:rFonts w:hint="eastAsia"/>
          <w:color w:val="auto"/>
          <w:sz w:val="24"/>
          <w:highlight w:val="none"/>
          <w:u w:val="single"/>
        </w:rPr>
        <w:t xml:space="preserve">           </w:t>
      </w:r>
      <w:r>
        <w:rPr>
          <w:rFonts w:hint="eastAsia"/>
          <w:color w:val="auto"/>
          <w:sz w:val="24"/>
          <w:highlight w:val="none"/>
        </w:rPr>
        <w:t>（签字）</w:t>
      </w:r>
    </w:p>
    <w:p w14:paraId="762C3CA8">
      <w:pPr>
        <w:pStyle w:val="5"/>
        <w:overflowPunct w:val="0"/>
        <w:spacing w:line="520" w:lineRule="exact"/>
        <w:ind w:firstLine="3998" w:firstLineChars="1666"/>
        <w:rPr>
          <w:color w:val="auto"/>
          <w:sz w:val="24"/>
          <w:highlight w:val="none"/>
        </w:rPr>
      </w:pPr>
      <w:r>
        <w:rPr>
          <w:rFonts w:hint="eastAsia"/>
          <w:color w:val="auto"/>
          <w:sz w:val="24"/>
          <w:highlight w:val="none"/>
          <w:u w:val="single"/>
        </w:rPr>
        <w:t xml:space="preserve">      </w:t>
      </w:r>
      <w:r>
        <w:rPr>
          <w:rFonts w:hint="eastAsia"/>
          <w:color w:val="auto"/>
          <w:sz w:val="24"/>
          <w:highlight w:val="none"/>
        </w:rPr>
        <w:t>年</w:t>
      </w:r>
      <w:r>
        <w:rPr>
          <w:rFonts w:hint="eastAsia"/>
          <w:color w:val="auto"/>
          <w:sz w:val="24"/>
          <w:highlight w:val="none"/>
          <w:u w:val="single"/>
        </w:rPr>
        <w:t xml:space="preserve">    </w:t>
      </w:r>
      <w:r>
        <w:rPr>
          <w:rFonts w:hint="eastAsia"/>
          <w:color w:val="auto"/>
          <w:sz w:val="24"/>
          <w:highlight w:val="none"/>
        </w:rPr>
        <w:t>月</w:t>
      </w:r>
      <w:r>
        <w:rPr>
          <w:rFonts w:hint="eastAsia"/>
          <w:color w:val="auto"/>
          <w:sz w:val="24"/>
          <w:highlight w:val="none"/>
          <w:u w:val="single"/>
        </w:rPr>
        <w:t xml:space="preserve">    </w:t>
      </w:r>
      <w:r>
        <w:rPr>
          <w:rFonts w:hint="eastAsia"/>
          <w:color w:val="auto"/>
          <w:sz w:val="24"/>
          <w:highlight w:val="none"/>
        </w:rPr>
        <w:t>日</w:t>
      </w:r>
    </w:p>
    <w:p w14:paraId="71F30320">
      <w:pPr>
        <w:snapToGrid w:val="0"/>
        <w:spacing w:before="50" w:after="120" w:afterLines="50"/>
        <w:jc w:val="left"/>
        <w:rPr>
          <w:rFonts w:ascii="宋体" w:hAnsi="宋体"/>
          <w:color w:val="auto"/>
          <w:sz w:val="24"/>
          <w:szCs w:val="20"/>
          <w:highlight w:val="none"/>
        </w:rPr>
      </w:pPr>
    </w:p>
    <w:p w14:paraId="331F3929">
      <w:pPr>
        <w:rPr>
          <w:rFonts w:ascii="黑体" w:hAnsi="宋体" w:eastAsia="黑体"/>
          <w:b/>
          <w:color w:val="auto"/>
          <w:sz w:val="24"/>
          <w:highlight w:val="none"/>
        </w:rPr>
      </w:pPr>
      <w:r>
        <w:rPr>
          <w:rFonts w:ascii="黑体" w:hAnsi="宋体" w:eastAsia="黑体"/>
          <w:b/>
          <w:color w:val="auto"/>
          <w:sz w:val="24"/>
          <w:highlight w:val="none"/>
        </w:rPr>
        <w:br w:type="page"/>
      </w:r>
    </w:p>
    <w:p w14:paraId="131F5919">
      <w:pPr>
        <w:pStyle w:val="10"/>
        <w:rPr>
          <w:color w:val="auto"/>
          <w:highlight w:val="none"/>
        </w:rPr>
      </w:pPr>
    </w:p>
    <w:p w14:paraId="2C6CEF86">
      <w:pPr>
        <w:snapToGrid w:val="0"/>
        <w:spacing w:line="360" w:lineRule="auto"/>
        <w:jc w:val="center"/>
        <w:outlineLvl w:val="1"/>
        <w:rPr>
          <w:rFonts w:ascii="黑体" w:hAnsi="黑体" w:eastAsia="黑体" w:cs="黑体"/>
          <w:color w:val="auto"/>
          <w:sz w:val="36"/>
          <w:szCs w:val="36"/>
          <w:highlight w:val="none"/>
        </w:rPr>
      </w:pPr>
      <w:bookmarkStart w:id="283" w:name="_Toc19324"/>
      <w:bookmarkStart w:id="284" w:name="_Toc11791"/>
      <w:bookmarkStart w:id="285" w:name="_Toc18160"/>
      <w:bookmarkStart w:id="286" w:name="_Toc7403"/>
      <w:bookmarkStart w:id="287" w:name="_Toc7933"/>
      <w:bookmarkStart w:id="288" w:name="_Toc23861"/>
      <w:bookmarkStart w:id="289" w:name="_Toc1235"/>
      <w:bookmarkStart w:id="290" w:name="_Toc15898"/>
      <w:bookmarkStart w:id="291" w:name="_Toc12864"/>
      <w:bookmarkStart w:id="292" w:name="_Toc30890"/>
      <w:bookmarkStart w:id="293" w:name="_Toc32417"/>
      <w:bookmarkStart w:id="294" w:name="_Toc31978"/>
      <w:bookmarkStart w:id="295" w:name="_Toc8105"/>
      <w:bookmarkStart w:id="296" w:name="_Toc19106"/>
      <w:bookmarkStart w:id="297" w:name="_Toc3320"/>
      <w:bookmarkStart w:id="298" w:name="_Toc26195"/>
      <w:bookmarkStart w:id="299" w:name="_Toc30230"/>
      <w:r>
        <w:rPr>
          <w:rFonts w:hint="eastAsia" w:ascii="黑体" w:hAnsi="黑体" w:eastAsia="黑体" w:cs="黑体"/>
          <w:color w:val="auto"/>
          <w:sz w:val="36"/>
          <w:szCs w:val="36"/>
          <w:highlight w:val="none"/>
          <w:lang w:eastAsia="zh-CN"/>
        </w:rPr>
        <w:t>五</w:t>
      </w:r>
      <w:r>
        <w:rPr>
          <w:rFonts w:hint="eastAsia" w:ascii="黑体" w:hAnsi="黑体" w:eastAsia="黑体" w:cs="黑体"/>
          <w:color w:val="auto"/>
          <w:sz w:val="36"/>
          <w:szCs w:val="36"/>
          <w:highlight w:val="none"/>
        </w:rPr>
        <w:t>、</w:t>
      </w:r>
      <w:bookmarkEnd w:id="283"/>
      <w:bookmarkEnd w:id="284"/>
      <w:bookmarkEnd w:id="285"/>
      <w:r>
        <w:rPr>
          <w:rFonts w:hint="eastAsia" w:ascii="黑体" w:hAnsi="黑体" w:eastAsia="黑体" w:cs="黑体"/>
          <w:color w:val="auto"/>
          <w:sz w:val="36"/>
          <w:szCs w:val="36"/>
          <w:highlight w:val="none"/>
          <w:lang w:eastAsia="zh-CN"/>
        </w:rPr>
        <w:t>评价</w:t>
      </w:r>
      <w:r>
        <w:rPr>
          <w:rFonts w:hint="eastAsia" w:ascii="黑体" w:hAnsi="黑体" w:eastAsia="黑体" w:cs="黑体"/>
          <w:color w:val="auto"/>
          <w:sz w:val="36"/>
          <w:szCs w:val="36"/>
          <w:highlight w:val="none"/>
        </w:rPr>
        <w:t>方案</w:t>
      </w:r>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r>
        <w:rPr>
          <w:rFonts w:hint="eastAsia" w:ascii="黑体" w:hAnsi="黑体" w:eastAsia="黑体" w:cs="黑体"/>
          <w:color w:val="auto"/>
          <w:sz w:val="36"/>
          <w:szCs w:val="36"/>
          <w:highlight w:val="none"/>
        </w:rPr>
        <w:t xml:space="preserve"> </w:t>
      </w:r>
    </w:p>
    <w:p w14:paraId="341B0739">
      <w:pPr>
        <w:jc w:val="left"/>
        <w:rPr>
          <w:rFonts w:hint="eastAsia" w:ascii="宋体" w:hAnsi="宋体" w:cs="宋体"/>
          <w:bCs/>
          <w:color w:val="auto"/>
          <w:kern w:val="0"/>
          <w:sz w:val="24"/>
          <w:highlight w:val="none"/>
        </w:rPr>
      </w:pPr>
      <w:r>
        <w:rPr>
          <w:rFonts w:hint="eastAsia" w:ascii="宋体" w:hAnsi="宋体" w:cs="宋体"/>
          <w:bCs/>
          <w:color w:val="auto"/>
          <w:kern w:val="0"/>
          <w:sz w:val="24"/>
          <w:highlight w:val="none"/>
          <w:lang w:eastAsia="zh-CN"/>
        </w:rPr>
        <w:t>评价</w:t>
      </w:r>
      <w:r>
        <w:rPr>
          <w:rFonts w:hint="eastAsia" w:ascii="宋体" w:hAnsi="宋体" w:cs="宋体"/>
          <w:bCs/>
          <w:color w:val="auto"/>
          <w:kern w:val="0"/>
          <w:sz w:val="24"/>
          <w:highlight w:val="none"/>
        </w:rPr>
        <w:t>方案应包括(但不限于)下列内容：</w:t>
      </w:r>
    </w:p>
    <w:p w14:paraId="6F8B8092">
      <w:pPr>
        <w:jc w:val="left"/>
        <w:rPr>
          <w:rFonts w:hint="eastAsia" w:ascii="宋体" w:hAnsi="宋体" w:cs="宋体"/>
          <w:bCs/>
          <w:color w:val="auto"/>
          <w:kern w:val="0"/>
          <w:sz w:val="24"/>
          <w:highlight w:val="none"/>
        </w:rPr>
      </w:pPr>
      <w:r>
        <w:rPr>
          <w:rFonts w:hint="eastAsia" w:ascii="宋体" w:hAnsi="宋体" w:cs="宋体"/>
          <w:bCs/>
          <w:color w:val="auto"/>
          <w:kern w:val="0"/>
          <w:sz w:val="24"/>
          <w:highlight w:val="none"/>
        </w:rPr>
        <w:t>一、</w:t>
      </w:r>
      <w:r>
        <w:rPr>
          <w:rFonts w:hint="eastAsia" w:ascii="宋体" w:hAnsi="宋体" w:cs="宋体"/>
          <w:bCs/>
          <w:color w:val="auto"/>
          <w:kern w:val="0"/>
          <w:sz w:val="24"/>
          <w:highlight w:val="none"/>
          <w:lang w:eastAsia="zh-CN"/>
        </w:rPr>
        <w:t>项目</w:t>
      </w:r>
      <w:r>
        <w:rPr>
          <w:rFonts w:hint="eastAsia" w:ascii="宋体" w:hAnsi="宋体" w:cs="宋体"/>
          <w:bCs/>
          <w:color w:val="auto"/>
          <w:kern w:val="0"/>
          <w:sz w:val="24"/>
          <w:highlight w:val="none"/>
        </w:rPr>
        <w:t>概况；</w:t>
      </w:r>
    </w:p>
    <w:p w14:paraId="3D80F30A">
      <w:pPr>
        <w:jc w:val="left"/>
        <w:rPr>
          <w:rFonts w:hint="eastAsia" w:ascii="宋体" w:hAnsi="宋体" w:cs="宋体"/>
          <w:bCs/>
          <w:color w:val="auto"/>
          <w:kern w:val="0"/>
          <w:sz w:val="24"/>
          <w:highlight w:val="none"/>
        </w:rPr>
      </w:pPr>
      <w:r>
        <w:rPr>
          <w:rFonts w:hint="eastAsia" w:ascii="宋体" w:hAnsi="宋体" w:cs="宋体"/>
          <w:bCs/>
          <w:color w:val="auto"/>
          <w:kern w:val="0"/>
          <w:sz w:val="24"/>
          <w:highlight w:val="none"/>
        </w:rPr>
        <w:t>二、</w:t>
      </w:r>
      <w:r>
        <w:rPr>
          <w:rFonts w:hint="eastAsia" w:ascii="宋体" w:hAnsi="宋体" w:cs="宋体"/>
          <w:bCs/>
          <w:color w:val="auto"/>
          <w:kern w:val="0"/>
          <w:sz w:val="24"/>
          <w:highlight w:val="none"/>
          <w:lang w:eastAsia="zh-CN"/>
        </w:rPr>
        <w:t>工作</w:t>
      </w:r>
      <w:r>
        <w:rPr>
          <w:rFonts w:hint="eastAsia" w:ascii="宋体" w:hAnsi="宋体" w:cs="宋体"/>
          <w:bCs/>
          <w:color w:val="auto"/>
          <w:kern w:val="0"/>
          <w:sz w:val="24"/>
          <w:highlight w:val="none"/>
        </w:rPr>
        <w:t>范围和内容；</w:t>
      </w:r>
    </w:p>
    <w:p w14:paraId="5E927DB1">
      <w:pPr>
        <w:jc w:val="left"/>
        <w:rPr>
          <w:rFonts w:hint="eastAsia" w:ascii="宋体" w:hAnsi="宋体" w:cs="宋体"/>
          <w:bCs/>
          <w:color w:val="auto"/>
          <w:kern w:val="0"/>
          <w:sz w:val="24"/>
          <w:highlight w:val="none"/>
        </w:rPr>
      </w:pPr>
      <w:r>
        <w:rPr>
          <w:rFonts w:hint="eastAsia" w:ascii="宋体" w:hAnsi="宋体" w:cs="宋体"/>
          <w:bCs/>
          <w:color w:val="auto"/>
          <w:kern w:val="0"/>
          <w:sz w:val="24"/>
          <w:highlight w:val="none"/>
        </w:rPr>
        <w:t>三、</w:t>
      </w:r>
      <w:r>
        <w:rPr>
          <w:rFonts w:hint="eastAsia" w:ascii="宋体" w:hAnsi="宋体" w:cs="宋体"/>
          <w:bCs/>
          <w:color w:val="auto"/>
          <w:kern w:val="0"/>
          <w:sz w:val="24"/>
          <w:highlight w:val="none"/>
          <w:lang w:eastAsia="zh-CN"/>
        </w:rPr>
        <w:t>工作</w:t>
      </w:r>
      <w:r>
        <w:rPr>
          <w:rFonts w:hint="eastAsia" w:ascii="宋体" w:hAnsi="宋体" w:cs="宋体"/>
          <w:bCs/>
          <w:color w:val="auto"/>
          <w:kern w:val="0"/>
          <w:sz w:val="24"/>
          <w:highlight w:val="none"/>
        </w:rPr>
        <w:t>依据、工作目标和进度计划；</w:t>
      </w:r>
    </w:p>
    <w:p w14:paraId="00657A04">
      <w:pPr>
        <w:jc w:val="left"/>
        <w:rPr>
          <w:rFonts w:hint="eastAsia" w:ascii="宋体" w:hAnsi="宋体" w:cs="宋体"/>
          <w:bCs/>
          <w:color w:val="auto"/>
          <w:kern w:val="0"/>
          <w:sz w:val="24"/>
          <w:highlight w:val="none"/>
        </w:rPr>
      </w:pPr>
      <w:r>
        <w:rPr>
          <w:rFonts w:hint="eastAsia" w:ascii="宋体" w:hAnsi="宋体" w:cs="宋体"/>
          <w:bCs/>
          <w:color w:val="auto"/>
          <w:kern w:val="0"/>
          <w:sz w:val="24"/>
          <w:highlight w:val="none"/>
        </w:rPr>
        <w:t>四、机构设置(框图)、岗位职责；</w:t>
      </w:r>
    </w:p>
    <w:p w14:paraId="31D4A2F6">
      <w:pPr>
        <w:jc w:val="left"/>
        <w:rPr>
          <w:rFonts w:hint="eastAsia" w:ascii="宋体" w:hAnsi="宋体" w:cs="宋体"/>
          <w:bCs/>
          <w:color w:val="auto"/>
          <w:kern w:val="0"/>
          <w:sz w:val="24"/>
          <w:highlight w:val="none"/>
        </w:rPr>
      </w:pPr>
      <w:r>
        <w:rPr>
          <w:rFonts w:hint="eastAsia" w:ascii="宋体" w:hAnsi="宋体" w:cs="宋体"/>
          <w:bCs/>
          <w:color w:val="auto"/>
          <w:kern w:val="0"/>
          <w:sz w:val="24"/>
          <w:highlight w:val="none"/>
        </w:rPr>
        <w:t>五、拟投入的人员；</w:t>
      </w:r>
    </w:p>
    <w:p w14:paraId="0F559585">
      <w:pPr>
        <w:jc w:val="left"/>
        <w:rPr>
          <w:rFonts w:hint="eastAsia" w:ascii="宋体" w:hAnsi="宋体" w:cs="宋体"/>
          <w:bCs/>
          <w:color w:val="auto"/>
          <w:kern w:val="0"/>
          <w:sz w:val="24"/>
          <w:highlight w:val="none"/>
        </w:rPr>
      </w:pPr>
      <w:r>
        <w:rPr>
          <w:rFonts w:hint="eastAsia" w:ascii="宋体" w:hAnsi="宋体" w:cs="宋体"/>
          <w:bCs/>
          <w:color w:val="auto"/>
          <w:kern w:val="0"/>
          <w:sz w:val="24"/>
          <w:highlight w:val="none"/>
        </w:rPr>
        <w:t>六、工作重点、难点分析；</w:t>
      </w:r>
    </w:p>
    <w:p w14:paraId="3F43CB78">
      <w:pPr>
        <w:jc w:val="left"/>
        <w:rPr>
          <w:rFonts w:hint="eastAsia" w:ascii="宋体" w:hAnsi="宋体" w:cs="宋体"/>
          <w:bCs/>
          <w:color w:val="auto"/>
          <w:kern w:val="0"/>
          <w:sz w:val="24"/>
          <w:highlight w:val="none"/>
        </w:rPr>
      </w:pPr>
      <w:r>
        <w:rPr>
          <w:rFonts w:hint="eastAsia" w:ascii="宋体" w:hAnsi="宋体" w:cs="宋体"/>
          <w:bCs/>
          <w:color w:val="auto"/>
          <w:kern w:val="0"/>
          <w:sz w:val="24"/>
          <w:highlight w:val="none"/>
        </w:rPr>
        <w:t>七、</w:t>
      </w:r>
      <w:r>
        <w:rPr>
          <w:rFonts w:hint="eastAsia" w:ascii="宋体" w:hAnsi="宋体" w:cs="宋体"/>
          <w:bCs/>
          <w:color w:val="auto"/>
          <w:kern w:val="0"/>
          <w:sz w:val="24"/>
          <w:highlight w:val="none"/>
          <w:lang w:eastAsia="zh-CN"/>
        </w:rPr>
        <w:t>评价</w:t>
      </w:r>
      <w:r>
        <w:rPr>
          <w:rFonts w:hint="eastAsia" w:ascii="宋体" w:hAnsi="宋体" w:cs="宋体"/>
          <w:bCs/>
          <w:color w:val="auto"/>
          <w:kern w:val="0"/>
          <w:sz w:val="24"/>
          <w:highlight w:val="none"/>
        </w:rPr>
        <w:t>方案及说明；</w:t>
      </w:r>
    </w:p>
    <w:p w14:paraId="63839BD2">
      <w:pPr>
        <w:jc w:val="left"/>
        <w:rPr>
          <w:rFonts w:hint="eastAsia" w:ascii="宋体" w:hAnsi="宋体" w:cs="宋体"/>
          <w:bCs/>
          <w:color w:val="auto"/>
          <w:kern w:val="0"/>
          <w:sz w:val="24"/>
          <w:highlight w:val="none"/>
        </w:rPr>
      </w:pPr>
      <w:r>
        <w:rPr>
          <w:rFonts w:hint="eastAsia" w:ascii="宋体" w:hAnsi="宋体" w:cs="宋体"/>
          <w:bCs/>
          <w:color w:val="auto"/>
          <w:kern w:val="0"/>
          <w:sz w:val="24"/>
          <w:highlight w:val="none"/>
        </w:rPr>
        <w:t>八、工作质量、进度、保密等</w:t>
      </w:r>
      <w:r>
        <w:rPr>
          <w:rFonts w:hint="eastAsia" w:ascii="宋体" w:hAnsi="宋体" w:cs="宋体"/>
          <w:bCs/>
          <w:color w:val="auto"/>
          <w:kern w:val="0"/>
          <w:sz w:val="24"/>
          <w:highlight w:val="none"/>
          <w:lang w:eastAsia="zh-CN"/>
        </w:rPr>
        <w:t>保障</w:t>
      </w:r>
      <w:r>
        <w:rPr>
          <w:rFonts w:hint="eastAsia" w:ascii="宋体" w:hAnsi="宋体" w:cs="宋体"/>
          <w:bCs/>
          <w:color w:val="auto"/>
          <w:kern w:val="0"/>
          <w:sz w:val="24"/>
          <w:highlight w:val="none"/>
        </w:rPr>
        <w:t>措施；</w:t>
      </w:r>
    </w:p>
    <w:p w14:paraId="6E18D6DE">
      <w:pPr>
        <w:jc w:val="left"/>
        <w:rPr>
          <w:rFonts w:hint="eastAsia" w:ascii="宋体" w:hAnsi="宋体" w:cs="宋体"/>
          <w:bCs/>
          <w:color w:val="auto"/>
          <w:kern w:val="0"/>
          <w:sz w:val="24"/>
          <w:highlight w:val="none"/>
        </w:rPr>
      </w:pPr>
      <w:r>
        <w:rPr>
          <w:rFonts w:hint="eastAsia" w:ascii="宋体" w:hAnsi="宋体" w:cs="宋体"/>
          <w:bCs/>
          <w:color w:val="auto"/>
          <w:kern w:val="0"/>
          <w:sz w:val="24"/>
          <w:highlight w:val="none"/>
        </w:rPr>
        <w:t>九、安全保证措施；</w:t>
      </w:r>
    </w:p>
    <w:p w14:paraId="658285A7">
      <w:pPr>
        <w:jc w:val="left"/>
        <w:rPr>
          <w:rFonts w:hint="eastAsia" w:ascii="宋体" w:hAnsi="宋体" w:eastAsia="宋体" w:cs="宋体"/>
          <w:bCs/>
          <w:color w:val="auto"/>
          <w:kern w:val="0"/>
          <w:sz w:val="24"/>
          <w:highlight w:val="none"/>
          <w:lang w:eastAsia="zh-CN"/>
        </w:rPr>
      </w:pPr>
      <w:r>
        <w:rPr>
          <w:rFonts w:hint="eastAsia" w:ascii="宋体" w:hAnsi="宋体" w:cs="宋体"/>
          <w:bCs/>
          <w:color w:val="auto"/>
          <w:kern w:val="0"/>
          <w:sz w:val="24"/>
          <w:highlight w:val="none"/>
        </w:rPr>
        <w:t>十、</w:t>
      </w:r>
      <w:r>
        <w:rPr>
          <w:rFonts w:hint="eastAsia" w:ascii="宋体" w:hAnsi="宋体" w:cs="宋体"/>
          <w:bCs/>
          <w:color w:val="auto"/>
          <w:kern w:val="0"/>
          <w:sz w:val="24"/>
          <w:highlight w:val="none"/>
          <w:lang w:eastAsia="zh-CN"/>
        </w:rPr>
        <w:t>对本工程的合理化建议。</w:t>
      </w:r>
    </w:p>
    <w:p w14:paraId="43A2CAFF">
      <w:pPr>
        <w:jc w:val="left"/>
        <w:rPr>
          <w:color w:val="auto"/>
          <w:highlight w:val="none"/>
        </w:rPr>
      </w:pPr>
      <w:r>
        <w:rPr>
          <w:color w:val="auto"/>
          <w:highlight w:val="none"/>
        </w:rPr>
        <w:br w:type="page"/>
      </w:r>
    </w:p>
    <w:p w14:paraId="59C2384B">
      <w:pPr>
        <w:pStyle w:val="10"/>
        <w:rPr>
          <w:color w:val="auto"/>
          <w:highlight w:val="none"/>
        </w:rPr>
      </w:pPr>
    </w:p>
    <w:p w14:paraId="35841E38">
      <w:pPr>
        <w:snapToGrid w:val="0"/>
        <w:spacing w:line="360" w:lineRule="auto"/>
        <w:jc w:val="center"/>
        <w:outlineLvl w:val="1"/>
        <w:rPr>
          <w:rFonts w:hint="eastAsia" w:ascii="黑体" w:hAnsi="黑体" w:eastAsia="黑体" w:cs="黑体"/>
          <w:color w:val="auto"/>
          <w:sz w:val="36"/>
          <w:szCs w:val="36"/>
          <w:highlight w:val="none"/>
          <w:lang w:eastAsia="zh-CN"/>
        </w:rPr>
      </w:pPr>
      <w:bookmarkStart w:id="300" w:name="_Toc11398"/>
      <w:bookmarkStart w:id="301" w:name="_Toc18158"/>
      <w:bookmarkStart w:id="302" w:name="_Toc17357"/>
      <w:bookmarkStart w:id="303" w:name="_Toc9181"/>
      <w:bookmarkStart w:id="304" w:name="_Toc25988"/>
      <w:bookmarkStart w:id="305" w:name="_Toc7160"/>
      <w:bookmarkStart w:id="306" w:name="_Toc22873"/>
      <w:bookmarkStart w:id="307" w:name="_Toc21629"/>
      <w:bookmarkStart w:id="308" w:name="_Toc17660"/>
      <w:bookmarkStart w:id="309" w:name="_Toc6982"/>
      <w:bookmarkStart w:id="310" w:name="_Toc28110"/>
      <w:bookmarkStart w:id="311" w:name="_Toc18260"/>
      <w:bookmarkStart w:id="312" w:name="_Toc24713"/>
      <w:bookmarkStart w:id="313" w:name="_Toc20815"/>
      <w:bookmarkStart w:id="314" w:name="_Toc786"/>
      <w:bookmarkStart w:id="315" w:name="_Toc6644"/>
      <w:bookmarkStart w:id="316" w:name="_Toc17002"/>
      <w:r>
        <w:rPr>
          <w:rFonts w:hint="eastAsia" w:ascii="黑体" w:hAnsi="黑体" w:eastAsia="黑体" w:cs="黑体"/>
          <w:color w:val="auto"/>
          <w:sz w:val="36"/>
          <w:szCs w:val="36"/>
          <w:highlight w:val="none"/>
          <w:lang w:eastAsia="zh-CN"/>
        </w:rPr>
        <w:t>六</w:t>
      </w:r>
      <w:r>
        <w:rPr>
          <w:rFonts w:hint="eastAsia" w:ascii="黑体" w:hAnsi="黑体" w:eastAsia="黑体" w:cs="黑体"/>
          <w:color w:val="auto"/>
          <w:sz w:val="36"/>
          <w:szCs w:val="36"/>
          <w:highlight w:val="none"/>
        </w:rPr>
        <w:t>、</w:t>
      </w:r>
      <w:bookmarkEnd w:id="300"/>
      <w:bookmarkEnd w:id="301"/>
      <w:bookmarkEnd w:id="302"/>
      <w:bookmarkEnd w:id="303"/>
      <w:bookmarkEnd w:id="304"/>
      <w:bookmarkEnd w:id="305"/>
      <w:bookmarkEnd w:id="306"/>
      <w:bookmarkEnd w:id="307"/>
      <w:bookmarkEnd w:id="308"/>
      <w:bookmarkEnd w:id="309"/>
      <w:bookmarkEnd w:id="310"/>
      <w:bookmarkEnd w:id="311"/>
      <w:bookmarkEnd w:id="312"/>
      <w:r>
        <w:rPr>
          <w:rFonts w:hint="eastAsia" w:ascii="黑体" w:hAnsi="黑体" w:eastAsia="黑体" w:cs="黑体"/>
          <w:color w:val="auto"/>
          <w:sz w:val="36"/>
          <w:szCs w:val="36"/>
          <w:highlight w:val="none"/>
          <w:lang w:eastAsia="zh-CN"/>
        </w:rPr>
        <w:t>质保期服务计划</w:t>
      </w:r>
      <w:bookmarkEnd w:id="313"/>
      <w:bookmarkEnd w:id="314"/>
      <w:bookmarkEnd w:id="315"/>
      <w:bookmarkEnd w:id="316"/>
    </w:p>
    <w:p w14:paraId="67DE7135">
      <w:pPr>
        <w:pStyle w:val="10"/>
        <w:rPr>
          <w:color w:val="auto"/>
          <w:highlight w:val="none"/>
        </w:rPr>
      </w:pPr>
      <w:r>
        <w:rPr>
          <w:rFonts w:hint="eastAsia"/>
          <w:color w:val="auto"/>
          <w:highlight w:val="none"/>
        </w:rPr>
        <w:t>供应商</w:t>
      </w:r>
      <w:r>
        <w:rPr>
          <w:rFonts w:hint="eastAsia"/>
          <w:color w:val="auto"/>
          <w:highlight w:val="none"/>
          <w:lang w:eastAsia="zh-CN"/>
        </w:rPr>
        <w:t>应按采购文件质保期服务要求编制质保期服务计划</w:t>
      </w:r>
      <w:r>
        <w:rPr>
          <w:rFonts w:hint="eastAsia"/>
          <w:color w:val="auto"/>
          <w:highlight w:val="none"/>
        </w:rPr>
        <w:t>。</w:t>
      </w:r>
    </w:p>
    <w:p w14:paraId="00C078C4">
      <w:pPr>
        <w:rPr>
          <w:color w:val="auto"/>
          <w:highlight w:val="none"/>
        </w:rPr>
      </w:pPr>
      <w:r>
        <w:rPr>
          <w:color w:val="auto"/>
          <w:highlight w:val="none"/>
        </w:rPr>
        <w:br w:type="page"/>
      </w:r>
    </w:p>
    <w:p w14:paraId="0F3C192E">
      <w:pPr>
        <w:snapToGrid w:val="0"/>
        <w:spacing w:line="360" w:lineRule="auto"/>
        <w:jc w:val="center"/>
        <w:outlineLvl w:val="1"/>
        <w:rPr>
          <w:rFonts w:ascii="黑体" w:hAnsi="黑体" w:eastAsia="黑体" w:cs="黑体"/>
          <w:color w:val="auto"/>
          <w:sz w:val="36"/>
          <w:szCs w:val="36"/>
          <w:highlight w:val="none"/>
        </w:rPr>
      </w:pPr>
      <w:bookmarkStart w:id="317" w:name="_Toc15748"/>
      <w:bookmarkStart w:id="318" w:name="_Toc16581"/>
      <w:bookmarkStart w:id="319" w:name="_Toc23423"/>
      <w:bookmarkStart w:id="320" w:name="_Toc13860"/>
      <w:r>
        <w:rPr>
          <w:rFonts w:hint="eastAsia" w:ascii="黑体" w:hAnsi="黑体" w:eastAsia="黑体" w:cs="黑体"/>
          <w:color w:val="auto"/>
          <w:sz w:val="36"/>
          <w:szCs w:val="36"/>
          <w:highlight w:val="none"/>
          <w:lang w:eastAsia="zh-CN"/>
        </w:rPr>
        <w:t>七</w:t>
      </w:r>
      <w:r>
        <w:rPr>
          <w:rFonts w:hint="eastAsia" w:ascii="黑体" w:hAnsi="黑体" w:eastAsia="黑体" w:cs="黑体"/>
          <w:color w:val="auto"/>
          <w:sz w:val="36"/>
          <w:szCs w:val="36"/>
          <w:highlight w:val="none"/>
        </w:rPr>
        <w:t>、其他资料</w:t>
      </w:r>
      <w:bookmarkEnd w:id="317"/>
      <w:bookmarkEnd w:id="318"/>
      <w:bookmarkEnd w:id="319"/>
      <w:bookmarkEnd w:id="320"/>
    </w:p>
    <w:p w14:paraId="7EDD63A7">
      <w:pPr>
        <w:pStyle w:val="10"/>
        <w:rPr>
          <w:color w:val="auto"/>
          <w:highlight w:val="none"/>
        </w:rPr>
      </w:pPr>
      <w:r>
        <w:rPr>
          <w:rFonts w:hint="eastAsia"/>
          <w:color w:val="auto"/>
          <w:highlight w:val="none"/>
        </w:rPr>
        <w:t>供应商认为需提供的其他资料。</w:t>
      </w:r>
    </w:p>
    <w:p w14:paraId="2062CA2A">
      <w:pPr>
        <w:pStyle w:val="11"/>
      </w:pPr>
    </w:p>
    <w:p w14:paraId="45BDB63B">
      <w:pPr>
        <w:pStyle w:val="11"/>
      </w:pPr>
    </w:p>
    <w:p w14:paraId="0425D9A0">
      <w:pPr>
        <w:autoSpaceDE w:val="0"/>
        <w:autoSpaceDN w:val="0"/>
        <w:spacing w:line="360" w:lineRule="auto"/>
        <w:ind w:firstLine="4080" w:firstLineChars="1700"/>
        <w:rPr>
          <w:rFonts w:ascii="宋体" w:hAnsi="宋体" w:cs="宋体"/>
          <w:color w:val="auto"/>
          <w:kern w:val="0"/>
          <w:sz w:val="24"/>
          <w:highlight w:val="none"/>
          <w:lang w:val="zh-CN"/>
        </w:rPr>
        <w:sectPr>
          <w:pgSz w:w="11910" w:h="16840"/>
          <w:pgMar w:top="1340" w:right="1446" w:bottom="1185" w:left="1508" w:header="720" w:footer="720" w:gutter="0"/>
          <w:cols w:space="720" w:num="1"/>
        </w:sectPr>
      </w:pPr>
    </w:p>
    <w:p w14:paraId="47E04EE1">
      <w:pPr>
        <w:pStyle w:val="2"/>
        <w:jc w:val="center"/>
        <w:rPr>
          <w:color w:val="auto"/>
          <w:highlight w:val="none"/>
        </w:rPr>
      </w:pPr>
      <w:bookmarkStart w:id="321" w:name="_Toc20250"/>
      <w:bookmarkStart w:id="322" w:name="_Toc340"/>
      <w:bookmarkStart w:id="323" w:name="_Toc24538"/>
      <w:bookmarkStart w:id="324" w:name="_Toc26207"/>
      <w:bookmarkStart w:id="325" w:name="_Toc3404"/>
      <w:bookmarkStart w:id="326" w:name="_Toc12521"/>
      <w:bookmarkStart w:id="327" w:name="_Toc20211"/>
      <w:bookmarkStart w:id="328" w:name="_Toc13982"/>
      <w:bookmarkStart w:id="329" w:name="_Toc10231"/>
      <w:bookmarkStart w:id="330" w:name="_Toc19259"/>
      <w:bookmarkStart w:id="331" w:name="_Toc28124"/>
      <w:bookmarkStart w:id="332" w:name="_Toc10311"/>
      <w:bookmarkStart w:id="333" w:name="_Toc32704"/>
      <w:bookmarkStart w:id="334" w:name="_Toc7406"/>
      <w:bookmarkStart w:id="335" w:name="_Toc2825"/>
      <w:bookmarkStart w:id="336" w:name="_Toc23903"/>
      <w:bookmarkStart w:id="337" w:name="_Toc2595"/>
      <w:bookmarkStart w:id="338" w:name="_Toc28247"/>
      <w:bookmarkStart w:id="339" w:name="_Toc10054"/>
      <w:bookmarkStart w:id="340" w:name="_Toc2434"/>
      <w:bookmarkStart w:id="341" w:name="_Toc10947"/>
      <w:bookmarkStart w:id="342" w:name="_Toc5554"/>
      <w:r>
        <w:rPr>
          <w:rFonts w:hint="eastAsia"/>
          <w:color w:val="auto"/>
          <w:highlight w:val="none"/>
        </w:rPr>
        <w:t>第六章 合同条款</w:t>
      </w:r>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p>
    <w:p w14:paraId="17528656">
      <w:pPr>
        <w:pStyle w:val="45"/>
        <w:spacing w:line="360" w:lineRule="auto"/>
        <w:jc w:val="center"/>
        <w:rPr>
          <w:rFonts w:ascii="宋体" w:hAnsi="宋体" w:cs="宋体"/>
          <w:b/>
          <w:bCs/>
          <w:color w:val="auto"/>
          <w:sz w:val="44"/>
          <w:szCs w:val="28"/>
          <w:highlight w:val="none"/>
        </w:rPr>
      </w:pPr>
      <w:bookmarkStart w:id="343" w:name="_Toc26106"/>
      <w:bookmarkStart w:id="344" w:name="_Toc22523"/>
      <w:bookmarkStart w:id="345" w:name="_Toc21039"/>
      <w:bookmarkStart w:id="346" w:name="_Toc6445"/>
      <w:bookmarkStart w:id="347" w:name="_Toc4827"/>
      <w:bookmarkStart w:id="348" w:name="_Toc25321"/>
      <w:r>
        <w:rPr>
          <w:rFonts w:hint="eastAsia" w:ascii="宋体" w:hAnsi="宋体" w:cs="宋体"/>
          <w:bCs/>
          <w:color w:val="auto"/>
          <w:sz w:val="44"/>
          <w:szCs w:val="40"/>
          <w:highlight w:val="none"/>
        </w:rPr>
        <w:t>红水河（曹渡河口至桥巩）三级航道</w:t>
      </w:r>
      <w:r>
        <w:rPr>
          <w:rFonts w:hint="eastAsia" w:ascii="宋体" w:hAnsi="宋体" w:cs="宋体"/>
          <w:bCs/>
          <w:color w:val="auto"/>
          <w:sz w:val="44"/>
          <w:szCs w:val="40"/>
          <w:highlight w:val="none"/>
          <w:lang w:eastAsia="zh-CN"/>
        </w:rPr>
        <w:t>工程对广西忻城乐滩国家湿地公园生态影响评价服务</w:t>
      </w:r>
      <w:r>
        <w:rPr>
          <w:rFonts w:hint="eastAsia" w:ascii="宋体" w:hAnsi="宋体" w:cs="宋体"/>
          <w:bCs/>
          <w:color w:val="auto"/>
          <w:sz w:val="44"/>
          <w:szCs w:val="40"/>
          <w:highlight w:val="none"/>
        </w:rPr>
        <w:t>合同</w:t>
      </w:r>
    </w:p>
    <w:p w14:paraId="09218CD7">
      <w:pPr>
        <w:pStyle w:val="45"/>
        <w:spacing w:line="360" w:lineRule="auto"/>
        <w:jc w:val="center"/>
        <w:rPr>
          <w:rFonts w:ascii="宋体" w:hAnsi="宋体" w:cs="宋体"/>
          <w:color w:val="auto"/>
          <w:sz w:val="44"/>
          <w:szCs w:val="28"/>
          <w:highlight w:val="none"/>
        </w:rPr>
      </w:pPr>
    </w:p>
    <w:p w14:paraId="421574BC">
      <w:pPr>
        <w:pStyle w:val="45"/>
        <w:spacing w:line="360" w:lineRule="auto"/>
        <w:jc w:val="center"/>
        <w:rPr>
          <w:rFonts w:ascii="宋体" w:hAnsi="宋体" w:cs="宋体"/>
          <w:color w:val="auto"/>
          <w:sz w:val="44"/>
          <w:szCs w:val="28"/>
          <w:highlight w:val="none"/>
        </w:rPr>
      </w:pPr>
    </w:p>
    <w:p w14:paraId="25358FEE">
      <w:pPr>
        <w:pStyle w:val="45"/>
        <w:jc w:val="center"/>
        <w:rPr>
          <w:rFonts w:eastAsia="楷体_GB2312"/>
          <w:color w:val="auto"/>
          <w:sz w:val="36"/>
          <w:highlight w:val="none"/>
        </w:rPr>
      </w:pPr>
    </w:p>
    <w:p w14:paraId="54962498">
      <w:pPr>
        <w:pStyle w:val="45"/>
        <w:spacing w:line="360" w:lineRule="auto"/>
        <w:ind w:firstLine="640" w:firstLineChars="200"/>
        <w:rPr>
          <w:rFonts w:ascii="宋体" w:hAnsi="宋体"/>
          <w:bCs/>
          <w:color w:val="auto"/>
          <w:sz w:val="32"/>
          <w:highlight w:val="none"/>
        </w:rPr>
      </w:pPr>
      <w:r>
        <w:rPr>
          <w:rFonts w:hint="eastAsia" w:ascii="宋体" w:hAnsi="宋体"/>
          <w:bCs/>
          <w:color w:val="auto"/>
          <w:sz w:val="32"/>
          <w:highlight w:val="none"/>
        </w:rPr>
        <w:t>甲方：</w:t>
      </w:r>
      <w:r>
        <w:rPr>
          <w:rFonts w:hint="eastAsia" w:ascii="宋体" w:hAnsi="宋体"/>
          <w:bCs/>
          <w:color w:val="auto"/>
          <w:sz w:val="32"/>
          <w:highlight w:val="none"/>
          <w:u w:val="single"/>
          <w:lang w:eastAsia="zh-CN"/>
        </w:rPr>
        <w:t>广西壮族自治区水运发展中心</w:t>
      </w:r>
      <w:r>
        <w:rPr>
          <w:rFonts w:hint="eastAsia" w:ascii="宋体" w:hAnsi="宋体"/>
          <w:bCs/>
          <w:color w:val="auto"/>
          <w:sz w:val="32"/>
          <w:highlight w:val="none"/>
          <w:u w:val="single"/>
        </w:rPr>
        <w:t xml:space="preserve"> </w:t>
      </w:r>
      <w:r>
        <w:rPr>
          <w:rFonts w:ascii="宋体" w:hAnsi="宋体"/>
          <w:bCs/>
          <w:color w:val="auto"/>
          <w:sz w:val="32"/>
          <w:highlight w:val="none"/>
          <w:u w:val="single"/>
        </w:rPr>
        <w:t xml:space="preserve"> </w:t>
      </w:r>
    </w:p>
    <w:p w14:paraId="45321449">
      <w:pPr>
        <w:pStyle w:val="45"/>
        <w:spacing w:line="360" w:lineRule="auto"/>
        <w:ind w:left="2558" w:leftChars="304" w:hanging="1920" w:hangingChars="600"/>
        <w:rPr>
          <w:rFonts w:ascii="宋体" w:hAnsi="宋体"/>
          <w:bCs/>
          <w:color w:val="auto"/>
          <w:sz w:val="36"/>
          <w:highlight w:val="none"/>
        </w:rPr>
      </w:pPr>
      <w:r>
        <w:rPr>
          <w:rFonts w:hint="eastAsia" w:ascii="宋体" w:hAnsi="宋体"/>
          <w:bCs/>
          <w:color w:val="auto"/>
          <w:sz w:val="32"/>
          <w:highlight w:val="none"/>
        </w:rPr>
        <w:t>乙方：</w:t>
      </w:r>
      <w:r>
        <w:rPr>
          <w:rFonts w:ascii="宋体" w:hAnsi="宋体"/>
          <w:bCs/>
          <w:color w:val="auto"/>
          <w:sz w:val="32"/>
          <w:highlight w:val="none"/>
          <w:u w:val="single"/>
        </w:rPr>
        <w:t xml:space="preserve">                      </w:t>
      </w:r>
      <w:r>
        <w:rPr>
          <w:rFonts w:hint="eastAsia" w:ascii="宋体" w:hAnsi="宋体"/>
          <w:bCs/>
          <w:color w:val="auto"/>
          <w:sz w:val="32"/>
          <w:highlight w:val="none"/>
          <w:u w:val="single"/>
        </w:rPr>
        <w:t xml:space="preserve"> </w:t>
      </w:r>
      <w:r>
        <w:rPr>
          <w:rFonts w:ascii="宋体" w:hAnsi="宋体"/>
          <w:bCs/>
          <w:color w:val="auto"/>
          <w:sz w:val="32"/>
          <w:highlight w:val="none"/>
          <w:u w:val="single"/>
        </w:rPr>
        <w:t xml:space="preserve"> </w:t>
      </w:r>
      <w:r>
        <w:rPr>
          <w:rFonts w:ascii="宋体" w:hAnsi="宋体"/>
          <w:bCs/>
          <w:color w:val="auto"/>
          <w:sz w:val="36"/>
          <w:highlight w:val="none"/>
        </w:rPr>
        <w:t xml:space="preserve">     </w:t>
      </w:r>
    </w:p>
    <w:p w14:paraId="50ED1F5F">
      <w:pPr>
        <w:pStyle w:val="45"/>
        <w:spacing w:line="360" w:lineRule="auto"/>
        <w:ind w:firstLine="640" w:firstLineChars="200"/>
        <w:rPr>
          <w:rFonts w:ascii="宋体" w:hAnsi="宋体"/>
          <w:bCs/>
          <w:color w:val="auto"/>
          <w:sz w:val="32"/>
          <w:highlight w:val="none"/>
        </w:rPr>
      </w:pPr>
      <w:r>
        <w:rPr>
          <w:rFonts w:hint="eastAsia" w:ascii="宋体" w:hAnsi="宋体"/>
          <w:bCs/>
          <w:color w:val="auto"/>
          <w:sz w:val="32"/>
          <w:highlight w:val="none"/>
        </w:rPr>
        <w:t>签订时间：</w:t>
      </w:r>
      <w:r>
        <w:rPr>
          <w:rFonts w:ascii="宋体" w:hAnsi="宋体"/>
          <w:bCs/>
          <w:color w:val="auto"/>
          <w:sz w:val="32"/>
          <w:highlight w:val="none"/>
          <w:u w:val="single"/>
        </w:rPr>
        <w:t xml:space="preserve">      年    月    日</w:t>
      </w:r>
      <w:r>
        <w:rPr>
          <w:rFonts w:ascii="宋体" w:hAnsi="宋体"/>
          <w:bCs/>
          <w:color w:val="auto"/>
          <w:sz w:val="32"/>
          <w:highlight w:val="none"/>
        </w:rPr>
        <w:t xml:space="preserve">                </w:t>
      </w:r>
    </w:p>
    <w:p w14:paraId="2B2F8ECE">
      <w:pPr>
        <w:pStyle w:val="45"/>
        <w:spacing w:line="360" w:lineRule="auto"/>
        <w:ind w:firstLine="640" w:firstLineChars="200"/>
        <w:rPr>
          <w:rFonts w:ascii="宋体" w:hAnsi="宋体"/>
          <w:b/>
          <w:color w:val="auto"/>
          <w:sz w:val="32"/>
          <w:highlight w:val="none"/>
        </w:rPr>
      </w:pPr>
      <w:r>
        <w:rPr>
          <w:rFonts w:hint="eastAsia" w:ascii="宋体" w:hAnsi="宋体"/>
          <w:bCs/>
          <w:color w:val="auto"/>
          <w:sz w:val="32"/>
          <w:highlight w:val="none"/>
        </w:rPr>
        <w:t>签订地点：</w:t>
      </w:r>
      <w:r>
        <w:rPr>
          <w:rFonts w:ascii="宋体" w:hAnsi="宋体"/>
          <w:bCs/>
          <w:color w:val="auto"/>
          <w:sz w:val="32"/>
          <w:highlight w:val="none"/>
          <w:u w:val="single"/>
        </w:rPr>
        <w:t xml:space="preserve">      </w:t>
      </w:r>
      <w:r>
        <w:rPr>
          <w:rFonts w:hint="eastAsia" w:ascii="宋体" w:hAnsi="宋体"/>
          <w:bCs/>
          <w:color w:val="auto"/>
          <w:sz w:val="32"/>
          <w:highlight w:val="none"/>
          <w:u w:val="single"/>
        </w:rPr>
        <w:t xml:space="preserve">南宁市 </w:t>
      </w:r>
      <w:r>
        <w:rPr>
          <w:rFonts w:ascii="宋体" w:hAnsi="宋体"/>
          <w:bCs/>
          <w:color w:val="auto"/>
          <w:sz w:val="32"/>
          <w:highlight w:val="none"/>
          <w:u w:val="single"/>
        </w:rPr>
        <w:t xml:space="preserve">   </w:t>
      </w:r>
      <w:r>
        <w:rPr>
          <w:rFonts w:ascii="宋体" w:hAnsi="宋体"/>
          <w:bCs/>
          <w:color w:val="auto"/>
          <w:sz w:val="32"/>
          <w:highlight w:val="none"/>
        </w:rPr>
        <w:t xml:space="preserve">     </w:t>
      </w:r>
      <w:r>
        <w:rPr>
          <w:rFonts w:ascii="宋体" w:hAnsi="宋体"/>
          <w:b/>
          <w:color w:val="auto"/>
          <w:sz w:val="32"/>
          <w:highlight w:val="none"/>
        </w:rPr>
        <w:t xml:space="preserve">              </w:t>
      </w:r>
    </w:p>
    <w:p w14:paraId="4531D64F">
      <w:pPr>
        <w:pStyle w:val="45"/>
        <w:rPr>
          <w:rFonts w:ascii="宋体" w:hAnsi="宋体"/>
          <w:color w:val="auto"/>
          <w:sz w:val="36"/>
          <w:highlight w:val="none"/>
        </w:rPr>
      </w:pPr>
    </w:p>
    <w:p w14:paraId="37330C8C">
      <w:pPr>
        <w:pStyle w:val="45"/>
        <w:rPr>
          <w:rFonts w:ascii="宋体" w:hAnsi="宋体"/>
          <w:color w:val="auto"/>
          <w:sz w:val="36"/>
          <w:highlight w:val="none"/>
        </w:rPr>
      </w:pPr>
    </w:p>
    <w:p w14:paraId="1EEA579C">
      <w:pPr>
        <w:pStyle w:val="45"/>
        <w:rPr>
          <w:rFonts w:ascii="宋体" w:hAnsi="宋体"/>
          <w:color w:val="auto"/>
          <w:sz w:val="36"/>
          <w:highlight w:val="none"/>
        </w:rPr>
      </w:pPr>
    </w:p>
    <w:p w14:paraId="46E9509E">
      <w:pPr>
        <w:pStyle w:val="10"/>
        <w:rPr>
          <w:rFonts w:ascii="宋体" w:hAnsi="宋体"/>
          <w:color w:val="auto"/>
          <w:sz w:val="36"/>
          <w:highlight w:val="none"/>
        </w:rPr>
      </w:pPr>
    </w:p>
    <w:p w14:paraId="4813EB47">
      <w:pPr>
        <w:pStyle w:val="10"/>
        <w:rPr>
          <w:rFonts w:ascii="宋体" w:hAnsi="宋体"/>
          <w:color w:val="auto"/>
          <w:sz w:val="36"/>
          <w:highlight w:val="none"/>
        </w:rPr>
      </w:pPr>
    </w:p>
    <w:p w14:paraId="6E0FA860">
      <w:pPr>
        <w:pStyle w:val="10"/>
        <w:rPr>
          <w:rFonts w:ascii="宋体" w:hAnsi="宋体"/>
          <w:color w:val="auto"/>
          <w:sz w:val="36"/>
          <w:highlight w:val="none"/>
        </w:rPr>
      </w:pPr>
    </w:p>
    <w:p w14:paraId="59BC1C78">
      <w:pPr>
        <w:pStyle w:val="10"/>
        <w:rPr>
          <w:rFonts w:ascii="宋体" w:hAnsi="宋体"/>
          <w:color w:val="auto"/>
          <w:sz w:val="36"/>
          <w:highlight w:val="none"/>
        </w:rPr>
      </w:pPr>
    </w:p>
    <w:p w14:paraId="422F662F">
      <w:pPr>
        <w:pStyle w:val="45"/>
        <w:jc w:val="center"/>
        <w:rPr>
          <w:rFonts w:eastAsia="黑体"/>
          <w:color w:val="auto"/>
          <w:sz w:val="44"/>
          <w:highlight w:val="none"/>
        </w:rPr>
      </w:pPr>
    </w:p>
    <w:p w14:paraId="672A5234">
      <w:pPr>
        <w:spacing w:before="156" w:beforeLines="50" w:after="156" w:afterLines="50" w:line="360" w:lineRule="auto"/>
        <w:jc w:val="center"/>
        <w:outlineLvl w:val="1"/>
        <w:rPr>
          <w:rFonts w:hint="eastAsia" w:ascii="宋体" w:hAnsi="宋体" w:cs="宋体"/>
          <w:b/>
          <w:szCs w:val="21"/>
        </w:rPr>
      </w:pPr>
      <w:r>
        <w:rPr>
          <w:rFonts w:hint="eastAsia" w:eastAsia="黑体"/>
          <w:color w:val="auto"/>
          <w:sz w:val="44"/>
          <w:highlight w:val="none"/>
        </w:rPr>
        <w:br w:type="page"/>
      </w:r>
      <w:bookmarkStart w:id="349" w:name="_Toc29652"/>
      <w:bookmarkStart w:id="350" w:name="_Toc29798"/>
      <w:bookmarkStart w:id="351" w:name="_Toc9537"/>
      <w:bookmarkStart w:id="352" w:name="_Toc3027"/>
      <w:bookmarkStart w:id="353" w:name="_Toc18620"/>
      <w:bookmarkStart w:id="354" w:name="_Toc21923"/>
      <w:bookmarkStart w:id="355" w:name="_Toc12851"/>
      <w:bookmarkStart w:id="356" w:name="_Toc3598"/>
      <w:bookmarkStart w:id="357" w:name="_Toc20596"/>
      <w:bookmarkStart w:id="358" w:name="_Toc12891"/>
      <w:bookmarkStart w:id="359" w:name="_Toc31424"/>
      <w:bookmarkStart w:id="360" w:name="_Toc7571"/>
      <w:bookmarkStart w:id="361" w:name="_Toc25004"/>
      <w:bookmarkStart w:id="362" w:name="_Toc6579"/>
      <w:bookmarkStart w:id="363" w:name="_Toc1890"/>
      <w:bookmarkStart w:id="364" w:name="_Toc5621"/>
      <w:bookmarkStart w:id="365" w:name="_Toc4799"/>
      <w:r>
        <w:rPr>
          <w:rFonts w:hint="eastAsia" w:ascii="黑体" w:hAnsi="宋体" w:eastAsia="黑体"/>
          <w:sz w:val="32"/>
          <w:szCs w:val="32"/>
        </w:rPr>
        <w:t>合同协议书</w:t>
      </w:r>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p>
    <w:p w14:paraId="4D00D2E4">
      <w:pPr>
        <w:pStyle w:val="45"/>
        <w:spacing w:line="360" w:lineRule="auto"/>
        <w:ind w:firstLine="482" w:firstLineChars="200"/>
        <w:rPr>
          <w:rFonts w:hint="eastAsia" w:ascii="宋体" w:hAnsi="宋体" w:cs="宋体"/>
          <w:color w:val="000000"/>
          <w:sz w:val="24"/>
          <w:szCs w:val="24"/>
        </w:rPr>
      </w:pPr>
      <w:r>
        <w:rPr>
          <w:rFonts w:hint="eastAsia" w:ascii="宋体" w:hAnsi="宋体" w:cs="宋体"/>
          <w:b/>
          <w:color w:val="000000"/>
          <w:sz w:val="24"/>
          <w:szCs w:val="24"/>
        </w:rPr>
        <w:t>甲方</w:t>
      </w:r>
      <w:r>
        <w:rPr>
          <w:rFonts w:hint="eastAsia" w:ascii="宋体" w:hAnsi="宋体" w:cs="宋体"/>
          <w:color w:val="000000"/>
          <w:sz w:val="24"/>
          <w:szCs w:val="24"/>
        </w:rPr>
        <w:t>：广西壮族自治区水运发展中心</w:t>
      </w:r>
    </w:p>
    <w:p w14:paraId="23ABEB5A">
      <w:pPr>
        <w:pStyle w:val="45"/>
        <w:spacing w:line="360" w:lineRule="auto"/>
        <w:ind w:left="963" w:leftChars="229" w:hanging="482" w:hangingChars="200"/>
        <w:rPr>
          <w:rFonts w:hint="eastAsia" w:ascii="宋体" w:hAnsi="宋体" w:eastAsia="宋体" w:cs="宋体"/>
          <w:color w:val="000000"/>
          <w:sz w:val="24"/>
          <w:szCs w:val="24"/>
          <w:lang w:eastAsia="zh-CN"/>
        </w:rPr>
      </w:pPr>
      <w:r>
        <w:rPr>
          <w:rFonts w:hint="eastAsia" w:ascii="宋体" w:hAnsi="宋体" w:cs="宋体"/>
          <w:b/>
          <w:color w:val="000000"/>
          <w:sz w:val="24"/>
          <w:szCs w:val="24"/>
        </w:rPr>
        <w:t>乙方</w:t>
      </w:r>
      <w:r>
        <w:rPr>
          <w:rFonts w:hint="eastAsia" w:ascii="宋体" w:hAnsi="宋体" w:cs="宋体"/>
          <w:color w:val="000000"/>
          <w:sz w:val="24"/>
          <w:szCs w:val="24"/>
        </w:rPr>
        <w:t>：</w:t>
      </w:r>
      <w:r>
        <w:rPr>
          <w:rFonts w:hint="eastAsia" w:ascii="宋体" w:hAnsi="宋体" w:cs="宋体"/>
          <w:color w:val="000000"/>
          <w:sz w:val="24"/>
          <w:szCs w:val="24"/>
          <w:lang w:val="en-US" w:eastAsia="zh-CN"/>
        </w:rPr>
        <w:t xml:space="preserve"> </w:t>
      </w:r>
    </w:p>
    <w:p w14:paraId="6162817C">
      <w:pPr>
        <w:pStyle w:val="45"/>
        <w:spacing w:line="360" w:lineRule="auto"/>
        <w:ind w:firstLine="480" w:firstLineChars="200"/>
        <w:rPr>
          <w:rFonts w:hint="eastAsia" w:ascii="宋体" w:hAnsi="宋体" w:cs="宋体"/>
          <w:color w:val="000000"/>
          <w:sz w:val="24"/>
          <w:szCs w:val="24"/>
        </w:rPr>
      </w:pPr>
    </w:p>
    <w:p w14:paraId="594F8DD6">
      <w:pPr>
        <w:pStyle w:val="45"/>
        <w:spacing w:line="360" w:lineRule="auto"/>
        <w:ind w:firstLine="480" w:firstLineChars="200"/>
        <w:jc w:val="left"/>
        <w:rPr>
          <w:rFonts w:hint="eastAsia" w:ascii="宋体" w:hAnsi="宋体" w:cs="宋体"/>
          <w:sz w:val="24"/>
          <w:szCs w:val="24"/>
          <w:u w:val="single"/>
        </w:rPr>
      </w:pPr>
      <w:r>
        <w:rPr>
          <w:rFonts w:hint="eastAsia" w:ascii="宋体" w:hAnsi="宋体" w:cs="宋体"/>
          <w:sz w:val="24"/>
          <w:szCs w:val="24"/>
        </w:rPr>
        <w:t>甲方通过公开采购的方式委托乙方承担</w:t>
      </w:r>
      <w:r>
        <w:rPr>
          <w:rFonts w:hint="eastAsia" w:ascii="宋体" w:hAnsi="宋体" w:cs="宋体"/>
          <w:bCs/>
          <w:sz w:val="24"/>
          <w:szCs w:val="24"/>
          <w:u w:val="single"/>
        </w:rPr>
        <w:t>红水河（曹渡河口至桥巩）三级航道</w:t>
      </w:r>
      <w:r>
        <w:rPr>
          <w:rFonts w:hint="eastAsia" w:ascii="宋体" w:hAnsi="宋体" w:cs="宋体"/>
          <w:bCs/>
          <w:sz w:val="24"/>
          <w:szCs w:val="24"/>
          <w:u w:val="single"/>
          <w:lang w:eastAsia="zh-CN"/>
        </w:rPr>
        <w:t>工程对广西忻城乐滩国家湿地公园生态影响评价服务</w:t>
      </w:r>
      <w:r>
        <w:rPr>
          <w:rFonts w:hint="eastAsia" w:ascii="宋体" w:hAnsi="宋体" w:cs="宋体"/>
          <w:bCs/>
          <w:sz w:val="24"/>
          <w:szCs w:val="24"/>
          <w:u w:val="single"/>
        </w:rPr>
        <w:t xml:space="preserve"> </w:t>
      </w:r>
      <w:r>
        <w:rPr>
          <w:rFonts w:hint="eastAsia" w:ascii="宋体" w:hAnsi="宋体" w:cs="宋体"/>
          <w:bCs/>
          <w:sz w:val="24"/>
          <w:szCs w:val="24"/>
        </w:rPr>
        <w:t>工作</w:t>
      </w:r>
      <w:r>
        <w:rPr>
          <w:rFonts w:hint="eastAsia" w:ascii="宋体" w:hAnsi="宋体" w:cs="宋体"/>
          <w:sz w:val="24"/>
          <w:szCs w:val="24"/>
        </w:rPr>
        <w:t>，并支付相应的服务报酬。双方经过平等协商，在真实、充分地表达各自意愿的基础上，根据《中华人民共和国民法典》的规定，达成如下协议，并由双方共同恪守。</w:t>
      </w:r>
    </w:p>
    <w:p w14:paraId="72E9E454">
      <w:pPr>
        <w:pStyle w:val="45"/>
        <w:spacing w:line="360" w:lineRule="auto"/>
        <w:ind w:firstLine="482" w:firstLineChars="200"/>
        <w:rPr>
          <w:rFonts w:hint="eastAsia" w:ascii="宋体" w:hAnsi="宋体" w:cs="宋体"/>
          <w:b/>
          <w:bCs/>
          <w:sz w:val="24"/>
          <w:szCs w:val="24"/>
        </w:rPr>
      </w:pPr>
      <w:r>
        <w:rPr>
          <w:rFonts w:hint="eastAsia" w:ascii="宋体" w:hAnsi="宋体" w:cs="宋体"/>
          <w:b/>
          <w:bCs/>
          <w:sz w:val="24"/>
          <w:szCs w:val="24"/>
        </w:rPr>
        <w:t>第一条 下列文件一起构成合同文件：</w:t>
      </w:r>
    </w:p>
    <w:p w14:paraId="0045D60A">
      <w:pPr>
        <w:pStyle w:val="45"/>
        <w:spacing w:line="360" w:lineRule="auto"/>
        <w:ind w:firstLine="480" w:firstLineChars="200"/>
        <w:rPr>
          <w:rFonts w:hint="eastAsia" w:ascii="宋体" w:hAnsi="宋体" w:cs="宋体"/>
          <w:sz w:val="24"/>
          <w:szCs w:val="24"/>
        </w:rPr>
      </w:pPr>
      <w:r>
        <w:rPr>
          <w:rFonts w:hint="eastAsia" w:ascii="宋体" w:hAnsi="宋体" w:cs="宋体"/>
          <w:sz w:val="24"/>
          <w:szCs w:val="24"/>
        </w:rPr>
        <w:t>1.合同协议书；</w:t>
      </w:r>
    </w:p>
    <w:p w14:paraId="15F372B2">
      <w:pPr>
        <w:pStyle w:val="45"/>
        <w:spacing w:line="360" w:lineRule="auto"/>
        <w:ind w:firstLine="480" w:firstLineChars="200"/>
        <w:rPr>
          <w:rFonts w:hint="eastAsia" w:ascii="宋体" w:hAnsi="宋体" w:cs="宋体"/>
          <w:sz w:val="24"/>
          <w:szCs w:val="24"/>
        </w:rPr>
      </w:pPr>
      <w:r>
        <w:rPr>
          <w:rFonts w:hint="eastAsia" w:ascii="宋体" w:hAnsi="宋体" w:cs="宋体"/>
          <w:sz w:val="24"/>
          <w:szCs w:val="24"/>
        </w:rPr>
        <w:t>2.中标通知书；</w:t>
      </w:r>
    </w:p>
    <w:p w14:paraId="75C4CA06">
      <w:pPr>
        <w:pStyle w:val="45"/>
        <w:spacing w:line="360" w:lineRule="auto"/>
        <w:ind w:firstLine="480" w:firstLineChars="200"/>
        <w:rPr>
          <w:rFonts w:hint="eastAsia" w:ascii="宋体" w:hAnsi="宋体" w:cs="宋体"/>
          <w:sz w:val="24"/>
          <w:szCs w:val="24"/>
        </w:rPr>
      </w:pPr>
      <w:r>
        <w:rPr>
          <w:rFonts w:hint="eastAsia" w:ascii="宋体" w:hAnsi="宋体" w:cs="宋体"/>
          <w:sz w:val="24"/>
          <w:szCs w:val="24"/>
        </w:rPr>
        <w:t>3.投标函；</w:t>
      </w:r>
    </w:p>
    <w:p w14:paraId="63785646">
      <w:pPr>
        <w:pStyle w:val="45"/>
        <w:spacing w:line="360" w:lineRule="auto"/>
        <w:ind w:firstLine="480" w:firstLineChars="200"/>
        <w:rPr>
          <w:rFonts w:hint="eastAsia" w:ascii="宋体" w:hAnsi="宋体" w:cs="宋体"/>
          <w:sz w:val="24"/>
          <w:szCs w:val="24"/>
        </w:rPr>
      </w:pPr>
      <w:r>
        <w:rPr>
          <w:rFonts w:hint="eastAsia" w:ascii="宋体" w:hAnsi="宋体" w:cs="宋体"/>
          <w:sz w:val="24"/>
          <w:szCs w:val="24"/>
        </w:rPr>
        <w:t>4.采购需求；</w:t>
      </w:r>
    </w:p>
    <w:p w14:paraId="137BBB7B">
      <w:pPr>
        <w:pStyle w:val="45"/>
        <w:spacing w:line="360" w:lineRule="auto"/>
        <w:ind w:firstLine="480" w:firstLineChars="200"/>
        <w:rPr>
          <w:rFonts w:hint="eastAsia" w:ascii="宋体" w:hAnsi="宋体" w:cs="宋体"/>
          <w:sz w:val="24"/>
          <w:szCs w:val="24"/>
        </w:rPr>
      </w:pPr>
      <w:r>
        <w:rPr>
          <w:rFonts w:hint="eastAsia" w:ascii="宋体" w:hAnsi="宋体" w:cs="宋体"/>
          <w:sz w:val="24"/>
          <w:szCs w:val="24"/>
        </w:rPr>
        <w:t>5.报价清单；</w:t>
      </w:r>
    </w:p>
    <w:p w14:paraId="074E1631">
      <w:pPr>
        <w:pStyle w:val="45"/>
        <w:spacing w:line="360" w:lineRule="auto"/>
        <w:ind w:firstLine="480" w:firstLineChars="200"/>
        <w:rPr>
          <w:rFonts w:hint="eastAsia" w:ascii="宋体" w:hAnsi="宋体" w:cs="宋体"/>
          <w:sz w:val="24"/>
          <w:szCs w:val="24"/>
        </w:rPr>
      </w:pPr>
      <w:r>
        <w:rPr>
          <w:rFonts w:hint="eastAsia" w:ascii="宋体" w:hAnsi="宋体" w:cs="宋体"/>
          <w:sz w:val="24"/>
          <w:szCs w:val="24"/>
        </w:rPr>
        <w:t>6.</w:t>
      </w:r>
      <w:r>
        <w:rPr>
          <w:rFonts w:hint="eastAsia" w:ascii="宋体" w:hAnsi="宋体" w:cs="宋体"/>
          <w:sz w:val="24"/>
          <w:szCs w:val="24"/>
          <w:lang w:eastAsia="zh-CN"/>
        </w:rPr>
        <w:t>评价</w:t>
      </w:r>
      <w:r>
        <w:rPr>
          <w:rFonts w:hint="eastAsia" w:ascii="宋体" w:hAnsi="宋体" w:cs="宋体"/>
          <w:sz w:val="24"/>
          <w:szCs w:val="24"/>
        </w:rPr>
        <w:t>方案；</w:t>
      </w:r>
    </w:p>
    <w:p w14:paraId="1F61B633">
      <w:pPr>
        <w:pStyle w:val="45"/>
        <w:spacing w:line="360" w:lineRule="auto"/>
        <w:ind w:firstLine="480" w:firstLineChars="200"/>
        <w:rPr>
          <w:rFonts w:hint="eastAsia" w:ascii="宋体" w:hAnsi="宋体" w:cs="宋体"/>
          <w:sz w:val="24"/>
          <w:szCs w:val="24"/>
        </w:rPr>
      </w:pPr>
      <w:r>
        <w:rPr>
          <w:rFonts w:hint="eastAsia" w:ascii="宋体" w:hAnsi="宋体" w:cs="宋体"/>
          <w:sz w:val="24"/>
          <w:szCs w:val="24"/>
        </w:rPr>
        <w:t>7.构成本合同组成部分的其他文件(补遗书、澄清函)。</w:t>
      </w:r>
    </w:p>
    <w:p w14:paraId="0B48F799">
      <w:pPr>
        <w:pStyle w:val="45"/>
        <w:spacing w:line="360" w:lineRule="auto"/>
        <w:ind w:firstLine="480" w:firstLineChars="200"/>
        <w:rPr>
          <w:rFonts w:hint="eastAsia" w:ascii="宋体" w:hAnsi="宋体" w:cs="宋体"/>
          <w:sz w:val="24"/>
          <w:szCs w:val="24"/>
        </w:rPr>
      </w:pPr>
      <w:r>
        <w:rPr>
          <w:rFonts w:hint="eastAsia" w:ascii="宋体" w:hAnsi="宋体" w:cs="宋体"/>
          <w:sz w:val="24"/>
          <w:szCs w:val="24"/>
        </w:rPr>
        <w:t>上述合同文件互相补充和解释。如果合同文件之间存在矛盾或不一致之处，以上述文件的排列顺序在先者为准。</w:t>
      </w:r>
    </w:p>
    <w:p w14:paraId="782824A7">
      <w:pPr>
        <w:pStyle w:val="45"/>
        <w:spacing w:line="360" w:lineRule="auto"/>
        <w:ind w:firstLine="482" w:firstLineChars="200"/>
        <w:rPr>
          <w:rFonts w:hint="eastAsia" w:ascii="宋体" w:hAnsi="宋体" w:cs="宋体"/>
          <w:b/>
          <w:bCs/>
          <w:sz w:val="24"/>
          <w:szCs w:val="24"/>
        </w:rPr>
      </w:pPr>
      <w:r>
        <w:rPr>
          <w:rFonts w:hint="eastAsia" w:ascii="宋体" w:hAnsi="宋体" w:cs="宋体"/>
          <w:b/>
          <w:bCs/>
          <w:sz w:val="24"/>
          <w:szCs w:val="24"/>
        </w:rPr>
        <w:t>第二条 甲方委托乙方进行服务的内容如下：</w:t>
      </w:r>
    </w:p>
    <w:p w14:paraId="4224C888">
      <w:pPr>
        <w:pStyle w:val="45"/>
        <w:spacing w:line="360" w:lineRule="auto"/>
        <w:ind w:firstLine="480" w:firstLineChars="200"/>
        <w:rPr>
          <w:rFonts w:hint="eastAsia" w:ascii="宋体" w:hAnsi="宋体" w:cs="宋体"/>
          <w:sz w:val="24"/>
          <w:szCs w:val="24"/>
        </w:rPr>
      </w:pPr>
      <w:r>
        <w:rPr>
          <w:rFonts w:hint="eastAsia" w:ascii="宋体" w:hAnsi="宋体" w:cs="宋体"/>
          <w:sz w:val="24"/>
          <w:szCs w:val="24"/>
        </w:rPr>
        <w:t>1．项目名称：</w:t>
      </w:r>
      <w:r>
        <w:rPr>
          <w:rFonts w:hint="eastAsia" w:ascii="宋体" w:hAnsi="宋体" w:cs="宋体"/>
          <w:bCs/>
          <w:sz w:val="24"/>
          <w:szCs w:val="24"/>
          <w:u w:val="single"/>
        </w:rPr>
        <w:t>红水河（曹渡河口至桥巩）三级航道</w:t>
      </w:r>
      <w:r>
        <w:rPr>
          <w:rFonts w:hint="eastAsia" w:ascii="宋体" w:hAnsi="宋体" w:cs="宋体"/>
          <w:bCs/>
          <w:sz w:val="24"/>
          <w:szCs w:val="24"/>
          <w:u w:val="single"/>
          <w:lang w:eastAsia="zh-CN"/>
        </w:rPr>
        <w:t>工程对广西忻城乐滩国家湿地公园生态影响评价服务</w:t>
      </w:r>
    </w:p>
    <w:p w14:paraId="31FB9243">
      <w:pPr>
        <w:pStyle w:val="45"/>
        <w:spacing w:line="360" w:lineRule="auto"/>
        <w:ind w:firstLine="480" w:firstLineChars="200"/>
        <w:rPr>
          <w:rFonts w:hint="eastAsia" w:ascii="宋体" w:hAnsi="宋体" w:cs="宋体"/>
          <w:sz w:val="24"/>
          <w:szCs w:val="24"/>
          <w:u w:val="single"/>
        </w:rPr>
      </w:pPr>
      <w:r>
        <w:rPr>
          <w:rFonts w:hint="eastAsia" w:ascii="宋体" w:hAnsi="宋体" w:cs="宋体"/>
          <w:sz w:val="24"/>
          <w:szCs w:val="24"/>
        </w:rPr>
        <w:t>2．服务的内容：红水河（曹渡河口至桥巩）三级航道</w:t>
      </w:r>
      <w:r>
        <w:rPr>
          <w:rFonts w:hint="eastAsia" w:ascii="宋体" w:hAnsi="宋体" w:cs="宋体"/>
          <w:sz w:val="24"/>
          <w:szCs w:val="24"/>
          <w:lang w:eastAsia="zh-CN"/>
        </w:rPr>
        <w:t>工程对广西忻城乐滩国家湿地公园生态影响评价服务，</w:t>
      </w:r>
      <w:r>
        <w:rPr>
          <w:rFonts w:hint="eastAsia" w:ascii="宋体" w:hAnsi="宋体" w:cs="宋体"/>
          <w:sz w:val="24"/>
          <w:szCs w:val="24"/>
          <w:lang w:val="zh-CN"/>
        </w:rPr>
        <w:t>包括开展广西忻城乐滩国家湿地公园生物多样性现状调查、分析建设项目对湿地公园的影响预测、提出减缓影响的措施等，编制《红水河（曹渡河口至桥巩）三级航道工程对广西忻城乐滩国家湿地公园生态影响评价报告》</w:t>
      </w:r>
      <w:r>
        <w:rPr>
          <w:rFonts w:hint="eastAsia" w:ascii="宋体" w:hAnsi="宋体" w:cs="宋体"/>
          <w:sz w:val="24"/>
          <w:szCs w:val="24"/>
        </w:rPr>
        <w:t>。</w:t>
      </w:r>
    </w:p>
    <w:p w14:paraId="548C67F1">
      <w:pPr>
        <w:pStyle w:val="45"/>
        <w:spacing w:line="360" w:lineRule="auto"/>
        <w:ind w:firstLine="480" w:firstLineChars="200"/>
        <w:rPr>
          <w:rFonts w:hint="eastAsia" w:ascii="宋体" w:hAnsi="宋体" w:cs="宋体"/>
          <w:sz w:val="24"/>
          <w:szCs w:val="24"/>
        </w:rPr>
      </w:pPr>
      <w:r>
        <w:rPr>
          <w:rFonts w:hint="eastAsia" w:ascii="宋体" w:hAnsi="宋体" w:cs="宋体"/>
          <w:sz w:val="24"/>
          <w:szCs w:val="24"/>
        </w:rPr>
        <w:t>3．服务的标准：</w:t>
      </w:r>
      <w:r>
        <w:rPr>
          <w:rFonts w:hint="eastAsia" w:ascii="宋体" w:hAnsi="宋体" w:cs="宋体"/>
          <w:sz w:val="24"/>
          <w:szCs w:val="24"/>
          <w:u w:val="single"/>
        </w:rPr>
        <w:t>执行国家和行业现行相关的技术标准、规范和规程。在项目实施过程中，如国家或有关部门颁布了新的技术标准，则</w:t>
      </w:r>
      <w:r>
        <w:rPr>
          <w:rFonts w:hint="eastAsia" w:ascii="宋体" w:hAnsi="宋体" w:cs="宋体"/>
          <w:sz w:val="24"/>
          <w:szCs w:val="24"/>
          <w:u w:val="single"/>
          <w:lang w:eastAsia="zh-CN"/>
        </w:rPr>
        <w:t>乙方</w:t>
      </w:r>
      <w:r>
        <w:rPr>
          <w:rFonts w:hint="eastAsia" w:ascii="宋体" w:hAnsi="宋体" w:cs="宋体"/>
          <w:sz w:val="24"/>
          <w:szCs w:val="24"/>
          <w:u w:val="single"/>
        </w:rPr>
        <w:t>应采用新的标准。</w:t>
      </w:r>
      <w:r>
        <w:rPr>
          <w:rFonts w:hint="eastAsia" w:ascii="宋体" w:hAnsi="宋体" w:cs="宋体"/>
          <w:sz w:val="24"/>
          <w:szCs w:val="24"/>
          <w:u w:val="single"/>
          <w:lang w:eastAsia="zh-CN"/>
        </w:rPr>
        <w:t>工作</w:t>
      </w:r>
      <w:r>
        <w:rPr>
          <w:rFonts w:hint="eastAsia" w:ascii="宋体" w:hAnsi="宋体" w:cs="宋体"/>
          <w:sz w:val="24"/>
          <w:szCs w:val="24"/>
          <w:u w:val="single"/>
        </w:rPr>
        <w:t>成果</w:t>
      </w:r>
      <w:r>
        <w:rPr>
          <w:rFonts w:hint="eastAsia" w:ascii="宋体" w:hAnsi="宋体" w:cs="宋体"/>
          <w:sz w:val="24"/>
          <w:szCs w:val="24"/>
          <w:u w:val="single"/>
          <w:lang w:val="en-GB"/>
        </w:rPr>
        <w:t>通过专家评审</w:t>
      </w:r>
      <w:r>
        <w:rPr>
          <w:rFonts w:hint="eastAsia" w:ascii="宋体" w:hAnsi="宋体" w:cs="宋体"/>
          <w:sz w:val="24"/>
          <w:szCs w:val="24"/>
          <w:u w:val="single"/>
          <w:lang w:val="en-GB" w:eastAsia="zh-CN"/>
        </w:rPr>
        <w:t>、</w:t>
      </w:r>
      <w:r>
        <w:rPr>
          <w:rFonts w:hint="eastAsia" w:ascii="宋体" w:hAnsi="宋体" w:cs="宋体"/>
          <w:sz w:val="24"/>
          <w:szCs w:val="24"/>
          <w:u w:val="single"/>
          <w:lang w:val="en-GB"/>
        </w:rPr>
        <w:t>验收合格</w:t>
      </w:r>
      <w:r>
        <w:rPr>
          <w:rFonts w:hint="eastAsia" w:ascii="宋体" w:hAnsi="宋体" w:cs="宋体"/>
          <w:sz w:val="24"/>
          <w:szCs w:val="24"/>
          <w:u w:val="single"/>
        </w:rPr>
        <w:t>。</w:t>
      </w:r>
      <w:r>
        <w:rPr>
          <w:rFonts w:hint="eastAsia" w:ascii="宋体" w:hAnsi="宋体" w:cs="宋体"/>
          <w:sz w:val="24"/>
          <w:szCs w:val="24"/>
        </w:rPr>
        <w:t xml:space="preserve"> </w:t>
      </w:r>
    </w:p>
    <w:p w14:paraId="49C7F7E5">
      <w:pPr>
        <w:pStyle w:val="45"/>
        <w:spacing w:line="360" w:lineRule="auto"/>
        <w:ind w:firstLine="482" w:firstLineChars="200"/>
        <w:rPr>
          <w:rFonts w:hint="eastAsia" w:ascii="宋体" w:hAnsi="宋体" w:cs="宋体"/>
          <w:b/>
          <w:bCs/>
          <w:sz w:val="24"/>
          <w:szCs w:val="24"/>
        </w:rPr>
      </w:pPr>
      <w:r>
        <w:rPr>
          <w:rFonts w:hint="eastAsia" w:ascii="宋体" w:hAnsi="宋体" w:cs="宋体"/>
          <w:b/>
          <w:bCs/>
          <w:sz w:val="24"/>
          <w:szCs w:val="24"/>
        </w:rPr>
        <w:t>第三条 乙方应按下列要求完成服务工作：</w:t>
      </w:r>
    </w:p>
    <w:p w14:paraId="194BBF54">
      <w:pPr>
        <w:pStyle w:val="45"/>
        <w:spacing w:line="360" w:lineRule="auto"/>
        <w:ind w:firstLine="480" w:firstLineChars="200"/>
        <w:rPr>
          <w:rFonts w:hint="eastAsia" w:ascii="宋体" w:hAnsi="宋体" w:cs="宋体"/>
          <w:sz w:val="24"/>
          <w:szCs w:val="24"/>
          <w:u w:val="single"/>
        </w:rPr>
      </w:pPr>
      <w:r>
        <w:rPr>
          <w:rFonts w:hint="eastAsia" w:ascii="宋体" w:hAnsi="宋体" w:cs="宋体"/>
          <w:sz w:val="24"/>
          <w:szCs w:val="24"/>
        </w:rPr>
        <w:t>1．服务地点：</w:t>
      </w:r>
      <w:r>
        <w:rPr>
          <w:rFonts w:hint="eastAsia" w:ascii="宋体" w:hAnsi="宋体" w:cs="宋体"/>
          <w:sz w:val="24"/>
          <w:szCs w:val="24"/>
          <w:u w:val="single"/>
        </w:rPr>
        <w:t xml:space="preserve"> 采购人办公地点。采购人可根据需要指定其他地点  </w:t>
      </w:r>
      <w:r>
        <w:rPr>
          <w:rFonts w:hint="eastAsia" w:ascii="宋体" w:hAnsi="宋体" w:cs="宋体"/>
          <w:sz w:val="24"/>
          <w:szCs w:val="24"/>
        </w:rPr>
        <w:t>。</w:t>
      </w:r>
    </w:p>
    <w:p w14:paraId="482B1EF9">
      <w:pPr>
        <w:pStyle w:val="45"/>
        <w:spacing w:line="360" w:lineRule="auto"/>
        <w:ind w:firstLine="480" w:firstLineChars="200"/>
        <w:rPr>
          <w:rFonts w:hint="eastAsia" w:ascii="宋体" w:hAnsi="宋体" w:cs="宋体"/>
          <w:sz w:val="24"/>
          <w:szCs w:val="24"/>
        </w:rPr>
      </w:pPr>
      <w:r>
        <w:rPr>
          <w:rFonts w:hint="eastAsia" w:ascii="宋体" w:hAnsi="宋体" w:cs="宋体"/>
          <w:sz w:val="24"/>
          <w:szCs w:val="24"/>
        </w:rPr>
        <w:t>2．服务期限：</w:t>
      </w:r>
    </w:p>
    <w:p w14:paraId="7759C45A">
      <w:pPr>
        <w:pStyle w:val="45"/>
        <w:spacing w:line="360" w:lineRule="auto"/>
        <w:ind w:firstLine="480" w:firstLineChars="200"/>
        <w:rPr>
          <w:rFonts w:hint="eastAsia" w:ascii="宋体" w:hAnsi="宋体" w:cs="宋体"/>
          <w:sz w:val="24"/>
          <w:szCs w:val="24"/>
        </w:rPr>
      </w:pPr>
      <w:r>
        <w:rPr>
          <w:rFonts w:hint="eastAsia" w:ascii="宋体" w:hAnsi="宋体" w:cs="宋体"/>
          <w:sz w:val="24"/>
          <w:szCs w:val="24"/>
        </w:rPr>
        <w:t>总工期为</w:t>
      </w:r>
      <w:r>
        <w:rPr>
          <w:rFonts w:hint="eastAsia" w:ascii="宋体" w:hAnsi="宋体" w:cs="宋体"/>
          <w:sz w:val="24"/>
          <w:szCs w:val="24"/>
          <w:lang w:val="en-US" w:eastAsia="zh-CN"/>
        </w:rPr>
        <w:t>90</w:t>
      </w:r>
      <w:r>
        <w:rPr>
          <w:rFonts w:hint="eastAsia" w:ascii="宋体" w:hAnsi="宋体" w:cs="宋体"/>
          <w:sz w:val="24"/>
          <w:szCs w:val="24"/>
        </w:rPr>
        <w:t>日历天。具体如下：</w:t>
      </w:r>
    </w:p>
    <w:p w14:paraId="73DFF919">
      <w:pPr>
        <w:pStyle w:val="45"/>
        <w:spacing w:line="360" w:lineRule="auto"/>
        <w:ind w:firstLine="480" w:firstLineChars="200"/>
        <w:rPr>
          <w:rFonts w:hint="eastAsia" w:ascii="宋体" w:hAnsi="宋体" w:cs="宋体"/>
          <w:sz w:val="24"/>
          <w:szCs w:val="24"/>
        </w:rPr>
      </w:pPr>
      <w:r>
        <w:rPr>
          <w:rFonts w:hint="eastAsia" w:ascii="宋体" w:hAnsi="宋体" w:cs="宋体"/>
          <w:sz w:val="24"/>
          <w:szCs w:val="24"/>
        </w:rPr>
        <w:t>（1）合同签订后</w:t>
      </w:r>
      <w:r>
        <w:rPr>
          <w:rFonts w:hint="eastAsia" w:ascii="宋体" w:hAnsi="宋体" w:cs="宋体"/>
          <w:sz w:val="24"/>
          <w:szCs w:val="24"/>
          <w:lang w:val="en-US" w:eastAsia="zh-CN"/>
        </w:rPr>
        <w:t>75</w:t>
      </w:r>
      <w:r>
        <w:rPr>
          <w:rFonts w:hint="eastAsia" w:ascii="宋体" w:hAnsi="宋体" w:cs="宋体"/>
          <w:sz w:val="24"/>
          <w:szCs w:val="24"/>
        </w:rPr>
        <w:t>日历天内，提交</w:t>
      </w:r>
      <w:r>
        <w:rPr>
          <w:rFonts w:hint="eastAsia" w:ascii="宋体" w:hAnsi="宋体" w:cs="宋体"/>
          <w:sz w:val="24"/>
          <w:szCs w:val="24"/>
          <w:lang w:eastAsia="zh-CN"/>
        </w:rPr>
        <w:t>影响评价</w:t>
      </w:r>
      <w:r>
        <w:rPr>
          <w:rFonts w:hint="eastAsia" w:ascii="宋体" w:hAnsi="宋体" w:cs="宋体"/>
          <w:sz w:val="24"/>
          <w:szCs w:val="24"/>
        </w:rPr>
        <w:t>报告送审稿。</w:t>
      </w:r>
    </w:p>
    <w:p w14:paraId="6FC1EBC0">
      <w:pPr>
        <w:pStyle w:val="45"/>
        <w:spacing w:line="360" w:lineRule="auto"/>
        <w:ind w:firstLine="480" w:firstLineChars="200"/>
        <w:rPr>
          <w:rFonts w:hint="eastAsia" w:ascii="宋体" w:hAnsi="宋体" w:cs="宋体"/>
          <w:sz w:val="24"/>
          <w:szCs w:val="24"/>
        </w:rPr>
      </w:pPr>
      <w:r>
        <w:rPr>
          <w:rFonts w:hint="eastAsia" w:ascii="宋体" w:hAnsi="宋体" w:cs="宋体"/>
          <w:sz w:val="24"/>
          <w:szCs w:val="24"/>
        </w:rPr>
        <w:t>（2）报告评审会后15日历天内，提交报告报批稿。</w:t>
      </w:r>
    </w:p>
    <w:p w14:paraId="4BDEB1B8">
      <w:pPr>
        <w:pStyle w:val="45"/>
        <w:spacing w:line="360" w:lineRule="auto"/>
        <w:ind w:firstLine="480" w:firstLineChars="200"/>
        <w:rPr>
          <w:rFonts w:hint="eastAsia" w:ascii="宋体" w:hAnsi="宋体" w:cs="宋体"/>
          <w:sz w:val="24"/>
          <w:szCs w:val="24"/>
          <w:u w:val="single"/>
        </w:rPr>
      </w:pPr>
      <w:r>
        <w:rPr>
          <w:rFonts w:hint="eastAsia" w:ascii="宋体" w:hAnsi="宋体" w:cs="宋体"/>
          <w:sz w:val="24"/>
          <w:szCs w:val="24"/>
        </w:rPr>
        <w:t>成果</w:t>
      </w:r>
      <w:r>
        <w:rPr>
          <w:rFonts w:hint="eastAsia" w:ascii="宋体" w:hAnsi="宋体" w:cs="宋体"/>
          <w:sz w:val="24"/>
          <w:szCs w:val="24"/>
          <w:lang w:eastAsia="zh-CN"/>
        </w:rPr>
        <w:t>评审</w:t>
      </w:r>
      <w:r>
        <w:rPr>
          <w:rFonts w:hint="eastAsia" w:ascii="宋体" w:hAnsi="宋体" w:cs="宋体"/>
          <w:sz w:val="24"/>
          <w:szCs w:val="24"/>
        </w:rPr>
        <w:t>验收时间另行计算，不计入总工期</w:t>
      </w:r>
      <w:r>
        <w:rPr>
          <w:rFonts w:hint="eastAsia" w:ascii="宋体" w:hAnsi="宋体" w:cs="宋体"/>
          <w:b/>
          <w:bCs/>
          <w:sz w:val="24"/>
          <w:szCs w:val="24"/>
        </w:rPr>
        <w:t>。</w:t>
      </w:r>
    </w:p>
    <w:p w14:paraId="338E77C8">
      <w:pPr>
        <w:pStyle w:val="45"/>
        <w:spacing w:line="360" w:lineRule="auto"/>
        <w:ind w:firstLine="482" w:firstLineChars="200"/>
        <w:rPr>
          <w:rFonts w:hint="eastAsia" w:ascii="宋体" w:hAnsi="宋体" w:cs="宋体"/>
          <w:b/>
          <w:bCs/>
          <w:sz w:val="24"/>
          <w:szCs w:val="24"/>
        </w:rPr>
      </w:pPr>
      <w:r>
        <w:rPr>
          <w:rFonts w:hint="eastAsia" w:ascii="宋体" w:hAnsi="宋体" w:cs="宋体"/>
          <w:b/>
          <w:bCs/>
          <w:sz w:val="24"/>
          <w:szCs w:val="24"/>
        </w:rPr>
        <w:t>3．提交成果要求：</w:t>
      </w:r>
    </w:p>
    <w:p w14:paraId="4A86CC53">
      <w:pPr>
        <w:pStyle w:val="45"/>
        <w:spacing w:line="360" w:lineRule="auto"/>
        <w:ind w:firstLine="482" w:firstLineChars="200"/>
        <w:rPr>
          <w:rFonts w:hint="eastAsia" w:ascii="宋体" w:hAnsi="宋体" w:cs="宋体"/>
          <w:b/>
          <w:bCs/>
          <w:sz w:val="24"/>
          <w:szCs w:val="24"/>
        </w:rPr>
      </w:pPr>
      <w:r>
        <w:rPr>
          <w:rFonts w:hint="eastAsia" w:ascii="宋体" w:hAnsi="宋体" w:cs="宋体"/>
          <w:b/>
          <w:bCs/>
          <w:sz w:val="24"/>
          <w:szCs w:val="24"/>
          <w:lang w:val="en-US" w:eastAsia="zh-CN"/>
        </w:rPr>
        <w:t>（1）</w:t>
      </w:r>
      <w:r>
        <w:rPr>
          <w:rFonts w:hint="eastAsia" w:ascii="宋体" w:hAnsi="宋体" w:cs="宋体"/>
          <w:b/>
          <w:bCs/>
          <w:sz w:val="24"/>
          <w:szCs w:val="24"/>
        </w:rPr>
        <w:t>成果内容</w:t>
      </w:r>
    </w:p>
    <w:p w14:paraId="1AA971D0">
      <w:pPr>
        <w:pStyle w:val="45"/>
        <w:spacing w:line="360" w:lineRule="auto"/>
        <w:ind w:firstLine="482" w:firstLineChars="200"/>
        <w:rPr>
          <w:rFonts w:hint="eastAsia" w:ascii="宋体" w:hAnsi="宋体" w:cs="宋体"/>
          <w:b/>
          <w:bCs/>
          <w:sz w:val="24"/>
          <w:szCs w:val="24"/>
          <w:lang w:val="en-US" w:eastAsia="zh-CN"/>
        </w:rPr>
      </w:pPr>
      <w:r>
        <w:rPr>
          <w:rFonts w:hint="eastAsia" w:ascii="宋体" w:hAnsi="宋体" w:cs="宋体"/>
          <w:b/>
          <w:bCs/>
          <w:sz w:val="24"/>
          <w:szCs w:val="24"/>
          <w:lang w:eastAsia="zh-CN"/>
        </w:rPr>
        <w:t>成果内容包括：</w:t>
      </w:r>
      <w:r>
        <w:rPr>
          <w:rFonts w:hint="eastAsia" w:ascii="宋体" w:hAnsi="宋体" w:cs="宋体"/>
          <w:b/>
          <w:bCs/>
          <w:sz w:val="24"/>
          <w:szCs w:val="24"/>
          <w:lang w:val="zh-CN"/>
        </w:rPr>
        <w:t>《红水河（曹渡河口至桥巩）三级航道工程对广西忻城乐滩国家湿地公园生态影响评价报告》</w:t>
      </w:r>
      <w:r>
        <w:rPr>
          <w:rFonts w:hint="eastAsia" w:ascii="宋体" w:hAnsi="宋体" w:cs="宋体"/>
          <w:b/>
          <w:bCs/>
          <w:sz w:val="24"/>
          <w:szCs w:val="24"/>
        </w:rPr>
        <w:t>。</w:t>
      </w:r>
    </w:p>
    <w:p w14:paraId="057CAF50">
      <w:pPr>
        <w:pStyle w:val="45"/>
        <w:spacing w:line="360" w:lineRule="auto"/>
        <w:ind w:firstLine="482" w:firstLineChars="200"/>
        <w:rPr>
          <w:rFonts w:hint="eastAsia" w:ascii="宋体" w:hAnsi="宋体" w:cs="宋体"/>
          <w:b/>
          <w:bCs/>
          <w:sz w:val="24"/>
          <w:szCs w:val="24"/>
          <w:lang w:val="en-US" w:eastAsia="zh-CN"/>
        </w:rPr>
      </w:pPr>
      <w:r>
        <w:rPr>
          <w:rFonts w:hint="eastAsia" w:ascii="宋体" w:hAnsi="宋体" w:cs="宋体"/>
          <w:b/>
          <w:bCs/>
          <w:sz w:val="24"/>
          <w:szCs w:val="24"/>
          <w:lang w:val="en-US" w:eastAsia="zh-CN"/>
        </w:rPr>
        <w:t>（2）成果形式要求</w:t>
      </w:r>
    </w:p>
    <w:p w14:paraId="1CBE663C">
      <w:pPr>
        <w:pStyle w:val="45"/>
        <w:spacing w:line="360" w:lineRule="auto"/>
        <w:ind w:firstLine="482" w:firstLineChars="200"/>
        <w:rPr>
          <w:rFonts w:hint="eastAsia" w:ascii="宋体" w:hAnsi="宋体" w:cs="宋体"/>
          <w:b/>
          <w:bCs/>
          <w:sz w:val="24"/>
          <w:szCs w:val="24"/>
          <w:lang w:eastAsia="zh-CN"/>
        </w:rPr>
      </w:pPr>
      <w:r>
        <w:rPr>
          <w:rFonts w:hint="eastAsia" w:ascii="宋体" w:hAnsi="宋体" w:cs="宋体"/>
          <w:b/>
          <w:bCs/>
          <w:sz w:val="24"/>
          <w:szCs w:val="24"/>
        </w:rPr>
        <w:t>成果形式</w:t>
      </w:r>
      <w:r>
        <w:rPr>
          <w:rFonts w:hint="eastAsia" w:ascii="宋体" w:hAnsi="宋体" w:cs="宋体"/>
          <w:b/>
          <w:bCs/>
          <w:sz w:val="24"/>
          <w:szCs w:val="24"/>
          <w:lang w:eastAsia="zh-CN"/>
        </w:rPr>
        <w:t>包括：纸质成果和电子成果。要求如下：</w:t>
      </w:r>
    </w:p>
    <w:p w14:paraId="3C163684">
      <w:pPr>
        <w:pStyle w:val="45"/>
        <w:spacing w:line="360" w:lineRule="auto"/>
        <w:ind w:firstLine="482" w:firstLineChars="200"/>
        <w:rPr>
          <w:rFonts w:hint="eastAsia" w:ascii="宋体" w:hAnsi="宋体" w:cs="宋体"/>
          <w:b/>
          <w:bCs/>
          <w:sz w:val="24"/>
          <w:szCs w:val="24"/>
          <w:lang w:eastAsia="zh-CN"/>
        </w:rPr>
      </w:pPr>
      <w:r>
        <w:rPr>
          <w:rFonts w:hint="eastAsia" w:ascii="宋体" w:hAnsi="宋体" w:eastAsia="宋体" w:cs="宋体"/>
          <w:b/>
          <w:bCs/>
          <w:sz w:val="24"/>
          <w:szCs w:val="24"/>
          <w:lang w:eastAsia="zh-CN"/>
        </w:rPr>
        <w:t>①</w:t>
      </w:r>
      <w:r>
        <w:rPr>
          <w:rFonts w:hint="eastAsia" w:ascii="宋体" w:hAnsi="宋体" w:cs="宋体"/>
          <w:b/>
          <w:bCs/>
          <w:sz w:val="24"/>
          <w:szCs w:val="24"/>
        </w:rPr>
        <w:t>纸质成果：最终成果文</w:t>
      </w:r>
      <w:r>
        <w:rPr>
          <w:rFonts w:hint="eastAsia" w:ascii="宋体" w:hAnsi="宋体" w:cs="宋体"/>
          <w:b/>
          <w:bCs/>
          <w:sz w:val="24"/>
          <w:szCs w:val="24"/>
          <w:lang w:eastAsia="zh-CN"/>
        </w:rPr>
        <w:t>件需按规定签字或签章，并加盖单位公章</w:t>
      </w:r>
      <w:r>
        <w:rPr>
          <w:rFonts w:hint="eastAsia" w:ascii="宋体" w:hAnsi="宋体" w:cs="宋体"/>
          <w:b/>
          <w:bCs/>
          <w:sz w:val="24"/>
          <w:szCs w:val="24"/>
        </w:rPr>
        <w:t>。</w:t>
      </w:r>
    </w:p>
    <w:p w14:paraId="4024D142">
      <w:pPr>
        <w:pStyle w:val="45"/>
        <w:spacing w:line="360" w:lineRule="auto"/>
        <w:ind w:firstLine="482" w:firstLineChars="200"/>
        <w:rPr>
          <w:rFonts w:hint="eastAsia" w:ascii="宋体" w:hAnsi="宋体" w:cs="宋体"/>
          <w:b/>
          <w:bCs/>
          <w:sz w:val="24"/>
          <w:szCs w:val="24"/>
          <w:lang w:val="en-US" w:eastAsia="zh-CN"/>
        </w:rPr>
      </w:pPr>
      <w:r>
        <w:rPr>
          <w:rFonts w:hint="eastAsia" w:ascii="宋体" w:hAnsi="宋体" w:eastAsia="宋体" w:cs="宋体"/>
          <w:b/>
          <w:bCs/>
          <w:sz w:val="24"/>
          <w:szCs w:val="24"/>
          <w:lang w:eastAsia="zh-CN"/>
        </w:rPr>
        <w:t>②</w:t>
      </w:r>
      <w:r>
        <w:rPr>
          <w:rFonts w:hint="eastAsia" w:ascii="宋体" w:hAnsi="宋体" w:cs="宋体"/>
          <w:b/>
          <w:bCs/>
          <w:sz w:val="24"/>
          <w:szCs w:val="24"/>
        </w:rPr>
        <w:t>电子成果：</w:t>
      </w:r>
      <w:r>
        <w:rPr>
          <w:rFonts w:hint="eastAsia" w:ascii="宋体" w:hAnsi="宋体" w:cs="宋体"/>
          <w:b/>
          <w:bCs/>
          <w:sz w:val="24"/>
          <w:szCs w:val="24"/>
          <w:lang w:val="en-US" w:eastAsia="zh-CN"/>
        </w:rPr>
        <w:t>所有最终成果应提供电子文件，包括可编辑文档（</w:t>
      </w:r>
      <w:r>
        <w:rPr>
          <w:rFonts w:hint="eastAsia" w:ascii="宋体" w:hAnsi="宋体" w:cs="宋体"/>
          <w:b/>
          <w:bCs/>
          <w:sz w:val="24"/>
          <w:szCs w:val="24"/>
        </w:rPr>
        <w:t>文字为WORD格式、图纸为可编辑的CAD格式</w:t>
      </w:r>
      <w:r>
        <w:rPr>
          <w:rFonts w:hint="eastAsia" w:ascii="宋体" w:hAnsi="宋体" w:cs="宋体"/>
          <w:b/>
          <w:bCs/>
          <w:sz w:val="24"/>
          <w:szCs w:val="24"/>
          <w:lang w:val="en-US" w:eastAsia="zh-CN"/>
        </w:rPr>
        <w:t>）和按要求签字、签章的成果文件PDF或扫描件。</w:t>
      </w:r>
    </w:p>
    <w:p w14:paraId="37A8996B">
      <w:pPr>
        <w:pStyle w:val="45"/>
        <w:spacing w:line="360" w:lineRule="auto"/>
        <w:ind w:firstLine="482" w:firstLineChars="200"/>
        <w:rPr>
          <w:rFonts w:hint="eastAsia" w:ascii="宋体" w:hAnsi="宋体" w:cs="宋体"/>
          <w:b/>
          <w:bCs/>
          <w:sz w:val="24"/>
          <w:szCs w:val="24"/>
        </w:rPr>
      </w:pPr>
      <w:r>
        <w:rPr>
          <w:rFonts w:hint="eastAsia" w:ascii="宋体" w:hAnsi="宋体" w:cs="宋体"/>
          <w:b/>
          <w:bCs/>
          <w:sz w:val="24"/>
          <w:szCs w:val="24"/>
          <w:lang w:val="en-US" w:eastAsia="zh-CN"/>
        </w:rPr>
        <w:t>（3）成果交付份数</w:t>
      </w:r>
    </w:p>
    <w:p w14:paraId="4ADDFA79">
      <w:pPr>
        <w:pStyle w:val="45"/>
        <w:spacing w:line="360" w:lineRule="auto"/>
        <w:ind w:firstLine="482" w:firstLineChars="200"/>
        <w:rPr>
          <w:rFonts w:hint="eastAsia" w:ascii="宋体" w:hAnsi="宋体" w:cs="宋体"/>
          <w:b/>
          <w:bCs/>
          <w:sz w:val="24"/>
          <w:szCs w:val="24"/>
          <w:lang w:val="en-US" w:eastAsia="zh-CN"/>
        </w:rPr>
      </w:pPr>
      <w:r>
        <w:rPr>
          <w:rFonts w:hint="eastAsia" w:ascii="宋体" w:hAnsi="宋体" w:eastAsia="宋体" w:cs="宋体"/>
          <w:b/>
          <w:bCs/>
          <w:sz w:val="24"/>
          <w:szCs w:val="24"/>
          <w:lang w:val="en-US" w:eastAsia="zh-CN"/>
        </w:rPr>
        <w:t>①</w:t>
      </w:r>
      <w:r>
        <w:rPr>
          <w:rFonts w:hint="eastAsia" w:ascii="宋体" w:hAnsi="宋体" w:cs="宋体"/>
          <w:b/>
          <w:bCs/>
          <w:sz w:val="24"/>
          <w:szCs w:val="24"/>
          <w:lang w:val="en-US" w:eastAsia="zh-CN"/>
        </w:rPr>
        <w:t>中间成果报告，一式30份，或者满足报告评审的需要。</w:t>
      </w:r>
    </w:p>
    <w:p w14:paraId="5F47F800">
      <w:pPr>
        <w:pStyle w:val="45"/>
        <w:spacing w:line="360" w:lineRule="auto"/>
        <w:ind w:firstLine="482" w:firstLineChars="200"/>
        <w:rPr>
          <w:rFonts w:hint="eastAsia" w:ascii="宋体" w:hAnsi="宋体" w:cs="宋体"/>
          <w:b/>
          <w:bCs/>
          <w:sz w:val="24"/>
          <w:szCs w:val="24"/>
          <w:lang w:val="en-US" w:eastAsia="zh-CN"/>
        </w:rPr>
      </w:pPr>
      <w:r>
        <w:rPr>
          <w:rFonts w:hint="eastAsia" w:ascii="宋体" w:hAnsi="宋体" w:eastAsia="宋体" w:cs="宋体"/>
          <w:b/>
          <w:bCs/>
          <w:sz w:val="24"/>
          <w:szCs w:val="24"/>
          <w:lang w:val="en-US" w:eastAsia="zh-CN"/>
        </w:rPr>
        <w:t>②</w:t>
      </w:r>
      <w:r>
        <w:rPr>
          <w:rFonts w:hint="eastAsia" w:ascii="宋体" w:hAnsi="宋体" w:cs="宋体"/>
          <w:b/>
          <w:bCs/>
          <w:sz w:val="24"/>
          <w:szCs w:val="24"/>
          <w:lang w:val="en-US" w:eastAsia="zh-CN"/>
        </w:rPr>
        <w:t>最终成果报告纸质文件各10份。</w:t>
      </w:r>
    </w:p>
    <w:p w14:paraId="4F856CE6">
      <w:pPr>
        <w:pStyle w:val="45"/>
        <w:spacing w:line="360" w:lineRule="auto"/>
        <w:ind w:firstLine="482" w:firstLineChars="200"/>
        <w:rPr>
          <w:rFonts w:hint="eastAsia" w:ascii="宋体" w:hAnsi="宋体" w:cs="宋体"/>
          <w:b/>
          <w:bCs/>
          <w:sz w:val="24"/>
          <w:szCs w:val="24"/>
          <w:lang w:eastAsia="zh-CN"/>
        </w:rPr>
      </w:pPr>
      <w:r>
        <w:rPr>
          <w:rFonts w:hint="eastAsia" w:ascii="宋体" w:hAnsi="宋体" w:eastAsia="宋体" w:cs="宋体"/>
          <w:b/>
          <w:bCs/>
          <w:sz w:val="24"/>
          <w:szCs w:val="24"/>
          <w:lang w:eastAsia="zh-CN"/>
        </w:rPr>
        <w:t>③</w:t>
      </w:r>
      <w:r>
        <w:rPr>
          <w:rFonts w:hint="eastAsia" w:ascii="宋体" w:hAnsi="宋体" w:cs="宋体"/>
          <w:b/>
          <w:bCs/>
          <w:sz w:val="24"/>
          <w:szCs w:val="24"/>
          <w:lang w:val="en-US" w:eastAsia="zh-CN"/>
        </w:rPr>
        <w:t>最终成果电子文件（包括可编辑文档和按要求签章的成果文件的PDF或扫描件）一式2份，光盘和U盘各1份贮存。</w:t>
      </w:r>
    </w:p>
    <w:p w14:paraId="6147D3E9">
      <w:pPr>
        <w:pStyle w:val="45"/>
        <w:spacing w:line="360" w:lineRule="auto"/>
        <w:ind w:firstLine="482" w:firstLineChars="200"/>
        <w:rPr>
          <w:rFonts w:hint="eastAsia" w:ascii="宋体" w:hAnsi="宋体" w:cs="宋体"/>
          <w:b/>
          <w:bCs/>
          <w:sz w:val="24"/>
          <w:szCs w:val="24"/>
        </w:rPr>
      </w:pPr>
      <w:r>
        <w:rPr>
          <w:rFonts w:hint="eastAsia" w:ascii="宋体" w:hAnsi="宋体" w:cs="宋体"/>
          <w:b/>
          <w:bCs/>
          <w:sz w:val="24"/>
          <w:szCs w:val="24"/>
          <w:lang w:val="en-US" w:eastAsia="zh-CN"/>
        </w:rPr>
        <w:t>（4）</w:t>
      </w:r>
      <w:r>
        <w:rPr>
          <w:rFonts w:hint="eastAsia" w:ascii="宋体" w:hAnsi="宋体" w:cs="宋体"/>
          <w:b/>
          <w:bCs/>
          <w:sz w:val="24"/>
          <w:szCs w:val="24"/>
        </w:rPr>
        <w:t>成果交付地点</w:t>
      </w:r>
    </w:p>
    <w:p w14:paraId="7F3C0083">
      <w:pPr>
        <w:pStyle w:val="45"/>
        <w:spacing w:line="360" w:lineRule="auto"/>
        <w:ind w:firstLine="482" w:firstLineChars="200"/>
        <w:rPr>
          <w:rFonts w:hint="eastAsia" w:ascii="宋体" w:hAnsi="宋体" w:cs="宋体"/>
          <w:b/>
          <w:bCs/>
          <w:sz w:val="24"/>
          <w:szCs w:val="24"/>
          <w:lang w:val="en-US" w:eastAsia="zh-CN"/>
        </w:rPr>
      </w:pPr>
      <w:r>
        <w:rPr>
          <w:rFonts w:hint="eastAsia" w:ascii="宋体" w:hAnsi="宋体" w:cs="宋体"/>
          <w:b/>
          <w:bCs/>
          <w:sz w:val="24"/>
          <w:szCs w:val="24"/>
          <w:lang w:eastAsia="zh-CN"/>
        </w:rPr>
        <w:t>成果交付地点为甲方</w:t>
      </w:r>
      <w:r>
        <w:rPr>
          <w:rFonts w:hint="eastAsia" w:ascii="宋体" w:hAnsi="宋体" w:cs="宋体"/>
          <w:b/>
          <w:bCs/>
          <w:sz w:val="24"/>
          <w:szCs w:val="24"/>
        </w:rPr>
        <w:t>办公地点</w:t>
      </w:r>
      <w:r>
        <w:rPr>
          <w:rFonts w:hint="eastAsia" w:ascii="宋体" w:hAnsi="宋体" w:cs="宋体"/>
          <w:b/>
          <w:bCs/>
          <w:sz w:val="24"/>
          <w:szCs w:val="24"/>
          <w:lang w:eastAsia="zh-CN"/>
        </w:rPr>
        <w:t>，甲方</w:t>
      </w:r>
      <w:r>
        <w:rPr>
          <w:rFonts w:hint="eastAsia" w:ascii="宋体" w:hAnsi="宋体" w:cs="宋体"/>
          <w:b/>
          <w:bCs/>
          <w:sz w:val="24"/>
          <w:szCs w:val="24"/>
        </w:rPr>
        <w:t>可根据需要指定其他地点。</w:t>
      </w:r>
    </w:p>
    <w:p w14:paraId="73BF0B21">
      <w:pPr>
        <w:pStyle w:val="45"/>
        <w:spacing w:line="360" w:lineRule="auto"/>
        <w:ind w:firstLine="482" w:firstLineChars="200"/>
        <w:rPr>
          <w:rFonts w:hint="eastAsia" w:ascii="宋体" w:hAnsi="宋体" w:cs="宋体"/>
          <w:b/>
          <w:bCs/>
          <w:sz w:val="24"/>
          <w:szCs w:val="24"/>
          <w:lang w:val="en-US" w:eastAsia="zh-CN"/>
        </w:rPr>
      </w:pPr>
      <w:r>
        <w:rPr>
          <w:rFonts w:hint="eastAsia" w:ascii="宋体" w:hAnsi="宋体" w:cs="宋体"/>
          <w:b/>
          <w:bCs/>
          <w:sz w:val="24"/>
          <w:szCs w:val="24"/>
          <w:lang w:val="en-US" w:eastAsia="zh-CN"/>
        </w:rPr>
        <w:t>（5）成果验收</w:t>
      </w:r>
    </w:p>
    <w:p w14:paraId="1404DCEC">
      <w:pPr>
        <w:pStyle w:val="45"/>
        <w:spacing w:line="360" w:lineRule="auto"/>
        <w:ind w:firstLine="482" w:firstLineChars="200"/>
        <w:rPr>
          <w:rFonts w:hint="eastAsia" w:ascii="宋体" w:hAnsi="宋体" w:cs="宋体"/>
          <w:b/>
          <w:bCs/>
          <w:sz w:val="24"/>
          <w:szCs w:val="24"/>
        </w:rPr>
      </w:pPr>
      <w:r>
        <w:rPr>
          <w:rFonts w:hint="eastAsia" w:ascii="宋体" w:hAnsi="宋体" w:cs="宋体"/>
          <w:b/>
          <w:bCs/>
          <w:sz w:val="24"/>
          <w:szCs w:val="24"/>
          <w:lang w:eastAsia="zh-CN"/>
        </w:rPr>
        <w:t>乙方</w:t>
      </w:r>
      <w:r>
        <w:rPr>
          <w:rFonts w:hint="eastAsia" w:ascii="宋体" w:hAnsi="宋体" w:cs="宋体"/>
          <w:b/>
          <w:bCs/>
          <w:sz w:val="24"/>
          <w:szCs w:val="24"/>
        </w:rPr>
        <w:t>按要求提</w:t>
      </w:r>
      <w:r>
        <w:rPr>
          <w:rFonts w:hint="eastAsia" w:ascii="宋体" w:hAnsi="宋体" w:cs="宋体"/>
          <w:b/>
          <w:bCs/>
          <w:sz w:val="24"/>
          <w:szCs w:val="24"/>
          <w:lang w:eastAsia="zh-CN"/>
        </w:rPr>
        <w:t>交</w:t>
      </w:r>
      <w:r>
        <w:rPr>
          <w:rFonts w:hint="eastAsia" w:ascii="宋体" w:hAnsi="宋体" w:cs="宋体"/>
          <w:b/>
          <w:bCs/>
          <w:sz w:val="24"/>
          <w:szCs w:val="24"/>
        </w:rPr>
        <w:t>成果文件后，由</w:t>
      </w:r>
      <w:r>
        <w:rPr>
          <w:rFonts w:hint="eastAsia" w:ascii="宋体" w:hAnsi="宋体" w:cs="宋体"/>
          <w:b/>
          <w:bCs/>
          <w:sz w:val="24"/>
          <w:szCs w:val="24"/>
          <w:lang w:eastAsia="zh-CN"/>
        </w:rPr>
        <w:t>甲方</w:t>
      </w:r>
      <w:r>
        <w:rPr>
          <w:rFonts w:hint="eastAsia" w:ascii="宋体" w:hAnsi="宋体" w:cs="宋体"/>
          <w:b/>
          <w:bCs/>
          <w:sz w:val="24"/>
          <w:szCs w:val="24"/>
        </w:rPr>
        <w:t>组织专家</w:t>
      </w:r>
      <w:r>
        <w:rPr>
          <w:rFonts w:hint="eastAsia" w:ascii="宋体" w:hAnsi="宋体" w:cs="宋体"/>
          <w:b/>
          <w:bCs/>
          <w:sz w:val="24"/>
          <w:szCs w:val="24"/>
          <w:lang w:eastAsia="zh-CN"/>
        </w:rPr>
        <w:t>评审、</w:t>
      </w:r>
      <w:r>
        <w:rPr>
          <w:rFonts w:hint="eastAsia" w:ascii="宋体" w:hAnsi="宋体" w:cs="宋体"/>
          <w:b/>
          <w:bCs/>
          <w:sz w:val="24"/>
          <w:szCs w:val="24"/>
        </w:rPr>
        <w:t>验收，</w:t>
      </w:r>
      <w:r>
        <w:rPr>
          <w:rFonts w:hint="eastAsia" w:ascii="宋体" w:hAnsi="宋体" w:cs="宋体"/>
          <w:b/>
          <w:bCs/>
          <w:sz w:val="24"/>
          <w:szCs w:val="24"/>
          <w:lang w:eastAsia="zh-CN"/>
        </w:rPr>
        <w:t>评审、</w:t>
      </w:r>
      <w:r>
        <w:rPr>
          <w:rFonts w:hint="eastAsia" w:ascii="宋体" w:hAnsi="宋体" w:cs="宋体"/>
          <w:b/>
          <w:bCs/>
          <w:sz w:val="24"/>
          <w:szCs w:val="24"/>
        </w:rPr>
        <w:t>验收过程所产生的专家咨询费等相关费用由</w:t>
      </w:r>
      <w:r>
        <w:rPr>
          <w:rFonts w:hint="eastAsia" w:ascii="宋体" w:hAnsi="宋体" w:cs="宋体"/>
          <w:b/>
          <w:bCs/>
          <w:sz w:val="24"/>
          <w:szCs w:val="24"/>
          <w:lang w:eastAsia="zh-CN"/>
        </w:rPr>
        <w:t>乙方</w:t>
      </w:r>
      <w:r>
        <w:rPr>
          <w:rFonts w:hint="eastAsia" w:ascii="宋体" w:hAnsi="宋体" w:cs="宋体"/>
          <w:b/>
          <w:bCs/>
          <w:sz w:val="24"/>
          <w:szCs w:val="24"/>
        </w:rPr>
        <w:t>承担。</w:t>
      </w:r>
    </w:p>
    <w:p w14:paraId="0DAAD60F">
      <w:pPr>
        <w:pStyle w:val="45"/>
        <w:spacing w:line="360" w:lineRule="auto"/>
        <w:ind w:firstLine="482" w:firstLineChars="200"/>
        <w:rPr>
          <w:rFonts w:hint="eastAsia" w:ascii="宋体" w:hAnsi="宋体" w:cs="宋体"/>
          <w:b/>
          <w:bCs/>
          <w:sz w:val="24"/>
          <w:szCs w:val="24"/>
          <w:u w:val="single"/>
        </w:rPr>
      </w:pPr>
      <w:r>
        <w:rPr>
          <w:rFonts w:hint="eastAsia" w:ascii="宋体" w:hAnsi="宋体" w:cs="宋体"/>
          <w:b/>
          <w:bCs/>
          <w:sz w:val="24"/>
          <w:szCs w:val="24"/>
        </w:rPr>
        <w:t>4．服务质量要求：</w:t>
      </w:r>
      <w:r>
        <w:rPr>
          <w:rFonts w:hint="eastAsia" w:ascii="宋体" w:hAnsi="宋体" w:cs="宋体"/>
          <w:b/>
          <w:bCs/>
          <w:sz w:val="24"/>
          <w:szCs w:val="24"/>
          <w:u w:val="single"/>
        </w:rPr>
        <w:t>乙方按合同要求完成所有工作，所有工作成果应当符合现行相关国家标准、行业标准、地方标准等标准、规范，并通过专家评审</w:t>
      </w:r>
      <w:r>
        <w:rPr>
          <w:rFonts w:hint="eastAsia" w:ascii="宋体" w:hAnsi="宋体" w:cs="宋体"/>
          <w:b/>
          <w:bCs/>
          <w:sz w:val="24"/>
          <w:szCs w:val="24"/>
          <w:u w:val="single"/>
          <w:lang w:eastAsia="zh-CN"/>
        </w:rPr>
        <w:t>、</w:t>
      </w:r>
      <w:r>
        <w:rPr>
          <w:rFonts w:hint="eastAsia" w:ascii="宋体" w:hAnsi="宋体" w:cs="宋体"/>
          <w:b/>
          <w:bCs/>
          <w:sz w:val="24"/>
          <w:szCs w:val="24"/>
          <w:u w:val="single"/>
        </w:rPr>
        <w:t>验收合格。</w:t>
      </w:r>
    </w:p>
    <w:p w14:paraId="65153E1A">
      <w:pPr>
        <w:pStyle w:val="45"/>
        <w:spacing w:line="360" w:lineRule="auto"/>
        <w:ind w:firstLine="482" w:firstLineChars="200"/>
        <w:rPr>
          <w:rFonts w:hint="eastAsia" w:ascii="宋体" w:hAnsi="宋体" w:cs="宋体"/>
          <w:b/>
          <w:bCs/>
          <w:sz w:val="24"/>
          <w:szCs w:val="24"/>
        </w:rPr>
      </w:pPr>
      <w:r>
        <w:rPr>
          <w:rFonts w:hint="eastAsia" w:ascii="宋体" w:hAnsi="宋体" w:cs="宋体"/>
          <w:b/>
          <w:bCs/>
          <w:sz w:val="24"/>
          <w:szCs w:val="24"/>
        </w:rPr>
        <w:t>第四条 费用及支付方式</w:t>
      </w:r>
    </w:p>
    <w:p w14:paraId="3069B756">
      <w:pPr>
        <w:pStyle w:val="45"/>
        <w:spacing w:line="360" w:lineRule="auto"/>
        <w:ind w:firstLine="480" w:firstLineChars="200"/>
        <w:rPr>
          <w:rFonts w:hint="eastAsia" w:ascii="宋体" w:hAnsi="宋体" w:cs="宋体"/>
          <w:sz w:val="24"/>
          <w:szCs w:val="24"/>
        </w:rPr>
      </w:pPr>
      <w:r>
        <w:rPr>
          <w:rFonts w:hint="eastAsia" w:ascii="宋体" w:hAnsi="宋体" w:cs="宋体"/>
          <w:sz w:val="24"/>
          <w:szCs w:val="24"/>
        </w:rPr>
        <w:t>1．合同费用：</w:t>
      </w:r>
    </w:p>
    <w:p w14:paraId="74E56A94">
      <w:pPr>
        <w:pStyle w:val="45"/>
        <w:spacing w:line="360" w:lineRule="auto"/>
        <w:ind w:firstLine="480" w:firstLineChars="200"/>
        <w:rPr>
          <w:rFonts w:hint="default" w:ascii="宋体" w:hAnsi="宋体" w:eastAsia="宋体" w:cs="宋体"/>
          <w:sz w:val="24"/>
          <w:szCs w:val="24"/>
          <w:lang w:val="en-US" w:eastAsia="zh-CN"/>
        </w:rPr>
      </w:pPr>
      <w:r>
        <w:rPr>
          <w:rFonts w:hint="eastAsia" w:ascii="宋体" w:hAnsi="宋体" w:cs="宋体"/>
          <w:sz w:val="24"/>
          <w:szCs w:val="24"/>
        </w:rPr>
        <w:t>（1）签约合同价为：</w:t>
      </w:r>
      <w:r>
        <w:rPr>
          <w:rFonts w:hint="eastAsia" w:ascii="宋体" w:hAnsi="宋体" w:cs="宋体"/>
          <w:sz w:val="24"/>
          <w:szCs w:val="24"/>
          <w:u w:val="single"/>
          <w:lang w:val="en-US" w:eastAsia="zh-CN"/>
        </w:rPr>
        <w:t xml:space="preserve">                           </w:t>
      </w:r>
    </w:p>
    <w:p w14:paraId="0205807B">
      <w:pPr>
        <w:pStyle w:val="45"/>
        <w:spacing w:line="360" w:lineRule="auto"/>
        <w:ind w:firstLine="480" w:firstLineChars="200"/>
        <w:rPr>
          <w:rFonts w:hint="eastAsia" w:ascii="宋体" w:hAnsi="宋体" w:cs="宋体"/>
          <w:sz w:val="24"/>
          <w:szCs w:val="24"/>
        </w:rPr>
      </w:pPr>
      <w:r>
        <w:rPr>
          <w:rFonts w:hint="eastAsia" w:ascii="宋体" w:hAnsi="宋体" w:cs="宋体"/>
          <w:sz w:val="24"/>
          <w:szCs w:val="24"/>
        </w:rPr>
        <w:t>（2）本合同价格形式为固定总价合同。本合同签约合同价总额是完成合同所规定责任的总费用，包含</w:t>
      </w:r>
      <w:r>
        <w:rPr>
          <w:rFonts w:hint="eastAsia" w:ascii="宋体" w:hAnsi="宋体" w:cs="宋体"/>
          <w:sz w:val="24"/>
          <w:szCs w:val="24"/>
          <w:lang w:eastAsia="zh-CN"/>
        </w:rPr>
        <w:t>了</w:t>
      </w:r>
      <w:r>
        <w:rPr>
          <w:rFonts w:hint="eastAsia" w:ascii="宋体" w:hAnsi="宋体" w:cs="宋体"/>
          <w:sz w:val="24"/>
          <w:szCs w:val="24"/>
        </w:rPr>
        <w:t>为完成</w:t>
      </w:r>
      <w:r>
        <w:rPr>
          <w:rFonts w:hint="eastAsia" w:ascii="宋体" w:hAnsi="宋体" w:cs="宋体"/>
          <w:sz w:val="24"/>
          <w:szCs w:val="24"/>
          <w:lang w:eastAsia="zh-CN"/>
        </w:rPr>
        <w:t>本</w:t>
      </w:r>
      <w:r>
        <w:rPr>
          <w:rFonts w:hint="eastAsia" w:ascii="宋体" w:hAnsi="宋体" w:cs="宋体"/>
          <w:sz w:val="24"/>
          <w:szCs w:val="24"/>
        </w:rPr>
        <w:t>项目的全部工作以及</w:t>
      </w:r>
      <w:r>
        <w:rPr>
          <w:rFonts w:hint="eastAsia" w:ascii="宋体" w:hAnsi="宋体" w:cs="宋体"/>
          <w:sz w:val="24"/>
          <w:szCs w:val="24"/>
          <w:lang w:eastAsia="zh-CN"/>
        </w:rPr>
        <w:t>全过程</w:t>
      </w:r>
      <w:r>
        <w:rPr>
          <w:rFonts w:hint="eastAsia" w:ascii="宋体" w:hAnsi="宋体" w:cs="宋体"/>
          <w:sz w:val="24"/>
          <w:szCs w:val="24"/>
        </w:rPr>
        <w:t>可能发生的各种费用</w:t>
      </w:r>
      <w:r>
        <w:rPr>
          <w:rFonts w:hint="eastAsia" w:ascii="宋体" w:hAnsi="宋体" w:cs="宋体"/>
          <w:sz w:val="24"/>
          <w:szCs w:val="24"/>
          <w:lang w:eastAsia="zh-CN"/>
        </w:rPr>
        <w:t>。</w:t>
      </w:r>
      <w:r>
        <w:rPr>
          <w:rFonts w:hint="eastAsia" w:ascii="宋体" w:hAnsi="宋体" w:cs="宋体"/>
          <w:sz w:val="24"/>
          <w:szCs w:val="24"/>
        </w:rPr>
        <w:t>合同费用包括但不限于：除了包含乙方完成约定工作内容的全部费用外，还包括乙方为完成本项目所发生的调查研究、资料收集、分析论证、报告编制、印刷、出版、安全生产费、人工成本、评估评审验收会务费（含专家、代表劳务费、住宿费、伙食等）、不可预见费等所有费用，其费用含于报价中，甲方不另行向乙方支付其费用。</w:t>
      </w:r>
    </w:p>
    <w:p w14:paraId="34EA3A1E">
      <w:pPr>
        <w:pStyle w:val="45"/>
        <w:spacing w:line="360" w:lineRule="auto"/>
        <w:ind w:firstLine="480" w:firstLineChars="200"/>
        <w:rPr>
          <w:rFonts w:hint="eastAsia" w:ascii="宋体" w:hAnsi="宋体" w:cs="宋体"/>
          <w:sz w:val="24"/>
          <w:szCs w:val="24"/>
        </w:rPr>
      </w:pPr>
      <w:r>
        <w:rPr>
          <w:rFonts w:hint="eastAsia" w:ascii="宋体" w:hAnsi="宋体" w:cs="宋体"/>
          <w:sz w:val="24"/>
          <w:szCs w:val="24"/>
        </w:rPr>
        <w:t>合同执行期间，物价波动(人工、材料上涨等)引起的价格变化不对签约合同价进行调整；法律、法规、规范性文件、规定引起的价格变化，签约合同价不进行调整。乙方应承担物价波动、工作范围内容不符或漏项、气候条件恶劣及其他意外困难等风险。</w:t>
      </w:r>
    </w:p>
    <w:p w14:paraId="571C7602">
      <w:pPr>
        <w:pStyle w:val="45"/>
        <w:spacing w:line="360" w:lineRule="auto"/>
        <w:ind w:firstLine="480" w:firstLineChars="200"/>
        <w:rPr>
          <w:rFonts w:hint="eastAsia" w:ascii="宋体" w:hAnsi="宋体" w:cs="宋体"/>
          <w:sz w:val="24"/>
          <w:szCs w:val="24"/>
        </w:rPr>
      </w:pPr>
      <w:r>
        <w:rPr>
          <w:rFonts w:hint="eastAsia" w:ascii="宋体" w:hAnsi="宋体" w:cs="宋体"/>
          <w:sz w:val="24"/>
          <w:szCs w:val="24"/>
        </w:rPr>
        <w:t>2.服务费支付方式：</w:t>
      </w:r>
    </w:p>
    <w:p w14:paraId="43176FE9">
      <w:pPr>
        <w:pStyle w:val="45"/>
        <w:spacing w:line="360" w:lineRule="auto"/>
        <w:ind w:firstLine="480" w:firstLineChars="200"/>
        <w:rPr>
          <w:rFonts w:hint="eastAsia" w:ascii="宋体" w:hAnsi="宋体" w:cs="宋体"/>
          <w:sz w:val="24"/>
          <w:szCs w:val="24"/>
        </w:rPr>
      </w:pPr>
      <w:r>
        <w:rPr>
          <w:rFonts w:hint="eastAsia" w:ascii="宋体" w:hAnsi="宋体" w:cs="宋体"/>
          <w:sz w:val="24"/>
          <w:szCs w:val="24"/>
        </w:rPr>
        <w:t>甲方根据工作进度，分期支付乙方合同价款。乙方根据工作进度，向甲方提交支付申请，并附相应的支持性证明文件。</w:t>
      </w:r>
    </w:p>
    <w:p w14:paraId="65202E99">
      <w:pPr>
        <w:pStyle w:val="45"/>
        <w:spacing w:line="360" w:lineRule="auto"/>
        <w:ind w:firstLine="480" w:firstLineChars="200"/>
        <w:rPr>
          <w:rFonts w:hint="eastAsia" w:ascii="宋体" w:hAnsi="宋体" w:cs="宋体"/>
          <w:sz w:val="24"/>
          <w:szCs w:val="24"/>
        </w:rPr>
      </w:pPr>
      <w:r>
        <w:rPr>
          <w:rFonts w:hint="eastAsia" w:ascii="宋体" w:hAnsi="宋体" w:cs="宋体"/>
          <w:sz w:val="24"/>
          <w:szCs w:val="24"/>
          <w:lang w:eastAsia="zh-CN"/>
        </w:rPr>
        <w:t>（</w:t>
      </w:r>
      <w:r>
        <w:rPr>
          <w:rFonts w:hint="eastAsia" w:ascii="宋体" w:hAnsi="宋体" w:cs="宋体"/>
          <w:sz w:val="24"/>
          <w:szCs w:val="24"/>
          <w:lang w:val="en-US" w:eastAsia="zh-CN"/>
        </w:rPr>
        <w:t>1</w:t>
      </w:r>
      <w:r>
        <w:rPr>
          <w:rFonts w:hint="eastAsia" w:ascii="宋体" w:hAnsi="宋体" w:cs="宋体"/>
          <w:sz w:val="24"/>
          <w:szCs w:val="24"/>
          <w:lang w:eastAsia="zh-CN"/>
        </w:rPr>
        <w:t>）</w:t>
      </w:r>
      <w:r>
        <w:rPr>
          <w:rFonts w:hint="eastAsia" w:ascii="宋体" w:hAnsi="宋体" w:cs="宋体"/>
          <w:sz w:val="24"/>
          <w:szCs w:val="24"/>
        </w:rPr>
        <w:t>第一期付款</w:t>
      </w:r>
      <w:r>
        <w:rPr>
          <w:rFonts w:hint="eastAsia" w:ascii="宋体" w:hAnsi="宋体" w:cs="宋体"/>
          <w:sz w:val="24"/>
          <w:szCs w:val="24"/>
          <w:lang w:eastAsia="zh-CN"/>
        </w:rPr>
        <w:t>（预付款）</w:t>
      </w:r>
      <w:r>
        <w:rPr>
          <w:rFonts w:hint="eastAsia" w:ascii="宋体" w:hAnsi="宋体" w:cs="宋体"/>
          <w:sz w:val="24"/>
          <w:szCs w:val="24"/>
        </w:rPr>
        <w:t>：</w:t>
      </w:r>
    </w:p>
    <w:p w14:paraId="650254F2">
      <w:pPr>
        <w:pStyle w:val="45"/>
        <w:spacing w:line="360" w:lineRule="auto"/>
        <w:ind w:firstLine="480" w:firstLineChars="200"/>
        <w:rPr>
          <w:rFonts w:hint="eastAsia" w:ascii="宋体" w:hAnsi="宋体" w:cs="宋体"/>
          <w:sz w:val="24"/>
          <w:szCs w:val="24"/>
          <w:lang w:val="en-US" w:eastAsia="zh-CN"/>
        </w:rPr>
      </w:pPr>
      <w:r>
        <w:rPr>
          <w:rFonts w:hint="eastAsia" w:ascii="宋体" w:hAnsi="宋体" w:cs="宋体"/>
          <w:sz w:val="24"/>
          <w:szCs w:val="24"/>
          <w:lang w:eastAsia="zh-CN"/>
        </w:rPr>
        <w:t>合同签署后，由乙方提交预付款支付申请，甲方收到预付款支付申请后的14天内，向乙方支付合同价的</w:t>
      </w:r>
      <w:r>
        <w:rPr>
          <w:rFonts w:hint="eastAsia" w:ascii="宋体" w:hAnsi="宋体" w:cs="宋体"/>
          <w:sz w:val="24"/>
          <w:szCs w:val="24"/>
          <w:lang w:val="en-US" w:eastAsia="zh-CN"/>
        </w:rPr>
        <w:t>3</w:t>
      </w:r>
      <w:r>
        <w:rPr>
          <w:rFonts w:hint="eastAsia" w:ascii="宋体" w:hAnsi="宋体" w:cs="宋体"/>
          <w:sz w:val="24"/>
          <w:szCs w:val="24"/>
          <w:lang w:eastAsia="zh-CN"/>
        </w:rPr>
        <w:t>0%作为预付款；乙方应当提供等额的增值税普通发票；本合同履行后，预付款抵作进度款。如因发生不可抗力事件导致预付款已支付但合同无法继续履行的情况，乙方应向甲方退还尚未开展工作内容对应的款项。</w:t>
      </w:r>
    </w:p>
    <w:p w14:paraId="75ACD3C7">
      <w:pPr>
        <w:pStyle w:val="45"/>
        <w:spacing w:line="360" w:lineRule="auto"/>
        <w:ind w:firstLine="480" w:firstLineChars="200"/>
        <w:rPr>
          <w:rFonts w:hint="eastAsia" w:ascii="宋体" w:hAnsi="宋体" w:cs="宋体"/>
          <w:sz w:val="24"/>
          <w:szCs w:val="24"/>
        </w:rPr>
      </w:pPr>
      <w:r>
        <w:rPr>
          <w:rFonts w:hint="eastAsia" w:ascii="宋体" w:hAnsi="宋体" w:cs="宋体"/>
          <w:sz w:val="24"/>
          <w:szCs w:val="24"/>
          <w:lang w:val="en-US" w:eastAsia="zh-CN"/>
        </w:rPr>
        <w:t>（2）</w:t>
      </w:r>
      <w:r>
        <w:rPr>
          <w:rFonts w:hint="eastAsia" w:ascii="宋体" w:hAnsi="宋体" w:cs="宋体"/>
          <w:sz w:val="24"/>
          <w:szCs w:val="24"/>
        </w:rPr>
        <w:t>第二期付款</w:t>
      </w:r>
      <w:r>
        <w:rPr>
          <w:rFonts w:hint="eastAsia" w:ascii="宋体" w:hAnsi="宋体" w:cs="宋体"/>
          <w:sz w:val="24"/>
          <w:szCs w:val="24"/>
          <w:lang w:eastAsia="zh-CN"/>
        </w:rPr>
        <w:t>（尾款）</w:t>
      </w:r>
      <w:r>
        <w:rPr>
          <w:rFonts w:hint="eastAsia" w:ascii="宋体" w:hAnsi="宋体" w:cs="宋体"/>
          <w:sz w:val="24"/>
          <w:szCs w:val="24"/>
        </w:rPr>
        <w:t>：</w:t>
      </w:r>
    </w:p>
    <w:p w14:paraId="51B7C1D7">
      <w:pPr>
        <w:pStyle w:val="45"/>
        <w:spacing w:line="360" w:lineRule="auto"/>
        <w:ind w:left="0" w:firstLine="480" w:firstLineChars="200"/>
        <w:rPr>
          <w:rFonts w:hint="eastAsia" w:ascii="宋体" w:hAnsi="宋体" w:cs="宋体"/>
          <w:sz w:val="24"/>
          <w:szCs w:val="24"/>
        </w:rPr>
      </w:pPr>
      <w:r>
        <w:rPr>
          <w:rFonts w:hint="eastAsia" w:ascii="宋体" w:hAnsi="宋体" w:cs="宋体"/>
          <w:sz w:val="24"/>
          <w:szCs w:val="24"/>
        </w:rPr>
        <w:t>在</w:t>
      </w:r>
      <w:r>
        <w:rPr>
          <w:rFonts w:hint="eastAsia" w:ascii="宋体" w:hAnsi="宋体" w:cs="宋体"/>
          <w:sz w:val="24"/>
          <w:szCs w:val="24"/>
          <w:lang w:eastAsia="zh-CN"/>
        </w:rPr>
        <w:t>所有合同工作完成且评审验收合格</w:t>
      </w:r>
      <w:r>
        <w:rPr>
          <w:rFonts w:hint="eastAsia" w:ascii="宋体" w:hAnsi="宋体" w:cs="宋体"/>
          <w:sz w:val="24"/>
          <w:szCs w:val="24"/>
        </w:rPr>
        <w:t>，</w:t>
      </w:r>
      <w:r>
        <w:rPr>
          <w:rFonts w:hint="eastAsia" w:ascii="宋体" w:hAnsi="宋体" w:cs="宋体"/>
          <w:sz w:val="24"/>
          <w:szCs w:val="24"/>
          <w:lang w:eastAsia="zh-CN"/>
        </w:rPr>
        <w:t>乙方提交成果报告最终稿后，由乙方提交进度款支付申请，甲方收到进度款支付申请后的14天内，向乙方支付至签约合同价的100%；乙方应当提供等额的增值税发票</w:t>
      </w:r>
      <w:r>
        <w:rPr>
          <w:rFonts w:hint="eastAsia" w:ascii="宋体" w:hAnsi="宋体" w:cs="宋体"/>
          <w:sz w:val="24"/>
          <w:szCs w:val="24"/>
        </w:rPr>
        <w:t>。</w:t>
      </w:r>
    </w:p>
    <w:p w14:paraId="36D3A96F">
      <w:pPr>
        <w:pStyle w:val="45"/>
        <w:spacing w:line="360" w:lineRule="auto"/>
        <w:ind w:left="480"/>
        <w:rPr>
          <w:rFonts w:hint="eastAsia" w:ascii="宋体" w:hAnsi="宋体" w:cs="宋体"/>
          <w:sz w:val="24"/>
          <w:szCs w:val="24"/>
        </w:rPr>
      </w:pPr>
      <w:r>
        <w:rPr>
          <w:rFonts w:hint="eastAsia" w:ascii="宋体" w:hAnsi="宋体" w:cs="宋体"/>
          <w:sz w:val="24"/>
          <w:szCs w:val="24"/>
        </w:rPr>
        <w:t>3.乙方收款账户信息如下：</w:t>
      </w:r>
    </w:p>
    <w:p w14:paraId="1943F94F">
      <w:pPr>
        <w:pStyle w:val="45"/>
        <w:spacing w:line="360" w:lineRule="auto"/>
        <w:ind w:firstLine="480" w:firstLineChars="200"/>
        <w:rPr>
          <w:rFonts w:hint="eastAsia" w:ascii="宋体" w:hAnsi="宋体" w:eastAsia="宋体" w:cs="宋体"/>
          <w:sz w:val="24"/>
          <w:szCs w:val="24"/>
          <w:lang w:eastAsia="zh-CN"/>
        </w:rPr>
      </w:pPr>
      <w:r>
        <w:rPr>
          <w:rFonts w:hint="eastAsia" w:ascii="宋体" w:hAnsi="宋体" w:cs="宋体"/>
          <w:sz w:val="24"/>
          <w:szCs w:val="24"/>
        </w:rPr>
        <w:t>开户名称：</w:t>
      </w:r>
      <w:r>
        <w:rPr>
          <w:rFonts w:hint="eastAsia" w:ascii="宋体" w:hAnsi="宋体" w:cs="宋体"/>
          <w:sz w:val="24"/>
          <w:szCs w:val="24"/>
          <w:lang w:val="en-US" w:eastAsia="zh-CN"/>
        </w:rPr>
        <w:t xml:space="preserve"> </w:t>
      </w:r>
    </w:p>
    <w:p w14:paraId="5FC006E4">
      <w:pPr>
        <w:pStyle w:val="45"/>
        <w:spacing w:line="360" w:lineRule="auto"/>
        <w:ind w:firstLine="480" w:firstLineChars="200"/>
        <w:rPr>
          <w:rFonts w:hint="eastAsia" w:ascii="宋体" w:hAnsi="宋体" w:eastAsia="宋体" w:cs="宋体"/>
          <w:sz w:val="24"/>
          <w:szCs w:val="24"/>
          <w:lang w:eastAsia="zh-CN"/>
        </w:rPr>
      </w:pPr>
      <w:r>
        <w:rPr>
          <w:rFonts w:hint="eastAsia" w:ascii="宋体" w:hAnsi="宋体" w:cs="宋体"/>
          <w:sz w:val="24"/>
          <w:szCs w:val="24"/>
        </w:rPr>
        <w:t>银行帐号：</w:t>
      </w:r>
      <w:r>
        <w:rPr>
          <w:rFonts w:hint="eastAsia" w:ascii="宋体" w:hAnsi="宋体" w:cs="宋体"/>
          <w:sz w:val="24"/>
          <w:szCs w:val="24"/>
          <w:lang w:val="en-US" w:eastAsia="zh-CN"/>
        </w:rPr>
        <w:t xml:space="preserve"> </w:t>
      </w:r>
    </w:p>
    <w:p w14:paraId="01542719">
      <w:pPr>
        <w:pStyle w:val="45"/>
        <w:spacing w:line="360" w:lineRule="auto"/>
        <w:ind w:firstLine="480" w:firstLineChars="200"/>
        <w:rPr>
          <w:rFonts w:hint="eastAsia" w:ascii="宋体" w:hAnsi="宋体" w:eastAsia="宋体" w:cs="宋体"/>
          <w:sz w:val="24"/>
          <w:szCs w:val="24"/>
          <w:highlight w:val="yellow"/>
          <w:lang w:eastAsia="zh-CN"/>
        </w:rPr>
      </w:pPr>
      <w:r>
        <w:rPr>
          <w:rFonts w:hint="eastAsia" w:ascii="宋体" w:hAnsi="宋体" w:cs="宋体"/>
          <w:sz w:val="24"/>
          <w:szCs w:val="24"/>
        </w:rPr>
        <w:t>开户行：</w:t>
      </w:r>
      <w:r>
        <w:rPr>
          <w:rFonts w:hint="eastAsia" w:ascii="宋体" w:hAnsi="宋体" w:cs="宋体"/>
          <w:sz w:val="24"/>
          <w:szCs w:val="24"/>
          <w:lang w:val="en-US" w:eastAsia="zh-CN"/>
        </w:rPr>
        <w:t xml:space="preserve"> </w:t>
      </w:r>
    </w:p>
    <w:p w14:paraId="41DC4515">
      <w:pPr>
        <w:pStyle w:val="45"/>
        <w:spacing w:line="360" w:lineRule="auto"/>
        <w:ind w:firstLine="480" w:firstLineChars="200"/>
        <w:rPr>
          <w:rFonts w:hint="eastAsia" w:ascii="宋体" w:hAnsi="宋体" w:cs="宋体"/>
          <w:sz w:val="24"/>
          <w:szCs w:val="24"/>
        </w:rPr>
      </w:pPr>
      <w:r>
        <w:rPr>
          <w:rFonts w:hint="eastAsia" w:ascii="宋体" w:hAnsi="宋体" w:cs="宋体"/>
          <w:sz w:val="24"/>
          <w:szCs w:val="24"/>
        </w:rPr>
        <w:t>乙方收款账户发生变更的，应当在变更当日书面告知甲方，否则由此产生的损失由乙方承担；甲方不接受乙方委托第三方收款。</w:t>
      </w:r>
    </w:p>
    <w:p w14:paraId="70F16BDB">
      <w:pPr>
        <w:pStyle w:val="45"/>
        <w:spacing w:line="360" w:lineRule="auto"/>
        <w:ind w:firstLine="482" w:firstLineChars="200"/>
        <w:rPr>
          <w:rFonts w:hint="eastAsia" w:ascii="宋体" w:hAnsi="宋体" w:eastAsia="宋体" w:cs="宋体"/>
          <w:sz w:val="24"/>
          <w:szCs w:val="24"/>
          <w:lang w:eastAsia="zh-CN"/>
        </w:rPr>
      </w:pPr>
      <w:r>
        <w:rPr>
          <w:rFonts w:hint="eastAsia" w:ascii="宋体" w:hAnsi="宋体" w:cs="宋体"/>
          <w:b/>
          <w:bCs/>
          <w:sz w:val="24"/>
          <w:szCs w:val="24"/>
        </w:rPr>
        <w:t xml:space="preserve">第五条 </w:t>
      </w:r>
      <w:r>
        <w:rPr>
          <w:rFonts w:hint="eastAsia" w:ascii="宋体" w:hAnsi="宋体" w:cs="宋体"/>
          <w:b/>
          <w:bCs/>
          <w:sz w:val="24"/>
          <w:szCs w:val="24"/>
          <w:lang w:eastAsia="zh-CN"/>
        </w:rPr>
        <w:t>质量保证期服务</w:t>
      </w:r>
    </w:p>
    <w:p w14:paraId="03E50305">
      <w:pPr>
        <w:pStyle w:val="45"/>
        <w:spacing w:line="360" w:lineRule="auto"/>
        <w:ind w:firstLine="480" w:firstLineChars="200"/>
        <w:rPr>
          <w:rFonts w:hint="default" w:ascii="宋体" w:hAnsi="宋体" w:cs="宋体"/>
          <w:sz w:val="24"/>
          <w:szCs w:val="24"/>
        </w:rPr>
      </w:pPr>
      <w:r>
        <w:rPr>
          <w:rFonts w:hint="default" w:ascii="宋体" w:hAnsi="宋体" w:cs="宋体"/>
          <w:sz w:val="24"/>
          <w:szCs w:val="24"/>
        </w:rPr>
        <w:t>1.本项目质量保证期自成果报告验收合格之日‌起算，至</w:t>
      </w:r>
      <w:r>
        <w:rPr>
          <w:rFonts w:hint="default" w:ascii="宋体" w:hAnsi="宋体" w:cs="宋体"/>
          <w:sz w:val="24"/>
          <w:szCs w:val="24"/>
          <w:lang w:val="zh-CN"/>
        </w:rPr>
        <w:t>《红水河（曹渡河口至桥巩）三级航道工程对广西忻城乐滩国家湿地公园生态影响评价报告》</w:t>
      </w:r>
      <w:r>
        <w:rPr>
          <w:rFonts w:hint="default" w:ascii="宋体" w:hAnsi="宋体" w:cs="宋体"/>
          <w:sz w:val="24"/>
          <w:szCs w:val="24"/>
        </w:rPr>
        <w:t>批复止。</w:t>
      </w:r>
      <w:r>
        <w:rPr>
          <w:rFonts w:hint="eastAsia" w:ascii="宋体" w:hAnsi="宋体" w:cs="宋体"/>
          <w:sz w:val="24"/>
          <w:szCs w:val="24"/>
          <w:lang w:val="zh-CN"/>
        </w:rPr>
        <w:t>《红水河（曹渡河口至桥巩）三级航道工程对广西忻城乐滩国家湿地公园生态影响评价报告》</w:t>
      </w:r>
      <w:r>
        <w:rPr>
          <w:rFonts w:hint="default" w:ascii="宋体" w:hAnsi="宋体" w:cs="宋体"/>
          <w:sz w:val="24"/>
          <w:szCs w:val="24"/>
        </w:rPr>
        <w:t>批复后，质量保证期自动结束。</w:t>
      </w:r>
    </w:p>
    <w:p w14:paraId="48BFAF5F">
      <w:pPr>
        <w:pStyle w:val="45"/>
        <w:spacing w:line="360" w:lineRule="auto"/>
        <w:ind w:firstLine="480" w:firstLineChars="200"/>
        <w:rPr>
          <w:rFonts w:hint="default" w:ascii="宋体" w:hAnsi="宋体" w:cs="宋体"/>
          <w:sz w:val="24"/>
          <w:szCs w:val="24"/>
        </w:rPr>
      </w:pPr>
      <w:r>
        <w:rPr>
          <w:rFonts w:hint="default" w:ascii="宋体" w:hAnsi="宋体" w:cs="宋体"/>
          <w:sz w:val="24"/>
          <w:szCs w:val="24"/>
        </w:rPr>
        <w:t>2.合同验收证书的签署不能免除</w:t>
      </w:r>
      <w:r>
        <w:rPr>
          <w:rFonts w:hint="eastAsia" w:ascii="宋体" w:hAnsi="宋体" w:cs="宋体"/>
          <w:sz w:val="24"/>
          <w:szCs w:val="24"/>
          <w:lang w:eastAsia="zh-CN"/>
        </w:rPr>
        <w:t>乙方</w:t>
      </w:r>
      <w:r>
        <w:rPr>
          <w:rFonts w:hint="default" w:ascii="宋体" w:hAnsi="宋体" w:cs="宋体"/>
          <w:sz w:val="24"/>
          <w:szCs w:val="24"/>
        </w:rPr>
        <w:t>在质量保证期内对合同工作应承担的保证责任。</w:t>
      </w:r>
    </w:p>
    <w:p w14:paraId="7E09E544">
      <w:pPr>
        <w:pStyle w:val="45"/>
        <w:spacing w:line="360" w:lineRule="auto"/>
        <w:ind w:firstLine="480" w:firstLineChars="200"/>
        <w:rPr>
          <w:rFonts w:hint="default" w:ascii="宋体" w:hAnsi="宋体" w:cs="宋体"/>
          <w:sz w:val="24"/>
          <w:szCs w:val="24"/>
        </w:rPr>
      </w:pPr>
      <w:r>
        <w:rPr>
          <w:rFonts w:hint="default" w:ascii="宋体" w:hAnsi="宋体" w:cs="宋体"/>
          <w:sz w:val="24"/>
          <w:szCs w:val="24"/>
        </w:rPr>
        <w:t>3.在质量保证期内，</w:t>
      </w:r>
      <w:r>
        <w:rPr>
          <w:rFonts w:hint="eastAsia" w:ascii="宋体" w:hAnsi="宋体" w:cs="宋体"/>
          <w:sz w:val="24"/>
          <w:szCs w:val="24"/>
          <w:lang w:eastAsia="zh-CN"/>
        </w:rPr>
        <w:t>乙方</w:t>
      </w:r>
      <w:r>
        <w:rPr>
          <w:rFonts w:hint="default" w:ascii="宋体" w:hAnsi="宋体" w:cs="宋体"/>
          <w:sz w:val="24"/>
          <w:szCs w:val="24"/>
        </w:rPr>
        <w:t>应自负费用提供质保期服务。</w:t>
      </w:r>
      <w:r>
        <w:rPr>
          <w:rFonts w:hint="eastAsia" w:ascii="宋体" w:hAnsi="宋体" w:cs="宋体"/>
          <w:sz w:val="24"/>
          <w:szCs w:val="24"/>
          <w:lang w:eastAsia="zh-CN"/>
        </w:rPr>
        <w:t>乙方</w:t>
      </w:r>
      <w:r>
        <w:rPr>
          <w:rFonts w:hint="default" w:ascii="宋体" w:hAnsi="宋体" w:cs="宋体"/>
          <w:sz w:val="24"/>
          <w:szCs w:val="24"/>
        </w:rPr>
        <w:t>应协助采购人办理</w:t>
      </w:r>
      <w:r>
        <w:rPr>
          <w:rFonts w:hint="eastAsia" w:ascii="宋体" w:hAnsi="宋体" w:cs="宋体"/>
          <w:sz w:val="24"/>
          <w:szCs w:val="24"/>
          <w:lang w:val="zh-CN"/>
        </w:rPr>
        <w:t>《红水河（曹渡河口至桥巩）三级航道工程对广西忻城乐滩国家湿地公园生态影响评价报告》</w:t>
      </w:r>
      <w:r>
        <w:rPr>
          <w:rFonts w:hint="default" w:ascii="宋体" w:hAnsi="宋体" w:cs="宋体"/>
          <w:sz w:val="24"/>
          <w:szCs w:val="24"/>
        </w:rPr>
        <w:t>审批手续，按有关审查、评审意见修改完善</w:t>
      </w:r>
      <w:r>
        <w:rPr>
          <w:rFonts w:hint="eastAsia" w:ascii="宋体" w:hAnsi="宋体" w:cs="宋体"/>
          <w:sz w:val="24"/>
          <w:szCs w:val="24"/>
          <w:lang w:val="zh-CN"/>
        </w:rPr>
        <w:t>《红水河（曹渡河口至桥巩）三级航道工程对广西忻城乐滩国家湿地公园生态影响评价报告》</w:t>
      </w:r>
      <w:r>
        <w:rPr>
          <w:rFonts w:hint="default" w:ascii="宋体" w:hAnsi="宋体" w:cs="宋体"/>
          <w:sz w:val="24"/>
          <w:szCs w:val="24"/>
        </w:rPr>
        <w:t>，承担</w:t>
      </w:r>
      <w:r>
        <w:rPr>
          <w:rFonts w:hint="eastAsia" w:ascii="宋体" w:hAnsi="宋体" w:cs="宋体"/>
          <w:sz w:val="24"/>
          <w:szCs w:val="24"/>
          <w:lang w:val="zh-CN"/>
        </w:rPr>
        <w:t>《红水河（曹渡河口至桥巩）三级航道工程对广西忻城乐滩国家湿地公园生态影响评价报告》</w:t>
      </w:r>
      <w:r>
        <w:rPr>
          <w:rFonts w:hint="default" w:ascii="宋体" w:hAnsi="宋体" w:cs="宋体"/>
          <w:sz w:val="24"/>
          <w:szCs w:val="24"/>
        </w:rPr>
        <w:t>审查、评审所产生的有关费用，直至</w:t>
      </w:r>
      <w:r>
        <w:rPr>
          <w:rFonts w:hint="eastAsia" w:ascii="宋体" w:hAnsi="宋体" w:cs="宋体"/>
          <w:sz w:val="24"/>
          <w:szCs w:val="24"/>
          <w:lang w:val="zh-CN"/>
        </w:rPr>
        <w:t>《红水河（曹渡河口至桥巩）三级航道工程对广西忻城乐滩国家湿地公园生态影响评价报告》</w:t>
      </w:r>
      <w:r>
        <w:rPr>
          <w:rFonts w:hint="default" w:ascii="宋体" w:hAnsi="宋体" w:cs="宋体"/>
          <w:sz w:val="24"/>
          <w:szCs w:val="24"/>
        </w:rPr>
        <w:t>取得批复。</w:t>
      </w:r>
    </w:p>
    <w:p w14:paraId="2AC2FE9F">
      <w:pPr>
        <w:pStyle w:val="45"/>
        <w:spacing w:line="360" w:lineRule="auto"/>
        <w:ind w:firstLine="482" w:firstLineChars="200"/>
        <w:rPr>
          <w:rFonts w:hint="eastAsia" w:ascii="宋体" w:hAnsi="宋体" w:cs="宋体"/>
          <w:sz w:val="24"/>
          <w:szCs w:val="24"/>
        </w:rPr>
      </w:pPr>
      <w:r>
        <w:rPr>
          <w:rFonts w:hint="eastAsia" w:ascii="宋体" w:hAnsi="宋体" w:cs="宋体"/>
          <w:b/>
          <w:bCs/>
          <w:sz w:val="24"/>
          <w:szCs w:val="24"/>
        </w:rPr>
        <w:t>第</w:t>
      </w:r>
      <w:r>
        <w:rPr>
          <w:rFonts w:hint="eastAsia" w:ascii="宋体" w:hAnsi="宋体" w:cs="宋体"/>
          <w:b/>
          <w:bCs/>
          <w:sz w:val="24"/>
          <w:szCs w:val="24"/>
          <w:lang w:eastAsia="zh-CN"/>
        </w:rPr>
        <w:t>六</w:t>
      </w:r>
      <w:r>
        <w:rPr>
          <w:rFonts w:hint="eastAsia" w:ascii="宋体" w:hAnsi="宋体" w:cs="宋体"/>
          <w:b/>
          <w:bCs/>
          <w:sz w:val="24"/>
          <w:szCs w:val="24"/>
        </w:rPr>
        <w:t>条 履约担保</w:t>
      </w:r>
    </w:p>
    <w:p w14:paraId="4BF969E7">
      <w:pPr>
        <w:pStyle w:val="45"/>
        <w:spacing w:line="360" w:lineRule="auto"/>
        <w:ind w:firstLine="480" w:firstLineChars="200"/>
        <w:rPr>
          <w:rFonts w:hint="eastAsia" w:ascii="宋体" w:hAnsi="宋体" w:cs="宋体"/>
          <w:sz w:val="24"/>
          <w:szCs w:val="24"/>
          <w:highlight w:val="none"/>
        </w:rPr>
      </w:pPr>
      <w:r>
        <w:rPr>
          <w:rFonts w:hint="eastAsia" w:ascii="宋体" w:hAnsi="宋体" w:cs="宋体"/>
          <w:sz w:val="24"/>
          <w:szCs w:val="24"/>
          <w:highlight w:val="none"/>
        </w:rPr>
        <w:t>1.乙方在签订合同之前，向甲方提交金额为签约合同价5%（或2%，如</w:t>
      </w:r>
      <w:r>
        <w:rPr>
          <w:rFonts w:hint="eastAsia" w:ascii="宋体" w:hAnsi="宋体" w:cs="宋体"/>
          <w:sz w:val="24"/>
          <w:szCs w:val="24"/>
          <w:highlight w:val="none"/>
          <w:lang w:eastAsia="zh-CN"/>
        </w:rPr>
        <w:t>供应商</w:t>
      </w:r>
      <w:r>
        <w:rPr>
          <w:rFonts w:hint="eastAsia" w:ascii="宋体" w:hAnsi="宋体" w:cs="宋体"/>
          <w:sz w:val="24"/>
          <w:szCs w:val="24"/>
          <w:highlight w:val="none"/>
        </w:rPr>
        <w:t>为中小微企业时）的履约保证金。乙方未按约定提交履约保证金的，视为放弃中标资格，甲方有权不予与其签订合同；因此给甲方造成损失的，乙方还应承担相应的赔偿责任。</w:t>
      </w:r>
    </w:p>
    <w:p w14:paraId="689EA9BD">
      <w:pPr>
        <w:pStyle w:val="45"/>
        <w:spacing w:line="360" w:lineRule="auto"/>
        <w:ind w:firstLine="480" w:firstLineChars="200"/>
        <w:rPr>
          <w:rFonts w:hint="eastAsia" w:ascii="宋体" w:hAnsi="宋体" w:cs="宋体"/>
          <w:sz w:val="24"/>
          <w:szCs w:val="24"/>
        </w:rPr>
      </w:pPr>
      <w:r>
        <w:rPr>
          <w:rFonts w:hint="eastAsia" w:ascii="宋体" w:hAnsi="宋体" w:cs="宋体"/>
          <w:sz w:val="24"/>
          <w:szCs w:val="24"/>
        </w:rPr>
        <w:t>2.履约保证金以支票、汇票、本票或者金融机构、担保机构出具的保函等非现金形式提交。</w:t>
      </w:r>
    </w:p>
    <w:p w14:paraId="5CE4ED7E">
      <w:pPr>
        <w:pStyle w:val="45"/>
        <w:spacing w:line="360" w:lineRule="auto"/>
        <w:ind w:firstLine="480" w:firstLineChars="200"/>
        <w:rPr>
          <w:rFonts w:hint="eastAsia" w:ascii="宋体" w:hAnsi="宋体" w:cs="宋体"/>
          <w:sz w:val="24"/>
          <w:szCs w:val="24"/>
        </w:rPr>
      </w:pPr>
      <w:r>
        <w:rPr>
          <w:rFonts w:hint="eastAsia" w:ascii="宋体" w:hAnsi="宋体" w:cs="宋体"/>
          <w:sz w:val="24"/>
          <w:szCs w:val="24"/>
        </w:rPr>
        <w:t>（1）若采用银行保函形式，银行保函由国有商业或股份制商业银行出具，并保证其有效。执行本条规定所需的费用由乙方承担。保函的正本由甲方保存。</w:t>
      </w:r>
    </w:p>
    <w:p w14:paraId="51438999">
      <w:pPr>
        <w:pStyle w:val="45"/>
        <w:spacing w:line="360" w:lineRule="auto"/>
        <w:ind w:firstLine="480" w:firstLineChars="200"/>
        <w:rPr>
          <w:rFonts w:hint="eastAsia" w:ascii="宋体" w:hAnsi="宋体" w:cs="宋体"/>
          <w:sz w:val="24"/>
          <w:szCs w:val="24"/>
        </w:rPr>
      </w:pPr>
      <w:r>
        <w:rPr>
          <w:rFonts w:hint="eastAsia" w:ascii="宋体" w:hAnsi="宋体" w:cs="宋体"/>
          <w:sz w:val="24"/>
          <w:szCs w:val="24"/>
        </w:rPr>
        <w:t>（2）若采用银行转账形式，应当从乙方基本账户转出，且全额一次性转入甲方指定账号，并注明</w:t>
      </w:r>
      <w:r>
        <w:rPr>
          <w:rFonts w:hint="eastAsia" w:ascii="宋体" w:hAnsi="宋体" w:cs="宋体"/>
          <w:b/>
          <w:bCs/>
          <w:sz w:val="24"/>
          <w:szCs w:val="24"/>
        </w:rPr>
        <w:t>“红水河（曹渡河口至桥巩）三级航道</w:t>
      </w:r>
      <w:r>
        <w:rPr>
          <w:rFonts w:hint="eastAsia" w:ascii="宋体" w:hAnsi="宋体" w:cs="宋体"/>
          <w:b/>
          <w:bCs/>
          <w:sz w:val="24"/>
          <w:szCs w:val="24"/>
          <w:lang w:eastAsia="zh-CN"/>
        </w:rPr>
        <w:t>工程对广西忻城乐滩国家湿地公园生态影响评价服务</w:t>
      </w:r>
      <w:r>
        <w:rPr>
          <w:rFonts w:hint="eastAsia" w:ascii="宋体" w:hAnsi="宋体" w:cs="宋体"/>
          <w:b/>
          <w:bCs/>
          <w:sz w:val="24"/>
          <w:szCs w:val="24"/>
        </w:rPr>
        <w:t>项目履约保证金”</w:t>
      </w:r>
      <w:r>
        <w:rPr>
          <w:rFonts w:hint="eastAsia" w:ascii="宋体" w:hAnsi="宋体" w:cs="宋体"/>
          <w:sz w:val="24"/>
          <w:szCs w:val="24"/>
        </w:rPr>
        <w:t>，并且确保在中标通知书发出之日起25日内到账，否则，其履约担保视为无效。</w:t>
      </w:r>
    </w:p>
    <w:p w14:paraId="6522CC03">
      <w:pPr>
        <w:pStyle w:val="45"/>
        <w:spacing w:line="360" w:lineRule="auto"/>
        <w:ind w:firstLine="480" w:firstLineChars="200"/>
        <w:rPr>
          <w:rFonts w:hint="eastAsia" w:ascii="宋体" w:hAnsi="宋体" w:cs="宋体"/>
          <w:sz w:val="24"/>
          <w:szCs w:val="24"/>
        </w:rPr>
      </w:pPr>
      <w:r>
        <w:rPr>
          <w:rFonts w:hint="eastAsia" w:ascii="宋体" w:hAnsi="宋体" w:cs="宋体"/>
          <w:sz w:val="24"/>
          <w:szCs w:val="24"/>
        </w:rPr>
        <w:t>3.履约担保有效期应不短于自合同生效之日起至乙方履行完毕本合同项下所有工作内容并提交全部最终成果资料之日。</w:t>
      </w:r>
    </w:p>
    <w:p w14:paraId="3C9BB3C7">
      <w:pPr>
        <w:pStyle w:val="45"/>
        <w:spacing w:line="360" w:lineRule="auto"/>
        <w:ind w:firstLine="480" w:firstLineChars="200"/>
        <w:rPr>
          <w:rFonts w:hint="eastAsia" w:ascii="宋体" w:hAnsi="宋体" w:cs="宋体"/>
          <w:sz w:val="24"/>
          <w:szCs w:val="24"/>
        </w:rPr>
      </w:pPr>
      <w:r>
        <w:rPr>
          <w:rFonts w:hint="eastAsia" w:ascii="宋体" w:hAnsi="宋体" w:cs="宋体"/>
          <w:sz w:val="24"/>
          <w:szCs w:val="24"/>
        </w:rPr>
        <w:t>4.在乙方按合同要求履行完毕本合同项下所有工作内容并提交全部最终成果资料后，由乙方向甲方提出退还履约担保申请，甲方收到退还履约担保申请后28天内退还乙方履约担保。履约保证金不计利息。</w:t>
      </w:r>
    </w:p>
    <w:p w14:paraId="75608A94">
      <w:pPr>
        <w:pStyle w:val="45"/>
        <w:spacing w:line="360" w:lineRule="auto"/>
        <w:ind w:firstLine="482" w:firstLineChars="200"/>
        <w:rPr>
          <w:rFonts w:hint="eastAsia" w:ascii="宋体" w:hAnsi="宋体" w:cs="宋体"/>
          <w:b/>
          <w:bCs/>
          <w:sz w:val="24"/>
          <w:szCs w:val="24"/>
        </w:rPr>
      </w:pPr>
      <w:r>
        <w:rPr>
          <w:rFonts w:hint="eastAsia" w:ascii="宋体" w:hAnsi="宋体" w:cs="宋体"/>
          <w:b/>
          <w:bCs/>
          <w:sz w:val="24"/>
          <w:szCs w:val="24"/>
        </w:rPr>
        <w:t>第</w:t>
      </w:r>
      <w:r>
        <w:rPr>
          <w:rFonts w:hint="eastAsia" w:ascii="宋体" w:hAnsi="宋体" w:cs="宋体"/>
          <w:b/>
          <w:bCs/>
          <w:sz w:val="24"/>
          <w:szCs w:val="24"/>
          <w:lang w:eastAsia="zh-CN"/>
        </w:rPr>
        <w:t>七</w:t>
      </w:r>
      <w:r>
        <w:rPr>
          <w:rFonts w:hint="eastAsia" w:ascii="宋体" w:hAnsi="宋体" w:cs="宋体"/>
          <w:b/>
          <w:bCs/>
          <w:sz w:val="24"/>
          <w:szCs w:val="24"/>
        </w:rPr>
        <w:t>条 双方的责任和义务</w:t>
      </w:r>
    </w:p>
    <w:p w14:paraId="11849096">
      <w:pPr>
        <w:pStyle w:val="45"/>
        <w:spacing w:line="360" w:lineRule="auto"/>
        <w:ind w:firstLine="482" w:firstLineChars="200"/>
        <w:rPr>
          <w:rFonts w:hint="eastAsia" w:ascii="宋体" w:hAnsi="宋体" w:cs="宋体"/>
          <w:b/>
          <w:bCs/>
          <w:sz w:val="24"/>
          <w:szCs w:val="24"/>
        </w:rPr>
      </w:pPr>
      <w:r>
        <w:rPr>
          <w:rFonts w:hint="eastAsia" w:ascii="宋体" w:hAnsi="宋体" w:cs="宋体"/>
          <w:b/>
          <w:bCs/>
          <w:sz w:val="24"/>
          <w:szCs w:val="24"/>
        </w:rPr>
        <w:t>（一）甲方责任和义务</w:t>
      </w:r>
    </w:p>
    <w:p w14:paraId="4613F3CF">
      <w:pPr>
        <w:pStyle w:val="45"/>
        <w:spacing w:line="360" w:lineRule="auto"/>
        <w:ind w:firstLine="480" w:firstLineChars="200"/>
        <w:rPr>
          <w:rFonts w:hint="eastAsia" w:ascii="宋体" w:hAnsi="宋体" w:cs="宋体"/>
          <w:sz w:val="24"/>
          <w:szCs w:val="24"/>
        </w:rPr>
      </w:pPr>
      <w:r>
        <w:rPr>
          <w:rFonts w:hint="eastAsia" w:ascii="宋体" w:hAnsi="宋体" w:cs="宋体"/>
          <w:sz w:val="24"/>
          <w:szCs w:val="24"/>
        </w:rPr>
        <w:t>1.甲方应按合同约定支付乙方合同费用。</w:t>
      </w:r>
    </w:p>
    <w:p w14:paraId="430D8795">
      <w:pPr>
        <w:pStyle w:val="45"/>
        <w:spacing w:line="360" w:lineRule="auto"/>
        <w:ind w:firstLine="480" w:firstLineChars="200"/>
        <w:rPr>
          <w:rFonts w:hint="eastAsia" w:ascii="宋体" w:hAnsi="宋体" w:cs="宋体"/>
          <w:sz w:val="24"/>
          <w:szCs w:val="24"/>
        </w:rPr>
      </w:pPr>
      <w:r>
        <w:rPr>
          <w:rFonts w:hint="eastAsia" w:ascii="宋体" w:hAnsi="宋体" w:cs="宋体"/>
          <w:sz w:val="24"/>
          <w:szCs w:val="24"/>
        </w:rPr>
        <w:t>2.甲方有权对乙方实施项目的进度、质量、安全、文明以及资金使用等进行监督、控制。</w:t>
      </w:r>
    </w:p>
    <w:p w14:paraId="56E1174F">
      <w:pPr>
        <w:pStyle w:val="45"/>
        <w:spacing w:line="360" w:lineRule="auto"/>
        <w:ind w:firstLine="480" w:firstLineChars="200"/>
        <w:rPr>
          <w:rFonts w:hint="eastAsia" w:ascii="宋体" w:hAnsi="宋体" w:cs="宋体"/>
          <w:sz w:val="24"/>
          <w:szCs w:val="24"/>
        </w:rPr>
      </w:pPr>
      <w:r>
        <w:rPr>
          <w:rFonts w:hint="eastAsia" w:ascii="宋体" w:hAnsi="宋体" w:cs="宋体"/>
          <w:sz w:val="24"/>
          <w:szCs w:val="24"/>
        </w:rPr>
        <w:t>3.承担履行合同过程中甲方的人身和财产安全责任。</w:t>
      </w:r>
    </w:p>
    <w:p w14:paraId="30F81DE7">
      <w:pPr>
        <w:pStyle w:val="45"/>
        <w:spacing w:line="360" w:lineRule="auto"/>
        <w:ind w:firstLine="482" w:firstLineChars="200"/>
        <w:rPr>
          <w:rFonts w:hint="eastAsia" w:ascii="宋体" w:hAnsi="宋体" w:cs="宋体"/>
          <w:b/>
          <w:sz w:val="24"/>
          <w:szCs w:val="24"/>
        </w:rPr>
      </w:pPr>
      <w:r>
        <w:rPr>
          <w:rFonts w:hint="eastAsia" w:ascii="宋体" w:hAnsi="宋体" w:cs="宋体"/>
          <w:b/>
          <w:sz w:val="24"/>
          <w:szCs w:val="24"/>
        </w:rPr>
        <w:t>（二）乙方责任和义务</w:t>
      </w:r>
    </w:p>
    <w:p w14:paraId="7698C68D">
      <w:pPr>
        <w:pStyle w:val="45"/>
        <w:spacing w:line="360" w:lineRule="auto"/>
        <w:ind w:firstLine="480" w:firstLineChars="200"/>
        <w:rPr>
          <w:rFonts w:hint="eastAsia" w:ascii="宋体" w:hAnsi="宋体" w:cs="宋体"/>
          <w:sz w:val="24"/>
          <w:szCs w:val="24"/>
        </w:rPr>
      </w:pPr>
      <w:r>
        <w:rPr>
          <w:rFonts w:hint="eastAsia" w:ascii="宋体" w:hAnsi="宋体" w:cs="宋体"/>
          <w:sz w:val="24"/>
          <w:szCs w:val="24"/>
        </w:rPr>
        <w:t>1.乙方应按照现行的技术标准、规范规定和行政主管部门要求，完成合同规定的所有工作内容。</w:t>
      </w:r>
    </w:p>
    <w:p w14:paraId="3CD236B4">
      <w:pPr>
        <w:pStyle w:val="45"/>
        <w:spacing w:line="360" w:lineRule="auto"/>
        <w:ind w:firstLine="480" w:firstLineChars="200"/>
        <w:rPr>
          <w:rFonts w:hint="eastAsia" w:ascii="宋体" w:hAnsi="宋体" w:cs="宋体"/>
          <w:bCs/>
          <w:sz w:val="24"/>
          <w:szCs w:val="24"/>
        </w:rPr>
      </w:pPr>
      <w:r>
        <w:rPr>
          <w:rFonts w:hint="eastAsia" w:ascii="宋体" w:hAnsi="宋体" w:cs="宋体"/>
          <w:bCs/>
          <w:sz w:val="24"/>
          <w:szCs w:val="24"/>
        </w:rPr>
        <w:t>2.乙方应在开工前向甲方提交详细的工作方案。</w:t>
      </w:r>
    </w:p>
    <w:p w14:paraId="12684C6F">
      <w:pPr>
        <w:pStyle w:val="45"/>
        <w:spacing w:line="360" w:lineRule="auto"/>
        <w:ind w:firstLine="480" w:firstLineChars="200"/>
        <w:rPr>
          <w:rFonts w:hint="eastAsia" w:ascii="宋体" w:hAnsi="宋体" w:cs="宋体"/>
          <w:bCs/>
          <w:sz w:val="24"/>
          <w:szCs w:val="24"/>
        </w:rPr>
      </w:pPr>
      <w:r>
        <w:rPr>
          <w:rFonts w:hint="eastAsia" w:ascii="宋体" w:hAnsi="宋体" w:cs="宋体"/>
          <w:sz w:val="24"/>
          <w:szCs w:val="24"/>
        </w:rPr>
        <w:t>3.乙方工作过程中应遵守国家及地方的有关法律、法规和规章，因乙方未能采取有效措施而发生的人身伤亡、罚款、赔偿、索赔、损失赔偿、诉讼费用及其他一切责任应由乙方负责。</w:t>
      </w:r>
    </w:p>
    <w:p w14:paraId="00CF1820">
      <w:pPr>
        <w:pStyle w:val="45"/>
        <w:spacing w:line="360" w:lineRule="auto"/>
        <w:ind w:firstLine="480" w:firstLineChars="200"/>
        <w:rPr>
          <w:rFonts w:hint="eastAsia" w:ascii="宋体" w:hAnsi="宋体" w:cs="宋体"/>
          <w:sz w:val="24"/>
          <w:szCs w:val="24"/>
        </w:rPr>
      </w:pPr>
      <w:r>
        <w:rPr>
          <w:rFonts w:hint="eastAsia" w:ascii="宋体" w:hAnsi="宋体" w:cs="宋体"/>
          <w:bCs/>
          <w:sz w:val="24"/>
          <w:szCs w:val="24"/>
        </w:rPr>
        <w:t>4.</w:t>
      </w:r>
      <w:r>
        <w:rPr>
          <w:rFonts w:hint="eastAsia" w:ascii="宋体" w:hAnsi="宋体" w:cs="宋体"/>
          <w:sz w:val="24"/>
          <w:szCs w:val="24"/>
        </w:rPr>
        <w:t>乙方对其所提交的服务成果质量负责，因成果质量问题而造成返工所发生的一切费用由乙方自理，造成甲方损失的还应予以赔偿。</w:t>
      </w:r>
    </w:p>
    <w:p w14:paraId="2457C857">
      <w:pPr>
        <w:pStyle w:val="45"/>
        <w:spacing w:line="360" w:lineRule="auto"/>
        <w:ind w:firstLine="480" w:firstLineChars="200"/>
        <w:rPr>
          <w:rFonts w:hint="eastAsia" w:ascii="宋体" w:hAnsi="宋体" w:cs="宋体"/>
          <w:sz w:val="24"/>
          <w:szCs w:val="24"/>
        </w:rPr>
      </w:pPr>
      <w:r>
        <w:rPr>
          <w:rFonts w:hint="eastAsia" w:ascii="宋体" w:hAnsi="宋体" w:cs="宋体"/>
          <w:bCs/>
          <w:sz w:val="24"/>
          <w:szCs w:val="24"/>
        </w:rPr>
        <w:t>5.</w:t>
      </w:r>
      <w:r>
        <w:rPr>
          <w:rFonts w:hint="eastAsia" w:ascii="宋体" w:hAnsi="宋体" w:cs="宋体"/>
          <w:sz w:val="24"/>
          <w:szCs w:val="24"/>
        </w:rPr>
        <w:t>乙方交付服务成果后，按规定参加</w:t>
      </w:r>
      <w:r>
        <w:rPr>
          <w:rFonts w:hint="eastAsia" w:ascii="宋体" w:hAnsi="宋体" w:cs="宋体"/>
          <w:sz w:val="24"/>
          <w:szCs w:val="24"/>
          <w:lang w:eastAsia="zh-CN"/>
        </w:rPr>
        <w:t>甲方或者</w:t>
      </w:r>
      <w:r>
        <w:rPr>
          <w:rFonts w:hint="eastAsia" w:ascii="宋体" w:hAnsi="宋体" w:cs="宋体"/>
          <w:sz w:val="24"/>
          <w:szCs w:val="24"/>
        </w:rPr>
        <w:t>有关主管部门的审查，</w:t>
      </w:r>
      <w:r>
        <w:rPr>
          <w:rFonts w:hint="eastAsia" w:ascii="宋体" w:hAnsi="宋体" w:cs="宋体"/>
          <w:sz w:val="24"/>
          <w:szCs w:val="24"/>
          <w:lang w:eastAsia="zh-CN"/>
        </w:rPr>
        <w:t>配合甲方开展成果评审验收，</w:t>
      </w:r>
      <w:r>
        <w:rPr>
          <w:rFonts w:hint="eastAsia" w:ascii="宋体" w:hAnsi="宋体" w:cs="宋体"/>
          <w:sz w:val="24"/>
          <w:szCs w:val="24"/>
        </w:rPr>
        <w:t>并负责根据审查</w:t>
      </w:r>
      <w:r>
        <w:rPr>
          <w:rFonts w:hint="eastAsia" w:ascii="宋体" w:hAnsi="宋体" w:cs="宋体"/>
          <w:sz w:val="24"/>
          <w:szCs w:val="24"/>
          <w:lang w:eastAsia="zh-CN"/>
        </w:rPr>
        <w:t>、评审</w:t>
      </w:r>
      <w:r>
        <w:rPr>
          <w:rFonts w:hint="eastAsia" w:ascii="宋体" w:hAnsi="宋体" w:cs="宋体"/>
          <w:sz w:val="24"/>
          <w:szCs w:val="24"/>
        </w:rPr>
        <w:t>结论做必要调整补充完善，直至项目通过验收。</w:t>
      </w:r>
    </w:p>
    <w:p w14:paraId="5092D2A4">
      <w:pPr>
        <w:pStyle w:val="45"/>
        <w:spacing w:line="360" w:lineRule="auto"/>
        <w:ind w:firstLine="480" w:firstLineChars="200"/>
        <w:rPr>
          <w:rFonts w:hint="eastAsia" w:ascii="宋体" w:hAnsi="宋体" w:cs="宋体"/>
          <w:sz w:val="24"/>
          <w:szCs w:val="24"/>
        </w:rPr>
      </w:pPr>
      <w:r>
        <w:rPr>
          <w:rFonts w:hint="eastAsia" w:ascii="宋体" w:hAnsi="宋体" w:cs="宋体"/>
          <w:bCs/>
          <w:sz w:val="24"/>
          <w:szCs w:val="24"/>
        </w:rPr>
        <w:t>6.</w:t>
      </w:r>
      <w:r>
        <w:rPr>
          <w:rFonts w:hint="eastAsia" w:ascii="宋体" w:hAnsi="宋体" w:cs="宋体"/>
          <w:sz w:val="24"/>
          <w:szCs w:val="24"/>
        </w:rPr>
        <w:t>乙方应安排投标文件中承诺的人员投入工作，并在服务过程中保持人员的相对稳定。在项目服务期间，未经甲方批准，乙方不得更换项目负责人。如果服务人员(含后续服务人员)不能胜任工作、渎职或从事其他违法活动，甲方有权提出更换要求，乙方应立即派出不低于原服务人员相应资历的人员替换并征得甲方同意。乙方在事先取得甲方的同意后可以更换其所派驻现场的人员，但应符合合同规定的资历要求。</w:t>
      </w:r>
    </w:p>
    <w:p w14:paraId="5F0609B6">
      <w:pPr>
        <w:pStyle w:val="45"/>
        <w:spacing w:line="360" w:lineRule="auto"/>
        <w:ind w:firstLine="480" w:firstLineChars="200"/>
        <w:rPr>
          <w:rFonts w:hint="eastAsia" w:ascii="宋体" w:hAnsi="宋体" w:cs="宋体"/>
          <w:sz w:val="24"/>
          <w:szCs w:val="24"/>
        </w:rPr>
      </w:pPr>
      <w:r>
        <w:rPr>
          <w:rFonts w:hint="eastAsia" w:ascii="宋体" w:hAnsi="宋体" w:cs="宋体"/>
          <w:sz w:val="24"/>
          <w:szCs w:val="24"/>
        </w:rPr>
        <w:t>7.乙方不得将本合同规定的服务任务转包。</w:t>
      </w:r>
    </w:p>
    <w:p w14:paraId="52820FDE">
      <w:pPr>
        <w:pStyle w:val="45"/>
        <w:spacing w:line="360" w:lineRule="auto"/>
        <w:ind w:firstLine="480" w:firstLineChars="200"/>
        <w:rPr>
          <w:rFonts w:hint="eastAsia" w:ascii="宋体" w:hAnsi="宋体" w:cs="宋体"/>
          <w:sz w:val="24"/>
          <w:szCs w:val="24"/>
        </w:rPr>
      </w:pPr>
      <w:r>
        <w:rPr>
          <w:rFonts w:hint="eastAsia" w:ascii="宋体" w:hAnsi="宋体" w:cs="宋体"/>
          <w:sz w:val="24"/>
          <w:szCs w:val="24"/>
        </w:rPr>
        <w:t>8.乙方的工作进度没有达到投标文件中承诺的进度计划时，甲方有权提出要求增加服务人员，乙方应立即安排，其费用被认为已包含在报价之中，甲方不另行支付费用。</w:t>
      </w:r>
    </w:p>
    <w:p w14:paraId="66A72E57">
      <w:pPr>
        <w:pStyle w:val="45"/>
        <w:spacing w:line="360" w:lineRule="auto"/>
        <w:ind w:firstLine="480" w:firstLineChars="200"/>
        <w:rPr>
          <w:rFonts w:hint="eastAsia" w:ascii="宋体" w:hAnsi="宋体" w:cs="宋体"/>
          <w:sz w:val="24"/>
          <w:szCs w:val="24"/>
        </w:rPr>
      </w:pPr>
      <w:r>
        <w:rPr>
          <w:rFonts w:hint="eastAsia" w:ascii="宋体" w:hAnsi="宋体" w:cs="宋体"/>
          <w:sz w:val="24"/>
          <w:szCs w:val="24"/>
        </w:rPr>
        <w:t>9.乙方在进行外业踏勘等工作时，应采取相应的安全、保卫和环境保护措施，因乙方未能采取有效措施而发生的与本项目服务活动有关的人身伤亡、罚款、索赔、损失赔偿、诉讼及其他一切责任应由乙方负责。</w:t>
      </w:r>
    </w:p>
    <w:p w14:paraId="413793B1">
      <w:pPr>
        <w:pStyle w:val="45"/>
        <w:spacing w:line="360" w:lineRule="auto"/>
        <w:ind w:firstLine="480" w:firstLineChars="200"/>
        <w:rPr>
          <w:rFonts w:hint="eastAsia" w:ascii="宋体" w:hAnsi="宋体" w:cs="宋体"/>
          <w:sz w:val="24"/>
          <w:szCs w:val="24"/>
        </w:rPr>
      </w:pPr>
      <w:r>
        <w:rPr>
          <w:rFonts w:hint="eastAsia" w:ascii="宋体" w:hAnsi="宋体" w:cs="宋体"/>
          <w:sz w:val="24"/>
          <w:szCs w:val="24"/>
        </w:rPr>
        <w:t>10.乙方服务过程中，提供的成果文件不应侵犯任何第三方的专利权、版权、及其他知识产权，否则由此而引起索赔或诉讼，乙方应承担全部责任，并保障甲方免于承担由此造成的一切损害和损失。</w:t>
      </w:r>
    </w:p>
    <w:p w14:paraId="1F43BC8E">
      <w:pPr>
        <w:pStyle w:val="45"/>
        <w:spacing w:line="360" w:lineRule="auto"/>
        <w:ind w:firstLine="480" w:firstLineChars="200"/>
        <w:rPr>
          <w:rFonts w:hint="eastAsia" w:ascii="宋体" w:hAnsi="宋体" w:cs="宋体"/>
          <w:sz w:val="24"/>
          <w:szCs w:val="24"/>
        </w:rPr>
      </w:pPr>
      <w:r>
        <w:rPr>
          <w:rFonts w:hint="eastAsia" w:ascii="宋体" w:hAnsi="宋体" w:cs="宋体"/>
          <w:sz w:val="24"/>
          <w:szCs w:val="24"/>
        </w:rPr>
        <w:t>12.承担履行合同过程中乙方的人身和财产安全责任。</w:t>
      </w:r>
    </w:p>
    <w:p w14:paraId="62E54B28">
      <w:pPr>
        <w:pStyle w:val="45"/>
        <w:spacing w:line="360" w:lineRule="auto"/>
        <w:ind w:firstLine="482" w:firstLineChars="200"/>
        <w:rPr>
          <w:rFonts w:hint="eastAsia" w:ascii="宋体" w:hAnsi="宋体" w:cs="宋体"/>
          <w:b/>
          <w:bCs/>
          <w:sz w:val="24"/>
          <w:szCs w:val="24"/>
        </w:rPr>
      </w:pPr>
      <w:r>
        <w:rPr>
          <w:rFonts w:hint="eastAsia" w:ascii="宋体" w:hAnsi="宋体" w:cs="宋体"/>
          <w:b/>
          <w:bCs/>
          <w:sz w:val="24"/>
          <w:szCs w:val="24"/>
        </w:rPr>
        <w:t>第</w:t>
      </w:r>
      <w:r>
        <w:rPr>
          <w:rFonts w:hint="eastAsia" w:ascii="宋体" w:hAnsi="宋体" w:cs="宋体"/>
          <w:b/>
          <w:bCs/>
          <w:sz w:val="24"/>
          <w:szCs w:val="24"/>
          <w:lang w:eastAsia="zh-CN"/>
        </w:rPr>
        <w:t>八</w:t>
      </w:r>
      <w:r>
        <w:rPr>
          <w:rFonts w:hint="eastAsia" w:ascii="宋体" w:hAnsi="宋体" w:cs="宋体"/>
          <w:b/>
          <w:bCs/>
          <w:sz w:val="24"/>
          <w:szCs w:val="24"/>
        </w:rPr>
        <w:t>条 知识产权</w:t>
      </w:r>
    </w:p>
    <w:p w14:paraId="10B754DD">
      <w:pPr>
        <w:pStyle w:val="45"/>
        <w:spacing w:line="360" w:lineRule="auto"/>
        <w:ind w:firstLine="480" w:firstLineChars="200"/>
        <w:rPr>
          <w:rFonts w:hint="eastAsia" w:ascii="宋体" w:hAnsi="宋体" w:cs="宋体"/>
          <w:sz w:val="24"/>
          <w:szCs w:val="24"/>
        </w:rPr>
      </w:pPr>
      <w:r>
        <w:rPr>
          <w:rFonts w:hint="eastAsia" w:ascii="宋体" w:hAnsi="宋体" w:cs="宋体"/>
          <w:sz w:val="24"/>
          <w:szCs w:val="24"/>
        </w:rPr>
        <w:t>1.在本合同有效期内，按合同约定所完成的与本服务内容相关的新的技术成果，全部归</w:t>
      </w:r>
      <w:r>
        <w:rPr>
          <w:rFonts w:hint="eastAsia" w:ascii="宋体" w:hAnsi="宋体" w:cs="宋体"/>
          <w:sz w:val="24"/>
          <w:szCs w:val="24"/>
          <w:u w:val="single"/>
        </w:rPr>
        <w:t>甲</w:t>
      </w:r>
      <w:r>
        <w:rPr>
          <w:rFonts w:hint="eastAsia" w:ascii="宋体" w:hAnsi="宋体" w:cs="宋体"/>
          <w:sz w:val="24"/>
          <w:szCs w:val="24"/>
        </w:rPr>
        <w:t>方所有。</w:t>
      </w:r>
    </w:p>
    <w:p w14:paraId="29713B43">
      <w:pPr>
        <w:pStyle w:val="45"/>
        <w:spacing w:line="360" w:lineRule="auto"/>
        <w:ind w:firstLine="480" w:firstLineChars="200"/>
        <w:rPr>
          <w:rFonts w:hint="eastAsia" w:ascii="宋体" w:hAnsi="宋体" w:cs="宋体"/>
          <w:sz w:val="24"/>
          <w:szCs w:val="24"/>
        </w:rPr>
      </w:pPr>
      <w:r>
        <w:rPr>
          <w:rFonts w:hint="eastAsia" w:ascii="宋体" w:hAnsi="宋体" w:cs="宋体"/>
          <w:sz w:val="24"/>
          <w:szCs w:val="24"/>
        </w:rPr>
        <w:t>2.乙方就本项目工作成果，未经甲方同意，乙方不得向第三方提供或用于本合同以外的项目，否则甲方有权追究乙方的责任。</w:t>
      </w:r>
    </w:p>
    <w:p w14:paraId="6C3A34E8">
      <w:pPr>
        <w:pStyle w:val="45"/>
        <w:spacing w:line="360" w:lineRule="auto"/>
        <w:ind w:firstLine="482" w:firstLineChars="200"/>
        <w:rPr>
          <w:rFonts w:hint="eastAsia" w:ascii="宋体" w:hAnsi="宋体" w:cs="宋体"/>
          <w:b/>
          <w:bCs/>
          <w:sz w:val="24"/>
          <w:szCs w:val="24"/>
        </w:rPr>
      </w:pPr>
      <w:r>
        <w:rPr>
          <w:rFonts w:hint="eastAsia" w:ascii="宋体" w:hAnsi="宋体" w:cs="宋体"/>
          <w:b/>
          <w:bCs/>
          <w:sz w:val="24"/>
          <w:szCs w:val="24"/>
        </w:rPr>
        <w:t>第</w:t>
      </w:r>
      <w:r>
        <w:rPr>
          <w:rFonts w:hint="eastAsia" w:ascii="宋体" w:hAnsi="宋体" w:cs="宋体"/>
          <w:b/>
          <w:bCs/>
          <w:sz w:val="24"/>
          <w:szCs w:val="24"/>
          <w:lang w:eastAsia="zh-CN"/>
        </w:rPr>
        <w:t>九</w:t>
      </w:r>
      <w:r>
        <w:rPr>
          <w:rFonts w:hint="eastAsia" w:ascii="宋体" w:hAnsi="宋体" w:cs="宋体"/>
          <w:b/>
          <w:bCs/>
          <w:sz w:val="24"/>
          <w:szCs w:val="24"/>
        </w:rPr>
        <w:t>条 保密规定</w:t>
      </w:r>
    </w:p>
    <w:p w14:paraId="2577ED9F">
      <w:pPr>
        <w:pStyle w:val="45"/>
        <w:spacing w:line="360" w:lineRule="auto"/>
        <w:ind w:firstLine="480" w:firstLineChars="200"/>
        <w:rPr>
          <w:rFonts w:hint="eastAsia" w:ascii="宋体" w:hAnsi="宋体" w:cs="宋体"/>
          <w:sz w:val="24"/>
          <w:szCs w:val="24"/>
        </w:rPr>
      </w:pPr>
      <w:r>
        <w:rPr>
          <w:rFonts w:hint="eastAsia" w:ascii="宋体" w:hAnsi="宋体" w:cs="宋体"/>
          <w:sz w:val="24"/>
          <w:szCs w:val="24"/>
        </w:rPr>
        <w:t>双方确定因履行本合同应遵守的保密义务如下：</w:t>
      </w:r>
    </w:p>
    <w:p w14:paraId="50B25183">
      <w:pPr>
        <w:pStyle w:val="45"/>
        <w:spacing w:line="360" w:lineRule="auto"/>
        <w:ind w:firstLine="480" w:firstLineChars="200"/>
        <w:rPr>
          <w:rFonts w:hint="eastAsia" w:ascii="宋体" w:hAnsi="宋体" w:cs="宋体"/>
          <w:sz w:val="24"/>
          <w:szCs w:val="24"/>
        </w:rPr>
      </w:pPr>
      <w:r>
        <w:rPr>
          <w:rFonts w:hint="eastAsia" w:ascii="宋体" w:hAnsi="宋体" w:cs="宋体"/>
          <w:sz w:val="24"/>
          <w:szCs w:val="24"/>
        </w:rPr>
        <w:t>本协议项下保密信息的保密期限自本协议生效之日起至保密信息公开之日或信息提供方许可公开之日止。双方业务合作事宜的终止、失败或者完成不影响本协议所规定的保密义务的履行。</w:t>
      </w:r>
    </w:p>
    <w:p w14:paraId="75FEF648">
      <w:pPr>
        <w:pStyle w:val="45"/>
        <w:spacing w:line="360" w:lineRule="auto"/>
        <w:ind w:firstLine="480" w:firstLineChars="200"/>
        <w:rPr>
          <w:rFonts w:hint="eastAsia" w:ascii="宋体" w:hAnsi="宋体" w:cs="宋体"/>
          <w:sz w:val="24"/>
          <w:szCs w:val="24"/>
        </w:rPr>
      </w:pPr>
      <w:r>
        <w:rPr>
          <w:rFonts w:hint="eastAsia" w:ascii="宋体" w:hAnsi="宋体" w:cs="宋体"/>
          <w:sz w:val="24"/>
          <w:szCs w:val="24"/>
        </w:rPr>
        <w:t>1.甲方和乙方双方均不得将本合同中的内容及在本合同执行过程中获得的对方商业信息、技术秘密及其他经营管理、技术等相关信息向任何第三方泄露。本合同无论期满、解除或终止，保密义务仍然有效。双方认可，作为乙方公司的员工或涉及项目的相关人员，除应履行一般的保密义务外，就该项目所涉的任何国家秘密、商业秘密，乙方应均予以严格保密。</w:t>
      </w:r>
    </w:p>
    <w:p w14:paraId="206F6D20">
      <w:pPr>
        <w:pStyle w:val="45"/>
        <w:spacing w:line="360" w:lineRule="auto"/>
        <w:ind w:firstLine="480" w:firstLineChars="200"/>
        <w:rPr>
          <w:rFonts w:hint="eastAsia" w:ascii="宋体" w:hAnsi="宋体" w:cs="宋体"/>
          <w:sz w:val="24"/>
          <w:szCs w:val="24"/>
        </w:rPr>
      </w:pPr>
      <w:r>
        <w:rPr>
          <w:rFonts w:hint="eastAsia" w:ascii="宋体" w:hAnsi="宋体" w:cs="宋体"/>
          <w:sz w:val="24"/>
          <w:szCs w:val="24"/>
        </w:rPr>
        <w:t>2.甲方向乙方提供的所有资料均为保密资料，乙方除在履行本合同下义务时可向受雇于乙方的相关研究人员透露外，不能在任何情况下(包括本合同有效期内及之后)向第三者透露。</w:t>
      </w:r>
    </w:p>
    <w:p w14:paraId="5450003B">
      <w:pPr>
        <w:pStyle w:val="45"/>
        <w:spacing w:line="360" w:lineRule="auto"/>
        <w:ind w:firstLine="480" w:firstLineChars="200"/>
        <w:rPr>
          <w:rFonts w:hint="eastAsia" w:ascii="宋体" w:hAnsi="宋体" w:cs="宋体"/>
          <w:sz w:val="24"/>
          <w:szCs w:val="24"/>
        </w:rPr>
      </w:pPr>
      <w:r>
        <w:rPr>
          <w:rFonts w:hint="eastAsia" w:ascii="宋体" w:hAnsi="宋体" w:cs="宋体"/>
          <w:sz w:val="24"/>
          <w:szCs w:val="24"/>
        </w:rPr>
        <w:t>3.乙方服务人员在甲方处工作或参与项目期间，乙方违反保密规定的，虽未造成甲方、甲方关联单位经济、利益、声誉等各种损失，但给甲方正常经营活动带来不便的，甲方有权将乙方服务人员调离项目，并根据规章制度予以处罚；情节严重的，甲方有权无条件解除与乙方的合同关系，乙方应当给予甲方相应的损害赔偿。</w:t>
      </w:r>
    </w:p>
    <w:p w14:paraId="57A2146B">
      <w:pPr>
        <w:pStyle w:val="45"/>
        <w:spacing w:line="360" w:lineRule="auto"/>
        <w:ind w:firstLine="480" w:firstLineChars="200"/>
        <w:rPr>
          <w:rFonts w:hint="eastAsia" w:ascii="宋体" w:hAnsi="宋体" w:cs="宋体"/>
          <w:sz w:val="24"/>
          <w:szCs w:val="24"/>
        </w:rPr>
      </w:pPr>
      <w:r>
        <w:rPr>
          <w:rFonts w:hint="eastAsia" w:ascii="宋体" w:hAnsi="宋体" w:cs="宋体"/>
          <w:sz w:val="24"/>
          <w:szCs w:val="24"/>
        </w:rPr>
        <w:t>4.乙方在甲方处工作或参与该项目期间，乙方违反保密规定的，造成甲方、甲方关联单位及经济、利益、声誉等损失的，甲方有权要求乙方赔偿甲方相应的损失并无条件与乙方解除合同关系；构成犯罪的，甲方将上报相关部门，依法追究乙方刑事责任。</w:t>
      </w:r>
    </w:p>
    <w:p w14:paraId="287ED774">
      <w:pPr>
        <w:pStyle w:val="45"/>
        <w:spacing w:line="360" w:lineRule="auto"/>
        <w:ind w:firstLine="480" w:firstLineChars="200"/>
        <w:rPr>
          <w:rFonts w:hint="eastAsia" w:ascii="宋体" w:hAnsi="宋体" w:cs="宋体"/>
          <w:sz w:val="24"/>
          <w:szCs w:val="24"/>
        </w:rPr>
      </w:pPr>
      <w:r>
        <w:rPr>
          <w:rFonts w:hint="eastAsia" w:ascii="宋体" w:hAnsi="宋体" w:cs="宋体"/>
          <w:sz w:val="24"/>
          <w:szCs w:val="24"/>
        </w:rPr>
        <w:t>5.项目完成/终止后或甲方与乙方的合同终止或解除，乙方违反保密规定的，甲方仍有权依法追究乙方全部的赔偿责任。</w:t>
      </w:r>
    </w:p>
    <w:p w14:paraId="06F4164A">
      <w:pPr>
        <w:pStyle w:val="45"/>
        <w:spacing w:line="360" w:lineRule="auto"/>
        <w:ind w:firstLine="480" w:firstLineChars="200"/>
        <w:rPr>
          <w:rFonts w:hint="eastAsia" w:ascii="宋体" w:hAnsi="宋体" w:cs="宋体"/>
          <w:sz w:val="24"/>
          <w:szCs w:val="24"/>
        </w:rPr>
      </w:pPr>
      <w:r>
        <w:rPr>
          <w:rFonts w:hint="eastAsia" w:ascii="宋体" w:hAnsi="宋体" w:cs="宋体"/>
          <w:sz w:val="24"/>
          <w:szCs w:val="24"/>
        </w:rPr>
        <w:t>6.乙方违反保密义务的，应向甲方支付一万元/次的违约金，并赔偿甲方因此而遭受的损失。</w:t>
      </w:r>
    </w:p>
    <w:p w14:paraId="1E17D8ED">
      <w:pPr>
        <w:pStyle w:val="45"/>
        <w:spacing w:line="360" w:lineRule="auto"/>
        <w:ind w:firstLine="482" w:firstLineChars="200"/>
        <w:rPr>
          <w:rFonts w:hint="eastAsia" w:ascii="宋体" w:hAnsi="宋体" w:cs="宋体"/>
          <w:b/>
          <w:bCs/>
          <w:sz w:val="24"/>
          <w:szCs w:val="24"/>
        </w:rPr>
      </w:pPr>
      <w:r>
        <w:rPr>
          <w:rFonts w:hint="eastAsia" w:ascii="宋体" w:hAnsi="宋体" w:cs="宋体"/>
          <w:b/>
          <w:bCs/>
          <w:sz w:val="24"/>
          <w:szCs w:val="24"/>
        </w:rPr>
        <w:t>第</w:t>
      </w:r>
      <w:r>
        <w:rPr>
          <w:rFonts w:hint="eastAsia" w:ascii="宋体" w:hAnsi="宋体" w:cs="宋体"/>
          <w:b/>
          <w:bCs/>
          <w:sz w:val="24"/>
          <w:szCs w:val="24"/>
          <w:lang w:eastAsia="zh-CN"/>
        </w:rPr>
        <w:t>十</w:t>
      </w:r>
      <w:r>
        <w:rPr>
          <w:rFonts w:hint="eastAsia" w:ascii="宋体" w:hAnsi="宋体" w:cs="宋体"/>
          <w:b/>
          <w:bCs/>
          <w:sz w:val="24"/>
          <w:szCs w:val="24"/>
        </w:rPr>
        <w:t>条 违约责任</w:t>
      </w:r>
    </w:p>
    <w:p w14:paraId="25F7CEEF">
      <w:pPr>
        <w:pStyle w:val="45"/>
        <w:spacing w:line="360" w:lineRule="auto"/>
        <w:ind w:firstLine="482" w:firstLineChars="200"/>
        <w:rPr>
          <w:rFonts w:hint="eastAsia" w:ascii="宋体" w:hAnsi="宋体" w:cs="宋体"/>
          <w:b/>
          <w:sz w:val="24"/>
          <w:szCs w:val="24"/>
        </w:rPr>
      </w:pPr>
      <w:r>
        <w:rPr>
          <w:rFonts w:hint="eastAsia" w:ascii="宋体" w:hAnsi="宋体" w:cs="宋体"/>
          <w:b/>
          <w:sz w:val="24"/>
          <w:szCs w:val="24"/>
        </w:rPr>
        <w:t>（一）甲方违约责任</w:t>
      </w:r>
    </w:p>
    <w:p w14:paraId="351D8E90">
      <w:pPr>
        <w:pStyle w:val="45"/>
        <w:spacing w:line="360" w:lineRule="auto"/>
        <w:ind w:firstLine="480" w:firstLineChars="200"/>
        <w:rPr>
          <w:rFonts w:hint="eastAsia" w:ascii="宋体" w:hAnsi="宋体" w:cs="宋体"/>
          <w:sz w:val="24"/>
          <w:szCs w:val="24"/>
        </w:rPr>
      </w:pPr>
      <w:r>
        <w:rPr>
          <w:rFonts w:hint="eastAsia" w:ascii="宋体" w:hAnsi="宋体" w:cs="宋体"/>
          <w:sz w:val="24"/>
          <w:szCs w:val="24"/>
        </w:rPr>
        <w:t>1.本项目经费为政府资金，视经费到位情况并按照国库集中支付或政府部门预算管理规定等国家相关规定办理支付，因政府资金不能按时到位导致不能及时付款的，不视为甲方违约。</w:t>
      </w:r>
    </w:p>
    <w:p w14:paraId="07409DD3">
      <w:pPr>
        <w:pStyle w:val="45"/>
        <w:spacing w:line="360" w:lineRule="auto"/>
        <w:ind w:firstLine="480" w:firstLineChars="200"/>
        <w:rPr>
          <w:rFonts w:hint="eastAsia" w:ascii="宋体" w:hAnsi="宋体" w:eastAsia="宋体" w:cs="宋体"/>
          <w:sz w:val="24"/>
          <w:szCs w:val="24"/>
          <w:lang w:eastAsia="zh-CN"/>
        </w:rPr>
      </w:pPr>
      <w:r>
        <w:rPr>
          <w:rFonts w:hint="eastAsia" w:ascii="宋体" w:hAnsi="宋体" w:cs="宋体"/>
          <w:sz w:val="24"/>
          <w:szCs w:val="24"/>
        </w:rPr>
        <w:t>2.在合同履行期间，甲方要求终止或解除合同（非乙方原因）</w:t>
      </w:r>
      <w:r>
        <w:rPr>
          <w:rFonts w:hint="eastAsia" w:ascii="宋体" w:hAnsi="宋体" w:cs="宋体"/>
          <w:sz w:val="24"/>
          <w:szCs w:val="24"/>
          <w:lang w:eastAsia="zh-CN"/>
        </w:rPr>
        <w:t>的</w:t>
      </w:r>
      <w:r>
        <w:rPr>
          <w:rFonts w:hint="eastAsia" w:ascii="宋体" w:hAnsi="宋体" w:cs="宋体"/>
          <w:sz w:val="24"/>
          <w:szCs w:val="24"/>
        </w:rPr>
        <w:t>，甲方应按乙方完成的实际工作量支付费用</w:t>
      </w:r>
      <w:r>
        <w:rPr>
          <w:rFonts w:hint="eastAsia" w:ascii="宋体" w:hAnsi="宋体" w:cs="宋体"/>
          <w:sz w:val="24"/>
          <w:szCs w:val="24"/>
          <w:lang w:eastAsia="zh-CN"/>
        </w:rPr>
        <w:t>。</w:t>
      </w:r>
    </w:p>
    <w:p w14:paraId="2C661099">
      <w:pPr>
        <w:pStyle w:val="45"/>
        <w:spacing w:line="360" w:lineRule="auto"/>
        <w:ind w:firstLine="482" w:firstLineChars="200"/>
        <w:rPr>
          <w:rFonts w:hint="eastAsia" w:ascii="宋体" w:hAnsi="宋体" w:cs="宋体"/>
          <w:b/>
          <w:sz w:val="24"/>
          <w:szCs w:val="24"/>
        </w:rPr>
      </w:pPr>
      <w:r>
        <w:rPr>
          <w:rFonts w:hint="eastAsia" w:ascii="宋体" w:hAnsi="宋体" w:cs="宋体"/>
          <w:b/>
          <w:sz w:val="24"/>
          <w:szCs w:val="24"/>
        </w:rPr>
        <w:t>（二）乙方违约责任</w:t>
      </w:r>
    </w:p>
    <w:p w14:paraId="2B6F1417">
      <w:pPr>
        <w:pStyle w:val="45"/>
        <w:spacing w:line="360" w:lineRule="auto"/>
        <w:ind w:firstLine="480" w:firstLineChars="200"/>
        <w:rPr>
          <w:rFonts w:hint="eastAsia" w:ascii="宋体" w:hAnsi="宋体" w:cs="宋体"/>
          <w:sz w:val="24"/>
          <w:szCs w:val="24"/>
        </w:rPr>
      </w:pPr>
      <w:r>
        <w:rPr>
          <w:rFonts w:hint="eastAsia" w:ascii="宋体" w:hAnsi="宋体" w:cs="宋体"/>
          <w:sz w:val="24"/>
          <w:szCs w:val="24"/>
        </w:rPr>
        <w:t>1.乙方不得转包本合同项目，否则甲方有权解除合同并要求乙方退还所有已付费用，同时，乙方支付甲方签约合同总价5%的违约金并赔偿甲方因此遭受的全部损失。</w:t>
      </w:r>
    </w:p>
    <w:p w14:paraId="32BFFF37">
      <w:pPr>
        <w:pStyle w:val="45"/>
        <w:spacing w:line="360" w:lineRule="auto"/>
        <w:ind w:firstLine="480" w:firstLineChars="200"/>
        <w:rPr>
          <w:rFonts w:hint="eastAsia" w:ascii="宋体" w:hAnsi="宋体" w:cs="宋体"/>
          <w:sz w:val="24"/>
          <w:szCs w:val="24"/>
        </w:rPr>
      </w:pPr>
      <w:r>
        <w:rPr>
          <w:rFonts w:hint="eastAsia" w:ascii="宋体" w:hAnsi="宋体" w:cs="宋体"/>
          <w:sz w:val="24"/>
          <w:szCs w:val="24"/>
        </w:rPr>
        <w:t>2.乙方的项目负责人和其他人员应与响应文件所承诺的名单一致，未经甲方同意，上述人员不应无故不到位或被替换(但因不可抗力引起的人员变动除外)；发生以上情况，甲方书面提醒后，乙方仍未整改的，乙方将被处以人民币壹万元/人次的违约金，由此引起的责任由乙方负责，甲方有权解除合同，乙方自行承担已发生的费用。</w:t>
      </w:r>
    </w:p>
    <w:p w14:paraId="277F82F9">
      <w:pPr>
        <w:pStyle w:val="45"/>
        <w:spacing w:line="360" w:lineRule="auto"/>
        <w:ind w:firstLine="480" w:firstLineChars="200"/>
        <w:rPr>
          <w:rFonts w:hint="eastAsia" w:ascii="宋体" w:hAnsi="宋体" w:cs="宋体"/>
          <w:sz w:val="24"/>
          <w:szCs w:val="24"/>
        </w:rPr>
      </w:pPr>
      <w:r>
        <w:rPr>
          <w:rFonts w:hint="eastAsia" w:ascii="宋体" w:hAnsi="宋体" w:cs="宋体"/>
          <w:sz w:val="24"/>
          <w:szCs w:val="24"/>
        </w:rPr>
        <w:t>3.乙方未按本合同规定完成合同工作（含提交成果文件）的，乙方须向甲方支付延期违约金，每延期一天按合同总额的0.2‰计算。拖期超过30天，甲方有权单方解除合同，给甲方造成损失的，乙方负责赔偿，甲方的损失包括但不限于诉讼费、保全费、保全保险费、律师费等费用。</w:t>
      </w:r>
    </w:p>
    <w:p w14:paraId="51420D4F">
      <w:pPr>
        <w:pStyle w:val="45"/>
        <w:spacing w:line="360" w:lineRule="auto"/>
        <w:ind w:firstLine="480" w:firstLineChars="200"/>
        <w:rPr>
          <w:rFonts w:hint="eastAsia" w:ascii="宋体" w:hAnsi="宋体" w:cs="宋体"/>
          <w:sz w:val="24"/>
          <w:szCs w:val="24"/>
        </w:rPr>
      </w:pPr>
      <w:r>
        <w:rPr>
          <w:rFonts w:hint="eastAsia" w:ascii="宋体" w:hAnsi="宋体" w:cs="宋体"/>
          <w:sz w:val="24"/>
          <w:szCs w:val="24"/>
        </w:rPr>
        <w:t>4.在合同履行期间，乙方无故要求终止或解除合同，乙方应退还甲方已支付的全部费用，并向甲方支付签约合同总价5%的违约金且赔偿甲方因此遭受的全部损失。</w:t>
      </w:r>
    </w:p>
    <w:p w14:paraId="060B4641">
      <w:pPr>
        <w:pStyle w:val="45"/>
        <w:spacing w:line="360" w:lineRule="auto"/>
        <w:ind w:firstLine="480" w:firstLineChars="200"/>
        <w:rPr>
          <w:rFonts w:hint="eastAsia" w:ascii="宋体" w:hAnsi="宋体" w:cs="宋体"/>
          <w:sz w:val="24"/>
          <w:szCs w:val="24"/>
        </w:rPr>
      </w:pPr>
      <w:r>
        <w:rPr>
          <w:rFonts w:hint="eastAsia" w:ascii="宋体" w:hAnsi="宋体" w:cs="宋体"/>
          <w:sz w:val="24"/>
          <w:szCs w:val="24"/>
        </w:rPr>
        <w:t>5.乙方未按本合同规定开展研究工作，导致甲方按照乙方提交的研究成果作出决策造成损失的，由乙方承担，且乙方应向甲方支付签约合同总价5%的违约金并赔偿甲方损失。</w:t>
      </w:r>
    </w:p>
    <w:p w14:paraId="7AB9ADED">
      <w:pPr>
        <w:pStyle w:val="45"/>
        <w:spacing w:line="360" w:lineRule="auto"/>
        <w:ind w:firstLine="480" w:firstLineChars="200"/>
        <w:rPr>
          <w:rFonts w:hint="eastAsia" w:ascii="宋体" w:hAnsi="宋体" w:cs="宋体"/>
          <w:sz w:val="24"/>
          <w:szCs w:val="24"/>
        </w:rPr>
      </w:pPr>
      <w:r>
        <w:rPr>
          <w:rFonts w:hint="eastAsia" w:ascii="宋体" w:hAnsi="宋体" w:cs="宋体"/>
          <w:sz w:val="24"/>
          <w:szCs w:val="24"/>
        </w:rPr>
        <w:t>6.乙方在本项目的人员应当具备法律规定、行业规定的相关资质并对其工作期间的行为负责。若乙方指派人员在工作中因故意或重大过失给甲方造成损失的，由乙方承担全部法律责任。</w:t>
      </w:r>
    </w:p>
    <w:p w14:paraId="35AACCA0">
      <w:pPr>
        <w:pStyle w:val="45"/>
        <w:spacing w:line="360" w:lineRule="auto"/>
        <w:ind w:firstLine="480" w:firstLineChars="200"/>
        <w:rPr>
          <w:rFonts w:hint="eastAsia" w:ascii="宋体" w:hAnsi="宋体" w:cs="宋体"/>
          <w:sz w:val="24"/>
          <w:szCs w:val="24"/>
        </w:rPr>
      </w:pPr>
      <w:r>
        <w:rPr>
          <w:rFonts w:hint="eastAsia" w:ascii="宋体" w:hAnsi="宋体" w:cs="宋体"/>
          <w:sz w:val="24"/>
          <w:szCs w:val="24"/>
        </w:rPr>
        <w:t>7.因乙方违约产生的一切法律纠纷，造成甲方所产生的包括但不限于律师费、诉讼费、仲裁费、评估鉴定费以及承担的损失、赔偿责任等，均由乙方承担。</w:t>
      </w:r>
    </w:p>
    <w:p w14:paraId="5B182F34">
      <w:pPr>
        <w:pStyle w:val="45"/>
        <w:spacing w:line="360" w:lineRule="auto"/>
        <w:ind w:firstLine="480" w:firstLineChars="200"/>
        <w:rPr>
          <w:rFonts w:hint="eastAsia" w:ascii="宋体" w:hAnsi="宋体" w:cs="宋体"/>
          <w:sz w:val="24"/>
          <w:szCs w:val="24"/>
        </w:rPr>
      </w:pPr>
      <w:r>
        <w:rPr>
          <w:rFonts w:hint="eastAsia" w:ascii="宋体" w:hAnsi="宋体" w:cs="宋体"/>
          <w:sz w:val="24"/>
          <w:szCs w:val="24"/>
        </w:rPr>
        <w:t>8.本合同项下的违约金和赔偿，甲方均有权从应付给乙方的款项或履约保证金中扣除，不足部分由乙方补足。前述条款约定的违约金和赔偿不足以弥补甲方损失的，乙方应继续赔偿甲方的损失，在收到甲方书面通知后三日内另行支付。</w:t>
      </w:r>
    </w:p>
    <w:p w14:paraId="7F3CBB46">
      <w:pPr>
        <w:pStyle w:val="45"/>
        <w:spacing w:line="360" w:lineRule="auto"/>
        <w:ind w:firstLine="482" w:firstLineChars="200"/>
        <w:rPr>
          <w:rFonts w:hint="eastAsia" w:ascii="宋体" w:hAnsi="宋体" w:cs="宋体"/>
          <w:sz w:val="24"/>
          <w:szCs w:val="24"/>
        </w:rPr>
      </w:pPr>
      <w:r>
        <w:rPr>
          <w:rFonts w:hint="eastAsia" w:ascii="宋体" w:hAnsi="宋体" w:cs="宋体"/>
          <w:b/>
          <w:bCs/>
          <w:sz w:val="24"/>
          <w:szCs w:val="24"/>
        </w:rPr>
        <w:t>第十</w:t>
      </w:r>
      <w:r>
        <w:rPr>
          <w:rFonts w:hint="eastAsia" w:ascii="宋体" w:hAnsi="宋体" w:cs="宋体"/>
          <w:b/>
          <w:bCs/>
          <w:sz w:val="24"/>
          <w:szCs w:val="24"/>
          <w:lang w:eastAsia="zh-CN"/>
        </w:rPr>
        <w:t>一</w:t>
      </w:r>
      <w:r>
        <w:rPr>
          <w:rFonts w:hint="eastAsia" w:ascii="宋体" w:hAnsi="宋体" w:cs="宋体"/>
          <w:b/>
          <w:bCs/>
          <w:sz w:val="24"/>
          <w:szCs w:val="24"/>
        </w:rPr>
        <w:t>条 分包</w:t>
      </w:r>
    </w:p>
    <w:p w14:paraId="3A65D1EE">
      <w:pPr>
        <w:pStyle w:val="45"/>
        <w:spacing w:line="360" w:lineRule="auto"/>
        <w:ind w:firstLine="482" w:firstLineChars="200"/>
        <w:rPr>
          <w:rFonts w:hint="eastAsia" w:ascii="宋体" w:hAnsi="宋体" w:cs="宋体"/>
          <w:sz w:val="24"/>
          <w:szCs w:val="24"/>
        </w:rPr>
      </w:pPr>
      <w:r>
        <w:rPr>
          <w:rFonts w:hint="eastAsia" w:ascii="宋体" w:hAnsi="宋体" w:cs="宋体"/>
          <w:b/>
          <w:bCs/>
          <w:sz w:val="24"/>
          <w:szCs w:val="24"/>
        </w:rPr>
        <w:t>乙方不得将主体、关键性工作分包给第三方，如有分包计划，须经发包人批准。</w:t>
      </w:r>
    </w:p>
    <w:p w14:paraId="7AFE345B">
      <w:pPr>
        <w:pStyle w:val="45"/>
        <w:spacing w:line="360" w:lineRule="auto"/>
        <w:ind w:firstLine="482" w:firstLineChars="200"/>
        <w:rPr>
          <w:rFonts w:hint="eastAsia" w:ascii="宋体" w:hAnsi="宋体" w:cs="宋体"/>
          <w:sz w:val="24"/>
          <w:szCs w:val="24"/>
        </w:rPr>
      </w:pPr>
      <w:r>
        <w:rPr>
          <w:rFonts w:hint="eastAsia" w:ascii="宋体" w:hAnsi="宋体" w:cs="宋体"/>
          <w:b/>
          <w:bCs/>
          <w:sz w:val="24"/>
          <w:szCs w:val="24"/>
        </w:rPr>
        <w:t>第十</w:t>
      </w:r>
      <w:r>
        <w:rPr>
          <w:rFonts w:hint="eastAsia" w:ascii="宋体" w:hAnsi="宋体" w:cs="宋体"/>
          <w:b/>
          <w:bCs/>
          <w:sz w:val="24"/>
          <w:szCs w:val="24"/>
          <w:lang w:eastAsia="zh-CN"/>
        </w:rPr>
        <w:t>二</w:t>
      </w:r>
      <w:r>
        <w:rPr>
          <w:rFonts w:hint="eastAsia" w:ascii="宋体" w:hAnsi="宋体" w:cs="宋体"/>
          <w:b/>
          <w:bCs/>
          <w:sz w:val="24"/>
          <w:szCs w:val="24"/>
        </w:rPr>
        <w:t>条 不可抗力</w:t>
      </w:r>
    </w:p>
    <w:p w14:paraId="42A9A72D">
      <w:pPr>
        <w:pStyle w:val="45"/>
        <w:spacing w:line="360" w:lineRule="auto"/>
        <w:ind w:firstLine="480" w:firstLineChars="200"/>
        <w:rPr>
          <w:rFonts w:hint="eastAsia" w:ascii="宋体" w:hAnsi="宋体" w:cs="宋体"/>
          <w:sz w:val="24"/>
          <w:szCs w:val="24"/>
        </w:rPr>
      </w:pPr>
      <w:r>
        <w:rPr>
          <w:rFonts w:hint="eastAsia" w:ascii="宋体" w:hAnsi="宋体" w:cs="宋体"/>
          <w:sz w:val="24"/>
          <w:szCs w:val="24"/>
        </w:rPr>
        <w:t>本合同所称不可抗力是指不能预见、不能克服、不能避免并对一方当事人造成重大影响的客观事件，如洪水、泥石流、地震、火灾、风暴等自然现象以及战争、动乱、政府行为等社会事件。</w:t>
      </w:r>
    </w:p>
    <w:p w14:paraId="4C98CFC4">
      <w:pPr>
        <w:pStyle w:val="45"/>
        <w:spacing w:line="360" w:lineRule="auto"/>
        <w:ind w:firstLine="480" w:firstLineChars="200"/>
        <w:rPr>
          <w:rFonts w:hint="eastAsia" w:ascii="宋体" w:hAnsi="宋体" w:cs="宋体"/>
          <w:sz w:val="24"/>
          <w:szCs w:val="24"/>
        </w:rPr>
      </w:pPr>
      <w:r>
        <w:rPr>
          <w:rFonts w:hint="eastAsia" w:ascii="宋体" w:hAnsi="宋体" w:cs="宋体"/>
          <w:sz w:val="24"/>
          <w:szCs w:val="24"/>
        </w:rPr>
        <w:t>发生不可抗力事件，一方在本合同项下受不可抗力影响的义务在不可抗力造成的延误期间自动中止，其履行期限应自动延长，延长期间为中止的期间，该方无须为此承担违约责任。</w:t>
      </w:r>
    </w:p>
    <w:p w14:paraId="7FBB0D71">
      <w:pPr>
        <w:pStyle w:val="45"/>
        <w:spacing w:line="360" w:lineRule="auto"/>
        <w:ind w:firstLine="482" w:firstLineChars="200"/>
        <w:rPr>
          <w:rFonts w:hint="eastAsia" w:ascii="宋体" w:hAnsi="宋体" w:cs="宋体"/>
          <w:sz w:val="24"/>
          <w:szCs w:val="24"/>
        </w:rPr>
      </w:pPr>
      <w:r>
        <w:rPr>
          <w:rFonts w:hint="eastAsia" w:ascii="宋体" w:hAnsi="宋体" w:cs="宋体"/>
          <w:b/>
          <w:bCs/>
          <w:sz w:val="24"/>
          <w:szCs w:val="24"/>
        </w:rPr>
        <w:t>第十</w:t>
      </w:r>
      <w:r>
        <w:rPr>
          <w:rFonts w:hint="eastAsia" w:ascii="宋体" w:hAnsi="宋体" w:cs="宋体"/>
          <w:b/>
          <w:bCs/>
          <w:sz w:val="24"/>
          <w:szCs w:val="24"/>
          <w:lang w:eastAsia="zh-CN"/>
        </w:rPr>
        <w:t>三</w:t>
      </w:r>
      <w:r>
        <w:rPr>
          <w:rFonts w:hint="eastAsia" w:ascii="宋体" w:hAnsi="宋体" w:cs="宋体"/>
          <w:b/>
          <w:bCs/>
          <w:sz w:val="24"/>
          <w:szCs w:val="24"/>
        </w:rPr>
        <w:t>条 争议的解决</w:t>
      </w:r>
    </w:p>
    <w:p w14:paraId="4689007D">
      <w:pPr>
        <w:pStyle w:val="45"/>
        <w:spacing w:line="360" w:lineRule="auto"/>
        <w:ind w:firstLine="480" w:firstLineChars="200"/>
        <w:rPr>
          <w:rFonts w:hint="eastAsia" w:ascii="宋体" w:hAnsi="宋体" w:cs="宋体"/>
          <w:sz w:val="24"/>
          <w:szCs w:val="24"/>
        </w:rPr>
      </w:pPr>
      <w:r>
        <w:rPr>
          <w:rFonts w:hint="eastAsia" w:ascii="宋体" w:hAnsi="宋体" w:cs="宋体"/>
          <w:sz w:val="24"/>
          <w:szCs w:val="24"/>
        </w:rPr>
        <w:t>本合同争议的解决方式是：因本合同发生的或与本合同有关的任何争议，均提请南宁仲裁委员会按照该会仲裁规则进行仲裁。仲裁裁决是终局的，对双方均有约束力</w:t>
      </w:r>
    </w:p>
    <w:p w14:paraId="2D0F364E">
      <w:pPr>
        <w:pStyle w:val="45"/>
        <w:spacing w:line="360" w:lineRule="auto"/>
        <w:ind w:firstLine="482" w:firstLineChars="200"/>
        <w:rPr>
          <w:rFonts w:hint="eastAsia" w:ascii="宋体" w:hAnsi="宋体" w:cs="宋体"/>
          <w:sz w:val="24"/>
          <w:szCs w:val="24"/>
        </w:rPr>
      </w:pPr>
      <w:r>
        <w:rPr>
          <w:rFonts w:hint="eastAsia" w:ascii="宋体" w:hAnsi="宋体" w:cs="宋体"/>
          <w:b/>
          <w:bCs/>
          <w:sz w:val="24"/>
          <w:szCs w:val="24"/>
        </w:rPr>
        <w:t>第十</w:t>
      </w:r>
      <w:r>
        <w:rPr>
          <w:rFonts w:hint="eastAsia" w:ascii="宋体" w:hAnsi="宋体" w:cs="宋体"/>
          <w:b/>
          <w:bCs/>
          <w:sz w:val="24"/>
          <w:szCs w:val="24"/>
          <w:lang w:eastAsia="zh-CN"/>
        </w:rPr>
        <w:t>四</w:t>
      </w:r>
      <w:r>
        <w:rPr>
          <w:rFonts w:hint="eastAsia" w:ascii="宋体" w:hAnsi="宋体" w:cs="宋体"/>
          <w:b/>
          <w:bCs/>
          <w:sz w:val="24"/>
          <w:szCs w:val="24"/>
        </w:rPr>
        <w:t xml:space="preserve">条 </w:t>
      </w:r>
      <w:r>
        <w:rPr>
          <w:rFonts w:hint="eastAsia" w:ascii="宋体" w:hAnsi="宋体" w:cs="宋体"/>
          <w:sz w:val="24"/>
          <w:szCs w:val="24"/>
        </w:rPr>
        <w:t>甲乙双方应当通过正常途径开展相关业务工作，自觉遵守国家关于廉政建设的各项规定。</w:t>
      </w:r>
    </w:p>
    <w:p w14:paraId="51B07D32">
      <w:pPr>
        <w:pStyle w:val="45"/>
        <w:spacing w:line="360" w:lineRule="auto"/>
        <w:ind w:firstLine="482" w:firstLineChars="200"/>
        <w:rPr>
          <w:rFonts w:hint="eastAsia" w:ascii="宋体" w:hAnsi="宋体" w:cs="宋体"/>
          <w:b/>
          <w:bCs/>
          <w:sz w:val="24"/>
          <w:szCs w:val="24"/>
        </w:rPr>
      </w:pPr>
      <w:r>
        <w:rPr>
          <w:rFonts w:hint="eastAsia" w:ascii="宋体" w:hAnsi="宋体" w:cs="宋体"/>
          <w:b/>
          <w:bCs/>
          <w:sz w:val="24"/>
          <w:szCs w:val="24"/>
        </w:rPr>
        <w:t>第十</w:t>
      </w:r>
      <w:r>
        <w:rPr>
          <w:rFonts w:hint="eastAsia" w:ascii="宋体" w:hAnsi="宋体" w:cs="宋体"/>
          <w:b/>
          <w:bCs/>
          <w:sz w:val="24"/>
          <w:szCs w:val="24"/>
          <w:lang w:eastAsia="zh-CN"/>
        </w:rPr>
        <w:t>五</w:t>
      </w:r>
      <w:r>
        <w:rPr>
          <w:rFonts w:hint="eastAsia" w:ascii="宋体" w:hAnsi="宋体" w:cs="宋体"/>
          <w:b/>
          <w:bCs/>
          <w:sz w:val="24"/>
          <w:szCs w:val="24"/>
        </w:rPr>
        <w:t>条 履约验收方案</w:t>
      </w:r>
    </w:p>
    <w:p w14:paraId="50B76262">
      <w:pPr>
        <w:pStyle w:val="45"/>
        <w:spacing w:line="360" w:lineRule="auto"/>
        <w:ind w:firstLine="480" w:firstLineChars="200"/>
        <w:rPr>
          <w:rFonts w:hint="eastAsia" w:ascii="宋体" w:hAnsi="宋体" w:cs="宋体"/>
          <w:sz w:val="24"/>
          <w:szCs w:val="24"/>
        </w:rPr>
      </w:pPr>
      <w:r>
        <w:rPr>
          <w:rFonts w:hint="eastAsia" w:ascii="宋体" w:hAnsi="宋体" w:cs="宋体"/>
          <w:sz w:val="24"/>
          <w:szCs w:val="24"/>
        </w:rPr>
        <w:t>1.履约验收主体</w:t>
      </w:r>
    </w:p>
    <w:p w14:paraId="3961B396">
      <w:pPr>
        <w:pStyle w:val="45"/>
        <w:spacing w:line="360" w:lineRule="auto"/>
        <w:ind w:firstLine="480" w:firstLineChars="200"/>
        <w:rPr>
          <w:rFonts w:hint="eastAsia" w:ascii="宋体" w:hAnsi="宋体" w:cs="宋体"/>
          <w:sz w:val="24"/>
          <w:szCs w:val="24"/>
        </w:rPr>
      </w:pPr>
      <w:r>
        <w:rPr>
          <w:rFonts w:hint="eastAsia" w:ascii="宋体" w:hAnsi="宋体" w:cs="宋体"/>
          <w:sz w:val="24"/>
          <w:szCs w:val="24"/>
        </w:rPr>
        <w:t>由甲方按照《广西壮族自治区港航发展中心</w:t>
      </w:r>
      <w:r>
        <w:rPr>
          <w:rFonts w:hint="eastAsia" w:ascii="宋体" w:hAnsi="宋体" w:cs="宋体"/>
          <w:sz w:val="24"/>
          <w:szCs w:val="24"/>
          <w:lang w:eastAsia="zh-CN"/>
        </w:rPr>
        <w:t>自行采购管理办法</w:t>
      </w:r>
      <w:r>
        <w:rPr>
          <w:rFonts w:hint="eastAsia" w:ascii="宋体" w:hAnsi="宋体" w:cs="宋体"/>
          <w:sz w:val="24"/>
          <w:szCs w:val="24"/>
        </w:rPr>
        <w:t>》有关规定，组织履约验收。</w:t>
      </w:r>
    </w:p>
    <w:p w14:paraId="45EDD537">
      <w:pPr>
        <w:pStyle w:val="45"/>
        <w:spacing w:line="360" w:lineRule="auto"/>
        <w:ind w:firstLine="480" w:firstLineChars="200"/>
        <w:rPr>
          <w:rFonts w:hint="eastAsia" w:ascii="宋体" w:hAnsi="宋体" w:cs="宋体"/>
          <w:sz w:val="24"/>
          <w:szCs w:val="24"/>
        </w:rPr>
      </w:pPr>
      <w:r>
        <w:rPr>
          <w:rFonts w:hint="eastAsia" w:ascii="宋体" w:hAnsi="宋体" w:cs="宋体"/>
          <w:sz w:val="24"/>
          <w:szCs w:val="24"/>
        </w:rPr>
        <w:t>2.履约验收时间</w:t>
      </w:r>
    </w:p>
    <w:p w14:paraId="686332B1">
      <w:pPr>
        <w:pStyle w:val="45"/>
        <w:spacing w:line="360" w:lineRule="auto"/>
        <w:ind w:firstLine="480" w:firstLineChars="200"/>
        <w:rPr>
          <w:rFonts w:hint="eastAsia" w:ascii="宋体" w:hAnsi="宋体" w:cs="宋体"/>
          <w:sz w:val="24"/>
          <w:szCs w:val="24"/>
        </w:rPr>
      </w:pPr>
      <w:r>
        <w:rPr>
          <w:rFonts w:hint="eastAsia" w:ascii="宋体" w:hAnsi="宋体" w:cs="宋体"/>
          <w:sz w:val="24"/>
          <w:szCs w:val="24"/>
        </w:rPr>
        <w:t>按照《广西壮族自治区港航发展中心</w:t>
      </w:r>
      <w:r>
        <w:rPr>
          <w:rFonts w:hint="eastAsia" w:ascii="宋体" w:hAnsi="宋体" w:cs="宋体"/>
          <w:sz w:val="24"/>
          <w:szCs w:val="24"/>
          <w:lang w:eastAsia="zh-CN"/>
        </w:rPr>
        <w:t>自行采购管理办法</w:t>
      </w:r>
      <w:r>
        <w:rPr>
          <w:rFonts w:hint="eastAsia" w:ascii="宋体" w:hAnsi="宋体" w:cs="宋体"/>
          <w:sz w:val="24"/>
          <w:szCs w:val="24"/>
        </w:rPr>
        <w:t xml:space="preserve">》规定。 </w:t>
      </w:r>
    </w:p>
    <w:p w14:paraId="40B5CC57">
      <w:pPr>
        <w:pStyle w:val="45"/>
        <w:spacing w:line="360" w:lineRule="auto"/>
        <w:ind w:firstLine="480" w:firstLineChars="200"/>
        <w:rPr>
          <w:rFonts w:hint="eastAsia" w:ascii="宋体" w:hAnsi="宋体" w:cs="宋体"/>
          <w:sz w:val="24"/>
          <w:szCs w:val="24"/>
        </w:rPr>
      </w:pPr>
      <w:r>
        <w:rPr>
          <w:rFonts w:hint="eastAsia" w:ascii="宋体" w:hAnsi="宋体" w:cs="宋体"/>
          <w:sz w:val="24"/>
          <w:szCs w:val="24"/>
        </w:rPr>
        <w:t>3.履约验收方式</w:t>
      </w:r>
    </w:p>
    <w:p w14:paraId="75CE13E2">
      <w:pPr>
        <w:pStyle w:val="45"/>
        <w:spacing w:line="360" w:lineRule="auto"/>
        <w:ind w:firstLine="480" w:firstLineChars="200"/>
        <w:rPr>
          <w:rFonts w:hint="eastAsia" w:ascii="宋体" w:hAnsi="宋体" w:cs="宋体"/>
          <w:sz w:val="24"/>
          <w:szCs w:val="24"/>
        </w:rPr>
      </w:pPr>
      <w:r>
        <w:rPr>
          <w:rFonts w:hint="eastAsia" w:ascii="宋体" w:hAnsi="宋体" w:cs="宋体"/>
          <w:sz w:val="24"/>
          <w:szCs w:val="24"/>
        </w:rPr>
        <w:t>本项目采取采购人自行验收方式实施履约验收。</w:t>
      </w:r>
    </w:p>
    <w:p w14:paraId="25830C07">
      <w:pPr>
        <w:pStyle w:val="45"/>
        <w:spacing w:line="360" w:lineRule="auto"/>
        <w:ind w:firstLine="480" w:firstLineChars="200"/>
        <w:rPr>
          <w:rFonts w:hint="eastAsia" w:ascii="宋体" w:hAnsi="宋体" w:cs="宋体"/>
          <w:sz w:val="24"/>
          <w:szCs w:val="24"/>
        </w:rPr>
      </w:pPr>
      <w:r>
        <w:rPr>
          <w:rFonts w:hint="eastAsia" w:ascii="宋体" w:hAnsi="宋体" w:cs="宋体"/>
          <w:sz w:val="24"/>
          <w:szCs w:val="24"/>
        </w:rPr>
        <w:t>4.履约验收程序</w:t>
      </w:r>
    </w:p>
    <w:p w14:paraId="43433960">
      <w:pPr>
        <w:pStyle w:val="45"/>
        <w:spacing w:line="360" w:lineRule="auto"/>
        <w:ind w:firstLine="480" w:firstLineChars="200"/>
        <w:rPr>
          <w:rFonts w:hint="eastAsia" w:ascii="宋体" w:hAnsi="宋体" w:cs="宋体"/>
          <w:sz w:val="24"/>
          <w:szCs w:val="24"/>
        </w:rPr>
      </w:pPr>
      <w:r>
        <w:rPr>
          <w:rFonts w:hint="eastAsia" w:ascii="宋体" w:hAnsi="宋体" w:cs="宋体"/>
          <w:sz w:val="24"/>
          <w:szCs w:val="24"/>
        </w:rPr>
        <w:t>按照《广西壮族自治区港航发展中心</w:t>
      </w:r>
      <w:r>
        <w:rPr>
          <w:rFonts w:hint="eastAsia" w:ascii="宋体" w:hAnsi="宋体" w:cs="宋体"/>
          <w:sz w:val="24"/>
          <w:szCs w:val="24"/>
          <w:lang w:eastAsia="zh-CN"/>
        </w:rPr>
        <w:t>自行采购管理办法</w:t>
      </w:r>
      <w:r>
        <w:rPr>
          <w:rFonts w:hint="eastAsia" w:ascii="宋体" w:hAnsi="宋体" w:cs="宋体"/>
          <w:sz w:val="24"/>
          <w:szCs w:val="24"/>
        </w:rPr>
        <w:t>》有关规定，验收程序和要求如下：</w:t>
      </w:r>
    </w:p>
    <w:p w14:paraId="15FCF449">
      <w:pPr>
        <w:pStyle w:val="45"/>
        <w:spacing w:line="360" w:lineRule="auto"/>
        <w:ind w:firstLine="480" w:firstLineChars="200"/>
        <w:rPr>
          <w:rFonts w:hint="eastAsia" w:ascii="宋体" w:hAnsi="宋体" w:cs="宋体"/>
          <w:sz w:val="24"/>
          <w:szCs w:val="24"/>
        </w:rPr>
      </w:pPr>
      <w:r>
        <w:rPr>
          <w:rFonts w:hint="eastAsia" w:ascii="宋体" w:hAnsi="宋体" w:cs="宋体"/>
          <w:sz w:val="24"/>
          <w:szCs w:val="24"/>
        </w:rPr>
        <w:t>（1）成立验收小组。验收小组原则上应由三人以上单数组成，验收小组组长由采购部门的负责人担任，并从相关业务部门安排1人作为监督人。如原合议小组成员因故无法参加，由派出部门另行指派人员参加。</w:t>
      </w:r>
    </w:p>
    <w:p w14:paraId="6C00802E">
      <w:pPr>
        <w:pStyle w:val="45"/>
        <w:spacing w:line="360" w:lineRule="auto"/>
        <w:ind w:firstLine="480" w:firstLineChars="200"/>
        <w:rPr>
          <w:rFonts w:hint="eastAsia" w:ascii="宋体" w:hAnsi="宋体" w:cs="宋体"/>
          <w:sz w:val="24"/>
          <w:szCs w:val="24"/>
        </w:rPr>
      </w:pPr>
      <w:r>
        <w:rPr>
          <w:rFonts w:hint="eastAsia" w:ascii="宋体" w:hAnsi="宋体" w:cs="宋体"/>
          <w:sz w:val="24"/>
          <w:szCs w:val="24"/>
        </w:rPr>
        <w:t>（2）组织验收。验收小组应当按照采购合同对供应商的履约情况进行验收。</w:t>
      </w:r>
    </w:p>
    <w:p w14:paraId="718735DB">
      <w:pPr>
        <w:pStyle w:val="45"/>
        <w:spacing w:line="360" w:lineRule="auto"/>
        <w:ind w:firstLine="480" w:firstLineChars="200"/>
        <w:rPr>
          <w:rFonts w:hint="eastAsia" w:ascii="宋体" w:hAnsi="宋体" w:cs="宋体"/>
          <w:sz w:val="24"/>
          <w:szCs w:val="24"/>
        </w:rPr>
      </w:pPr>
      <w:r>
        <w:rPr>
          <w:rFonts w:hint="eastAsia" w:ascii="宋体" w:hAnsi="宋体" w:cs="宋体"/>
          <w:sz w:val="24"/>
          <w:szCs w:val="24"/>
        </w:rPr>
        <w:t>验收小组应当结合合同项目验收清单和标准，对供应商的完成合同情况进行验收。</w:t>
      </w:r>
    </w:p>
    <w:p w14:paraId="363895C5">
      <w:pPr>
        <w:pStyle w:val="45"/>
        <w:spacing w:line="360" w:lineRule="auto"/>
        <w:ind w:firstLine="480" w:firstLineChars="200"/>
        <w:rPr>
          <w:rFonts w:hint="eastAsia" w:ascii="宋体" w:hAnsi="宋体" w:cs="宋体"/>
          <w:sz w:val="24"/>
          <w:szCs w:val="24"/>
        </w:rPr>
      </w:pPr>
      <w:r>
        <w:rPr>
          <w:rFonts w:hint="eastAsia" w:ascii="宋体" w:hAnsi="宋体" w:cs="宋体"/>
          <w:sz w:val="24"/>
          <w:szCs w:val="24"/>
        </w:rPr>
        <w:t>（3）出具验收书。验收小组完成验收后，应当出具验收书，由所有验收人签字，作为支付采购尾款的必备资料。</w:t>
      </w:r>
    </w:p>
    <w:p w14:paraId="5E920038">
      <w:pPr>
        <w:pStyle w:val="45"/>
        <w:spacing w:line="360" w:lineRule="auto"/>
        <w:ind w:firstLine="480" w:firstLineChars="200"/>
        <w:rPr>
          <w:rFonts w:hint="eastAsia" w:ascii="宋体" w:hAnsi="宋体" w:cs="宋体"/>
          <w:sz w:val="24"/>
          <w:szCs w:val="24"/>
        </w:rPr>
      </w:pPr>
      <w:r>
        <w:rPr>
          <w:rFonts w:hint="eastAsia" w:ascii="宋体" w:hAnsi="宋体" w:cs="宋体"/>
          <w:sz w:val="24"/>
          <w:szCs w:val="24"/>
        </w:rPr>
        <w:t>5.履约验收内容</w:t>
      </w:r>
    </w:p>
    <w:p w14:paraId="3F7D4203">
      <w:pPr>
        <w:pStyle w:val="45"/>
        <w:spacing w:line="360" w:lineRule="auto"/>
        <w:ind w:firstLine="480" w:firstLineChars="200"/>
        <w:rPr>
          <w:rFonts w:hint="eastAsia" w:ascii="宋体" w:hAnsi="宋体" w:cs="宋体"/>
          <w:sz w:val="24"/>
          <w:szCs w:val="24"/>
        </w:rPr>
      </w:pPr>
      <w:r>
        <w:rPr>
          <w:rFonts w:hint="eastAsia" w:ascii="宋体" w:hAnsi="宋体" w:cs="宋体"/>
          <w:sz w:val="24"/>
          <w:szCs w:val="24"/>
        </w:rPr>
        <w:t>按合同约定</w:t>
      </w:r>
      <w:r>
        <w:rPr>
          <w:rFonts w:hint="eastAsia" w:ascii="宋体" w:hAnsi="宋体" w:cs="宋体"/>
          <w:sz w:val="24"/>
          <w:szCs w:val="24"/>
          <w:lang w:eastAsia="zh-CN"/>
        </w:rPr>
        <w:t>期限</w:t>
      </w:r>
      <w:r>
        <w:rPr>
          <w:rFonts w:hint="eastAsia" w:ascii="宋体" w:hAnsi="宋体" w:cs="宋体"/>
          <w:sz w:val="24"/>
          <w:szCs w:val="24"/>
        </w:rPr>
        <w:t>完成红水河（曹渡河口至桥巩）三级航道</w:t>
      </w:r>
      <w:r>
        <w:rPr>
          <w:rFonts w:hint="eastAsia" w:ascii="宋体" w:hAnsi="宋体" w:cs="宋体"/>
          <w:sz w:val="24"/>
          <w:szCs w:val="24"/>
          <w:lang w:eastAsia="zh-CN"/>
        </w:rPr>
        <w:t>工程对广西忻城乐滩国家湿地公园生态影响评价服务</w:t>
      </w:r>
      <w:r>
        <w:rPr>
          <w:rFonts w:hint="eastAsia" w:ascii="宋体" w:hAnsi="宋体" w:cs="宋体"/>
          <w:sz w:val="24"/>
          <w:szCs w:val="24"/>
        </w:rPr>
        <w:t>。</w:t>
      </w:r>
    </w:p>
    <w:p w14:paraId="111D5F8E">
      <w:pPr>
        <w:pStyle w:val="45"/>
        <w:spacing w:line="360" w:lineRule="auto"/>
        <w:ind w:firstLine="480" w:firstLineChars="200"/>
        <w:rPr>
          <w:rFonts w:hint="eastAsia" w:ascii="宋体" w:hAnsi="宋体" w:cs="宋体"/>
          <w:sz w:val="24"/>
          <w:szCs w:val="24"/>
        </w:rPr>
      </w:pPr>
      <w:r>
        <w:rPr>
          <w:rFonts w:hint="eastAsia" w:ascii="宋体" w:hAnsi="宋体" w:cs="宋体"/>
          <w:sz w:val="24"/>
          <w:szCs w:val="24"/>
        </w:rPr>
        <w:t>6.履约验收标准</w:t>
      </w:r>
    </w:p>
    <w:p w14:paraId="4DFBB166">
      <w:pPr>
        <w:pStyle w:val="45"/>
        <w:spacing w:line="360" w:lineRule="auto"/>
        <w:ind w:firstLine="480" w:firstLineChars="200"/>
        <w:rPr>
          <w:rFonts w:hint="eastAsia" w:ascii="宋体" w:hAnsi="宋体" w:cs="宋体"/>
          <w:sz w:val="24"/>
          <w:szCs w:val="24"/>
        </w:rPr>
      </w:pPr>
      <w:r>
        <w:rPr>
          <w:rFonts w:hint="eastAsia" w:ascii="宋体" w:hAnsi="宋体" w:cs="宋体"/>
          <w:sz w:val="24"/>
          <w:szCs w:val="24"/>
        </w:rPr>
        <w:t>（1）在合同约定期限内完成红水河（曹渡河口至桥巩）三级航道</w:t>
      </w:r>
      <w:r>
        <w:rPr>
          <w:rFonts w:hint="eastAsia" w:ascii="宋体" w:hAnsi="宋体" w:cs="宋体"/>
          <w:sz w:val="24"/>
          <w:szCs w:val="24"/>
          <w:lang w:eastAsia="zh-CN"/>
        </w:rPr>
        <w:t>工程对广西忻城乐滩国家湿地公园生态影响评价服务</w:t>
      </w:r>
      <w:r>
        <w:rPr>
          <w:rFonts w:hint="eastAsia" w:ascii="宋体" w:hAnsi="宋体" w:cs="宋体"/>
          <w:sz w:val="24"/>
          <w:szCs w:val="24"/>
        </w:rPr>
        <w:t>，提交成果。</w:t>
      </w:r>
    </w:p>
    <w:p w14:paraId="25A0B3A0">
      <w:pPr>
        <w:pStyle w:val="45"/>
        <w:spacing w:line="360" w:lineRule="auto"/>
        <w:ind w:firstLine="480" w:firstLineChars="200"/>
        <w:rPr>
          <w:rFonts w:hint="eastAsia" w:ascii="宋体" w:hAnsi="宋体" w:cs="宋体"/>
          <w:sz w:val="24"/>
          <w:szCs w:val="24"/>
        </w:rPr>
      </w:pPr>
      <w:r>
        <w:rPr>
          <w:rFonts w:hint="eastAsia" w:ascii="宋体" w:hAnsi="宋体" w:cs="宋体"/>
          <w:sz w:val="24"/>
          <w:szCs w:val="24"/>
        </w:rPr>
        <w:t>（2）成果文件应当符合现行相关国家标准、行业标准、地方标准等标准、规范，并通过采购人组织的专家评审验收。</w:t>
      </w:r>
    </w:p>
    <w:p w14:paraId="501C89A5">
      <w:pPr>
        <w:pStyle w:val="45"/>
        <w:spacing w:line="360" w:lineRule="auto"/>
        <w:ind w:firstLine="480" w:firstLineChars="200"/>
        <w:rPr>
          <w:rFonts w:hint="eastAsia" w:ascii="宋体" w:hAnsi="宋体" w:eastAsia="宋体" w:cs="宋体"/>
          <w:sz w:val="24"/>
          <w:szCs w:val="24"/>
          <w:lang w:eastAsia="zh-CN"/>
        </w:rPr>
      </w:pPr>
      <w:r>
        <w:rPr>
          <w:rFonts w:hint="eastAsia" w:ascii="宋体" w:hAnsi="宋体" w:cs="宋体"/>
          <w:sz w:val="24"/>
          <w:szCs w:val="24"/>
          <w:lang w:val="en-US" w:eastAsia="zh-CN"/>
        </w:rPr>
        <w:t>7</w:t>
      </w:r>
      <w:r>
        <w:rPr>
          <w:rFonts w:hint="eastAsia" w:ascii="宋体" w:hAnsi="宋体" w:cs="宋体"/>
          <w:sz w:val="24"/>
          <w:szCs w:val="24"/>
        </w:rPr>
        <w:t>.履约验收</w:t>
      </w:r>
      <w:r>
        <w:rPr>
          <w:rFonts w:hint="eastAsia" w:ascii="宋体" w:hAnsi="宋体" w:cs="宋体"/>
          <w:sz w:val="24"/>
          <w:szCs w:val="24"/>
          <w:lang w:eastAsia="zh-CN"/>
        </w:rPr>
        <w:t>其他事项</w:t>
      </w:r>
    </w:p>
    <w:p w14:paraId="23C99D89">
      <w:pPr>
        <w:pStyle w:val="45"/>
        <w:spacing w:line="360" w:lineRule="auto"/>
        <w:ind w:firstLine="480" w:firstLineChars="200"/>
        <w:rPr>
          <w:rFonts w:hint="eastAsia" w:ascii="宋体" w:hAnsi="宋体" w:cs="宋体"/>
          <w:sz w:val="24"/>
          <w:szCs w:val="24"/>
        </w:rPr>
      </w:pPr>
      <w:r>
        <w:rPr>
          <w:rFonts w:hint="eastAsia" w:ascii="宋体" w:hAnsi="宋体" w:cs="宋体"/>
          <w:sz w:val="24"/>
          <w:szCs w:val="24"/>
        </w:rPr>
        <w:t>履约验收相关费用（如有）由</w:t>
      </w:r>
      <w:r>
        <w:rPr>
          <w:rFonts w:hint="eastAsia" w:ascii="宋体" w:hAnsi="宋体" w:cs="宋体"/>
          <w:sz w:val="24"/>
          <w:szCs w:val="24"/>
          <w:lang w:eastAsia="zh-CN"/>
        </w:rPr>
        <w:t>乙方</w:t>
      </w:r>
      <w:r>
        <w:rPr>
          <w:rFonts w:hint="eastAsia" w:ascii="宋体" w:hAnsi="宋体" w:cs="宋体"/>
          <w:sz w:val="24"/>
          <w:szCs w:val="24"/>
        </w:rPr>
        <w:t>承担。</w:t>
      </w:r>
    </w:p>
    <w:p w14:paraId="15DA7B57">
      <w:pPr>
        <w:pStyle w:val="45"/>
        <w:spacing w:line="360" w:lineRule="auto"/>
        <w:ind w:firstLine="482" w:firstLineChars="200"/>
        <w:rPr>
          <w:rFonts w:hint="eastAsia" w:ascii="宋体" w:hAnsi="宋体" w:cs="宋体"/>
          <w:sz w:val="24"/>
          <w:szCs w:val="24"/>
        </w:rPr>
      </w:pPr>
      <w:r>
        <w:rPr>
          <w:rFonts w:hint="eastAsia" w:ascii="宋体" w:hAnsi="宋体" w:cs="宋体"/>
          <w:b/>
          <w:bCs/>
          <w:sz w:val="24"/>
          <w:szCs w:val="24"/>
        </w:rPr>
        <w:t>第十</w:t>
      </w:r>
      <w:r>
        <w:rPr>
          <w:rFonts w:hint="eastAsia" w:ascii="宋体" w:hAnsi="宋体" w:cs="宋体"/>
          <w:b/>
          <w:bCs/>
          <w:sz w:val="24"/>
          <w:szCs w:val="24"/>
          <w:lang w:eastAsia="zh-CN"/>
        </w:rPr>
        <w:t>六</w:t>
      </w:r>
      <w:r>
        <w:rPr>
          <w:rFonts w:hint="eastAsia" w:ascii="宋体" w:hAnsi="宋体" w:cs="宋体"/>
          <w:b/>
          <w:bCs/>
          <w:sz w:val="24"/>
          <w:szCs w:val="24"/>
        </w:rPr>
        <w:t xml:space="preserve">条 </w:t>
      </w:r>
      <w:r>
        <w:rPr>
          <w:rFonts w:hint="eastAsia" w:ascii="宋体" w:hAnsi="宋体" w:cs="宋体"/>
          <w:sz w:val="24"/>
          <w:szCs w:val="24"/>
        </w:rPr>
        <w:t>本合同未尽事宜，由甲方和乙方双方协商并签订补充协议，补充协议与本合同不一致的，以补充协议为准。</w:t>
      </w:r>
    </w:p>
    <w:p w14:paraId="16F08960">
      <w:pPr>
        <w:pStyle w:val="45"/>
        <w:spacing w:line="360" w:lineRule="auto"/>
        <w:ind w:firstLine="482" w:firstLineChars="200"/>
        <w:rPr>
          <w:rFonts w:hint="eastAsia" w:ascii="宋体" w:hAnsi="宋体" w:cs="宋体"/>
          <w:sz w:val="24"/>
          <w:szCs w:val="24"/>
        </w:rPr>
      </w:pPr>
      <w:r>
        <w:rPr>
          <w:rFonts w:hint="eastAsia" w:ascii="宋体" w:hAnsi="宋体" w:cs="宋体"/>
          <w:b/>
          <w:bCs/>
          <w:sz w:val="24"/>
          <w:szCs w:val="24"/>
        </w:rPr>
        <w:t>第十</w:t>
      </w:r>
      <w:r>
        <w:rPr>
          <w:rFonts w:hint="eastAsia" w:ascii="宋体" w:hAnsi="宋体" w:cs="宋体"/>
          <w:b/>
          <w:bCs/>
          <w:sz w:val="24"/>
          <w:szCs w:val="24"/>
          <w:lang w:eastAsia="zh-CN"/>
        </w:rPr>
        <w:t>七</w:t>
      </w:r>
      <w:r>
        <w:rPr>
          <w:rFonts w:hint="eastAsia" w:ascii="宋体" w:hAnsi="宋体" w:cs="宋体"/>
          <w:b/>
          <w:bCs/>
          <w:sz w:val="24"/>
          <w:szCs w:val="24"/>
        </w:rPr>
        <w:t xml:space="preserve">条 </w:t>
      </w:r>
      <w:r>
        <w:rPr>
          <w:rFonts w:hint="eastAsia" w:ascii="宋体" w:hAnsi="宋体" w:cs="宋体"/>
          <w:sz w:val="24"/>
          <w:szCs w:val="24"/>
        </w:rPr>
        <w:t>本合同一式</w:t>
      </w:r>
      <w:r>
        <w:rPr>
          <w:rFonts w:hint="eastAsia" w:ascii="宋体" w:hAnsi="宋体" w:cs="宋体"/>
          <w:sz w:val="24"/>
          <w:szCs w:val="24"/>
          <w:u w:val="single"/>
        </w:rPr>
        <w:t xml:space="preserve"> </w:t>
      </w:r>
      <w:r>
        <w:rPr>
          <w:rFonts w:hint="eastAsia" w:ascii="宋体" w:hAnsi="宋体" w:cs="宋体"/>
          <w:sz w:val="24"/>
          <w:szCs w:val="24"/>
          <w:u w:val="single"/>
          <w:lang w:val="en-US" w:eastAsia="zh-CN"/>
        </w:rPr>
        <w:t xml:space="preserve">  </w:t>
      </w:r>
      <w:r>
        <w:rPr>
          <w:rFonts w:hint="eastAsia" w:ascii="宋体" w:hAnsi="宋体" w:cs="宋体"/>
          <w:sz w:val="24"/>
          <w:szCs w:val="24"/>
          <w:u w:val="single"/>
        </w:rPr>
        <w:t xml:space="preserve"> </w:t>
      </w:r>
      <w:r>
        <w:rPr>
          <w:rFonts w:hint="eastAsia" w:ascii="宋体" w:hAnsi="宋体" w:cs="宋体"/>
          <w:sz w:val="24"/>
          <w:szCs w:val="24"/>
        </w:rPr>
        <w:t>份，甲方执</w:t>
      </w:r>
      <w:r>
        <w:rPr>
          <w:rFonts w:hint="eastAsia" w:ascii="宋体" w:hAnsi="宋体" w:cs="宋体"/>
          <w:sz w:val="24"/>
          <w:szCs w:val="24"/>
          <w:u w:val="single"/>
        </w:rPr>
        <w:t xml:space="preserve"> </w:t>
      </w:r>
      <w:r>
        <w:rPr>
          <w:rFonts w:hint="eastAsia" w:ascii="宋体" w:hAnsi="宋体" w:cs="宋体"/>
          <w:sz w:val="24"/>
          <w:szCs w:val="24"/>
          <w:u w:val="single"/>
          <w:lang w:val="en-US" w:eastAsia="zh-CN"/>
        </w:rPr>
        <w:t xml:space="preserve"> </w:t>
      </w:r>
      <w:r>
        <w:rPr>
          <w:rFonts w:hint="eastAsia" w:ascii="宋体" w:hAnsi="宋体" w:cs="宋体"/>
          <w:sz w:val="24"/>
          <w:szCs w:val="24"/>
          <w:u w:val="single"/>
        </w:rPr>
        <w:t xml:space="preserve"> </w:t>
      </w:r>
      <w:r>
        <w:rPr>
          <w:rFonts w:hint="eastAsia" w:ascii="宋体" w:hAnsi="宋体" w:cs="宋体"/>
          <w:sz w:val="24"/>
          <w:szCs w:val="24"/>
        </w:rPr>
        <w:t>份，乙方各执</w:t>
      </w:r>
      <w:r>
        <w:rPr>
          <w:rFonts w:hint="eastAsia" w:ascii="宋体" w:hAnsi="宋体" w:cs="宋体"/>
          <w:sz w:val="24"/>
          <w:szCs w:val="24"/>
          <w:u w:val="single"/>
        </w:rPr>
        <w:t xml:space="preserve"> </w:t>
      </w:r>
      <w:r>
        <w:rPr>
          <w:rFonts w:hint="eastAsia" w:ascii="宋体" w:hAnsi="宋体" w:cs="宋体"/>
          <w:sz w:val="24"/>
          <w:szCs w:val="24"/>
          <w:u w:val="single"/>
          <w:lang w:val="en-US" w:eastAsia="zh-CN"/>
        </w:rPr>
        <w:t xml:space="preserve"> </w:t>
      </w:r>
      <w:r>
        <w:rPr>
          <w:rFonts w:hint="eastAsia" w:ascii="宋体" w:hAnsi="宋体" w:cs="宋体"/>
          <w:sz w:val="24"/>
          <w:szCs w:val="24"/>
          <w:u w:val="single"/>
        </w:rPr>
        <w:t xml:space="preserve"> </w:t>
      </w:r>
      <w:r>
        <w:rPr>
          <w:rFonts w:hint="eastAsia" w:ascii="宋体" w:hAnsi="宋体" w:cs="宋体"/>
          <w:sz w:val="24"/>
          <w:szCs w:val="24"/>
        </w:rPr>
        <w:t>份，具有同等法律效力。</w:t>
      </w:r>
    </w:p>
    <w:p w14:paraId="3E50974B">
      <w:pPr>
        <w:pStyle w:val="45"/>
        <w:spacing w:line="360" w:lineRule="auto"/>
        <w:ind w:firstLine="482" w:firstLineChars="200"/>
        <w:rPr>
          <w:rFonts w:hint="eastAsia" w:ascii="宋体" w:hAnsi="宋体" w:cs="宋体"/>
          <w:color w:val="000000"/>
          <w:sz w:val="24"/>
          <w:szCs w:val="24"/>
        </w:rPr>
      </w:pPr>
      <w:r>
        <w:rPr>
          <w:rFonts w:hint="eastAsia" w:ascii="宋体" w:hAnsi="宋体" w:cs="宋体"/>
          <w:b/>
          <w:bCs/>
          <w:sz w:val="24"/>
          <w:szCs w:val="24"/>
        </w:rPr>
        <w:t>第十</w:t>
      </w:r>
      <w:r>
        <w:rPr>
          <w:rFonts w:hint="eastAsia" w:ascii="宋体" w:hAnsi="宋体" w:cs="宋体"/>
          <w:b/>
          <w:bCs/>
          <w:sz w:val="24"/>
          <w:szCs w:val="24"/>
          <w:lang w:eastAsia="zh-CN"/>
        </w:rPr>
        <w:t>八</w:t>
      </w:r>
      <w:r>
        <w:rPr>
          <w:rFonts w:hint="eastAsia" w:ascii="宋体" w:hAnsi="宋体" w:cs="宋体"/>
          <w:b/>
          <w:bCs/>
          <w:sz w:val="24"/>
          <w:szCs w:val="24"/>
        </w:rPr>
        <w:t xml:space="preserve">条 </w:t>
      </w:r>
      <w:r>
        <w:rPr>
          <w:rFonts w:hint="eastAsia" w:ascii="宋体" w:hAnsi="宋体" w:cs="宋体"/>
          <w:sz w:val="24"/>
          <w:szCs w:val="24"/>
        </w:rPr>
        <w:t>本协议书在乙方提供履约担保后，由双方法定代表人或其委托代理人签字（或签章）并加盖单位公章或合同专用章后生效。乙方完成全部服务工作且合同费用结清后终止。</w:t>
      </w:r>
    </w:p>
    <w:p w14:paraId="19FC8CD5">
      <w:pPr>
        <w:pStyle w:val="10"/>
        <w:jc w:val="center"/>
        <w:rPr>
          <w:rFonts w:hint="eastAsia" w:ascii="宋体" w:hAnsi="宋体" w:cs="宋体"/>
          <w:color w:val="000000"/>
          <w:sz w:val="24"/>
        </w:rPr>
      </w:pPr>
      <w:r>
        <w:rPr>
          <w:rFonts w:hint="eastAsia" w:ascii="宋体" w:hAnsi="宋体" w:cs="宋体"/>
          <w:color w:val="000000"/>
          <w:sz w:val="24"/>
        </w:rPr>
        <w:t>（本页以下无正文）</w:t>
      </w:r>
    </w:p>
    <w:p w14:paraId="6DC29E12">
      <w:pPr>
        <w:rPr>
          <w:rFonts w:hint="eastAsia"/>
        </w:rPr>
      </w:pPr>
    </w:p>
    <w:p w14:paraId="6192AE7A">
      <w:pPr>
        <w:pStyle w:val="11"/>
        <w:rPr>
          <w:rFonts w:hint="eastAsia"/>
        </w:rPr>
      </w:pPr>
    </w:p>
    <w:tbl>
      <w:tblPr>
        <w:tblStyle w:val="25"/>
        <w:tblW w:w="9070" w:type="dxa"/>
        <w:jc w:val="center"/>
        <w:tblLayout w:type="autofit"/>
        <w:tblCellMar>
          <w:top w:w="0" w:type="dxa"/>
          <w:left w:w="51" w:type="dxa"/>
          <w:bottom w:w="0" w:type="dxa"/>
          <w:right w:w="51" w:type="dxa"/>
        </w:tblCellMar>
      </w:tblPr>
      <w:tblGrid>
        <w:gridCol w:w="4395"/>
        <w:gridCol w:w="425"/>
        <w:gridCol w:w="4250"/>
      </w:tblGrid>
      <w:tr w14:paraId="738D9797">
        <w:tblPrEx>
          <w:tblCellMar>
            <w:top w:w="0" w:type="dxa"/>
            <w:left w:w="51" w:type="dxa"/>
            <w:bottom w:w="0" w:type="dxa"/>
            <w:right w:w="51" w:type="dxa"/>
          </w:tblCellMar>
        </w:tblPrEx>
        <w:trPr>
          <w:trHeight w:val="1661" w:hRule="atLeast"/>
          <w:jc w:val="center"/>
        </w:trPr>
        <w:tc>
          <w:tcPr>
            <w:tcW w:w="4395" w:type="dxa"/>
            <w:vAlign w:val="center"/>
          </w:tcPr>
          <w:p w14:paraId="474B778C">
            <w:pPr>
              <w:pStyle w:val="5"/>
              <w:spacing w:line="360" w:lineRule="auto"/>
              <w:ind w:firstLine="0"/>
              <w:rPr>
                <w:rFonts w:hint="eastAsia" w:ascii="宋体" w:hAnsi="宋体" w:cs="宋体"/>
                <w:szCs w:val="21"/>
              </w:rPr>
            </w:pPr>
          </w:p>
          <w:p w14:paraId="6F031429">
            <w:pPr>
              <w:pStyle w:val="5"/>
              <w:spacing w:line="360" w:lineRule="auto"/>
              <w:ind w:firstLine="0"/>
              <w:rPr>
                <w:rFonts w:hint="eastAsia" w:ascii="宋体" w:hAnsi="宋体" w:cs="宋体"/>
                <w:szCs w:val="21"/>
              </w:rPr>
            </w:pPr>
            <w:r>
              <w:rPr>
                <w:rFonts w:hint="eastAsia" w:ascii="宋体" w:hAnsi="宋体" w:cs="宋体"/>
                <w:szCs w:val="21"/>
              </w:rPr>
              <w:t>甲方：广西壮族自治区水运发展中心（盖章）</w:t>
            </w:r>
          </w:p>
          <w:p w14:paraId="575591DB">
            <w:pPr>
              <w:pStyle w:val="5"/>
              <w:spacing w:line="360" w:lineRule="auto"/>
              <w:ind w:firstLine="0"/>
              <w:jc w:val="center"/>
              <w:rPr>
                <w:rFonts w:hint="eastAsia" w:ascii="宋体" w:hAnsi="宋体" w:cs="宋体"/>
                <w:szCs w:val="21"/>
              </w:rPr>
            </w:pPr>
          </w:p>
        </w:tc>
        <w:tc>
          <w:tcPr>
            <w:tcW w:w="425" w:type="dxa"/>
            <w:tcMar>
              <w:top w:w="0" w:type="dxa"/>
              <w:left w:w="0" w:type="dxa"/>
              <w:bottom w:w="0" w:type="dxa"/>
              <w:right w:w="0" w:type="dxa"/>
            </w:tcMar>
            <w:vAlign w:val="center"/>
          </w:tcPr>
          <w:p w14:paraId="48246E4A">
            <w:pPr>
              <w:pStyle w:val="5"/>
              <w:spacing w:line="360" w:lineRule="auto"/>
              <w:rPr>
                <w:rFonts w:hint="eastAsia" w:ascii="宋体" w:hAnsi="宋体" w:cs="宋体"/>
                <w:sz w:val="10"/>
                <w:szCs w:val="10"/>
              </w:rPr>
            </w:pPr>
          </w:p>
        </w:tc>
        <w:tc>
          <w:tcPr>
            <w:tcW w:w="4250" w:type="dxa"/>
            <w:vAlign w:val="center"/>
          </w:tcPr>
          <w:p w14:paraId="4EEDA1AF">
            <w:pPr>
              <w:pStyle w:val="5"/>
              <w:spacing w:line="360" w:lineRule="auto"/>
              <w:ind w:firstLine="0"/>
              <w:rPr>
                <w:rFonts w:hint="eastAsia" w:ascii="宋体" w:hAnsi="宋体" w:cs="宋体"/>
                <w:szCs w:val="21"/>
              </w:rPr>
            </w:pPr>
          </w:p>
          <w:p w14:paraId="4754E94A">
            <w:pPr>
              <w:pStyle w:val="5"/>
              <w:spacing w:line="360" w:lineRule="auto"/>
              <w:ind w:firstLine="0"/>
              <w:rPr>
                <w:rFonts w:hint="eastAsia" w:ascii="宋体" w:hAnsi="宋体" w:cs="宋体"/>
                <w:szCs w:val="21"/>
              </w:rPr>
            </w:pPr>
            <w:r>
              <w:rPr>
                <w:rFonts w:hint="eastAsia" w:ascii="宋体" w:hAnsi="宋体" w:cs="宋体"/>
                <w:szCs w:val="21"/>
              </w:rPr>
              <w:t>乙方：</w:t>
            </w:r>
            <w:r>
              <w:rPr>
                <w:rFonts w:hint="eastAsia" w:ascii="宋体" w:hAnsi="宋体" w:cs="宋体"/>
                <w:szCs w:val="21"/>
                <w:lang w:val="en-US" w:eastAsia="zh-CN"/>
              </w:rPr>
              <w:t xml:space="preserve"> </w:t>
            </w:r>
            <w:r>
              <w:rPr>
                <w:rFonts w:hint="eastAsia" w:ascii="宋体" w:hAnsi="宋体" w:cs="宋体"/>
                <w:szCs w:val="21"/>
              </w:rPr>
              <w:t>（盖章）</w:t>
            </w:r>
          </w:p>
          <w:p w14:paraId="1BBF8CC4">
            <w:pPr>
              <w:pStyle w:val="5"/>
              <w:spacing w:line="360" w:lineRule="auto"/>
              <w:ind w:firstLine="0"/>
              <w:jc w:val="center"/>
              <w:rPr>
                <w:rFonts w:hint="eastAsia" w:ascii="宋体" w:hAnsi="宋体" w:cs="宋体"/>
                <w:szCs w:val="21"/>
              </w:rPr>
            </w:pPr>
          </w:p>
        </w:tc>
      </w:tr>
      <w:tr w14:paraId="71494E85">
        <w:tblPrEx>
          <w:tblCellMar>
            <w:top w:w="0" w:type="dxa"/>
            <w:left w:w="51" w:type="dxa"/>
            <w:bottom w:w="0" w:type="dxa"/>
            <w:right w:w="51" w:type="dxa"/>
          </w:tblCellMar>
        </w:tblPrEx>
        <w:trPr>
          <w:jc w:val="center"/>
        </w:trPr>
        <w:tc>
          <w:tcPr>
            <w:tcW w:w="4395" w:type="dxa"/>
          </w:tcPr>
          <w:p w14:paraId="5DB7C2B9">
            <w:pPr>
              <w:pStyle w:val="5"/>
              <w:spacing w:line="360" w:lineRule="auto"/>
              <w:ind w:firstLine="0"/>
              <w:rPr>
                <w:rFonts w:hint="eastAsia" w:ascii="宋体" w:hAnsi="宋体" w:cs="宋体"/>
                <w:szCs w:val="21"/>
              </w:rPr>
            </w:pPr>
            <w:r>
              <w:rPr>
                <w:rFonts w:hint="eastAsia" w:ascii="宋体" w:hAnsi="宋体" w:cs="宋体"/>
                <w:szCs w:val="21"/>
              </w:rPr>
              <w:t>法定代表人</w:t>
            </w:r>
          </w:p>
        </w:tc>
        <w:tc>
          <w:tcPr>
            <w:tcW w:w="425" w:type="dxa"/>
            <w:tcMar>
              <w:top w:w="0" w:type="dxa"/>
              <w:left w:w="0" w:type="dxa"/>
              <w:bottom w:w="0" w:type="dxa"/>
              <w:right w:w="0" w:type="dxa"/>
            </w:tcMar>
            <w:vAlign w:val="center"/>
          </w:tcPr>
          <w:p w14:paraId="0CA08658">
            <w:pPr>
              <w:pStyle w:val="5"/>
              <w:spacing w:line="360" w:lineRule="auto"/>
              <w:rPr>
                <w:rFonts w:hint="eastAsia" w:ascii="宋体" w:hAnsi="宋体" w:cs="宋体"/>
                <w:sz w:val="10"/>
                <w:szCs w:val="10"/>
              </w:rPr>
            </w:pPr>
          </w:p>
        </w:tc>
        <w:tc>
          <w:tcPr>
            <w:tcW w:w="4250" w:type="dxa"/>
          </w:tcPr>
          <w:p w14:paraId="096C6396">
            <w:pPr>
              <w:pStyle w:val="5"/>
              <w:spacing w:line="360" w:lineRule="auto"/>
              <w:ind w:firstLine="0"/>
              <w:rPr>
                <w:rFonts w:hint="eastAsia" w:ascii="宋体" w:hAnsi="宋体" w:cs="宋体"/>
                <w:szCs w:val="21"/>
              </w:rPr>
            </w:pPr>
            <w:r>
              <w:rPr>
                <w:rFonts w:hint="eastAsia" w:ascii="宋体" w:hAnsi="宋体" w:cs="宋体"/>
                <w:szCs w:val="21"/>
              </w:rPr>
              <w:t>法定代表人</w:t>
            </w:r>
          </w:p>
        </w:tc>
      </w:tr>
      <w:tr w14:paraId="2F648D4D">
        <w:tblPrEx>
          <w:tblCellMar>
            <w:top w:w="0" w:type="dxa"/>
            <w:left w:w="51" w:type="dxa"/>
            <w:bottom w:w="0" w:type="dxa"/>
            <w:right w:w="51" w:type="dxa"/>
          </w:tblCellMar>
        </w:tblPrEx>
        <w:trPr>
          <w:trHeight w:val="637" w:hRule="atLeast"/>
          <w:jc w:val="center"/>
        </w:trPr>
        <w:tc>
          <w:tcPr>
            <w:tcW w:w="4395" w:type="dxa"/>
          </w:tcPr>
          <w:p w14:paraId="60356F3D">
            <w:pPr>
              <w:pStyle w:val="5"/>
              <w:ind w:firstLine="0"/>
              <w:rPr>
                <w:rFonts w:hint="eastAsia" w:ascii="宋体" w:hAnsi="宋体" w:cs="宋体"/>
                <w:szCs w:val="21"/>
              </w:rPr>
            </w:pPr>
            <w:r>
              <w:rPr>
                <w:rFonts w:hint="eastAsia" w:ascii="宋体" w:hAnsi="宋体" w:cs="宋体"/>
                <w:szCs w:val="21"/>
              </w:rPr>
              <w:t>或其委托代理人：</w:t>
            </w:r>
          </w:p>
          <w:p w14:paraId="05CF0790">
            <w:pPr>
              <w:pStyle w:val="5"/>
              <w:ind w:firstLine="0"/>
              <w:rPr>
                <w:rFonts w:hint="eastAsia" w:ascii="宋体" w:hAnsi="宋体" w:cs="宋体"/>
                <w:szCs w:val="21"/>
              </w:rPr>
            </w:pPr>
            <w:r>
              <w:rPr>
                <w:rFonts w:hint="eastAsia" w:ascii="宋体" w:hAnsi="宋体" w:cs="宋体"/>
                <w:szCs w:val="21"/>
              </w:rPr>
              <w:t>（签章）</w:t>
            </w:r>
          </w:p>
        </w:tc>
        <w:tc>
          <w:tcPr>
            <w:tcW w:w="425" w:type="dxa"/>
            <w:tcMar>
              <w:top w:w="0" w:type="dxa"/>
              <w:left w:w="0" w:type="dxa"/>
              <w:bottom w:w="0" w:type="dxa"/>
              <w:right w:w="0" w:type="dxa"/>
            </w:tcMar>
            <w:vAlign w:val="center"/>
          </w:tcPr>
          <w:p w14:paraId="3203348F">
            <w:pPr>
              <w:pStyle w:val="5"/>
              <w:spacing w:line="360" w:lineRule="auto"/>
              <w:rPr>
                <w:rFonts w:hint="eastAsia" w:ascii="宋体" w:hAnsi="宋体" w:cs="宋体"/>
                <w:sz w:val="10"/>
                <w:szCs w:val="10"/>
              </w:rPr>
            </w:pPr>
          </w:p>
        </w:tc>
        <w:tc>
          <w:tcPr>
            <w:tcW w:w="4250" w:type="dxa"/>
          </w:tcPr>
          <w:p w14:paraId="49DD9125">
            <w:pPr>
              <w:pStyle w:val="5"/>
              <w:ind w:firstLine="0"/>
              <w:rPr>
                <w:rFonts w:hint="eastAsia" w:ascii="宋体" w:hAnsi="宋体" w:cs="宋体"/>
                <w:szCs w:val="21"/>
              </w:rPr>
            </w:pPr>
            <w:r>
              <w:rPr>
                <w:rFonts w:hint="eastAsia" w:ascii="宋体" w:hAnsi="宋体" w:cs="宋体"/>
                <w:szCs w:val="21"/>
              </w:rPr>
              <w:t>或其委托代理人：</w:t>
            </w:r>
          </w:p>
          <w:p w14:paraId="63EF7B50">
            <w:pPr>
              <w:pStyle w:val="5"/>
              <w:ind w:firstLine="0"/>
              <w:rPr>
                <w:rFonts w:hint="eastAsia" w:ascii="宋体" w:hAnsi="宋体" w:cs="宋体"/>
                <w:szCs w:val="21"/>
              </w:rPr>
            </w:pPr>
            <w:r>
              <w:rPr>
                <w:rFonts w:hint="eastAsia" w:ascii="宋体" w:hAnsi="宋体" w:cs="宋体"/>
                <w:szCs w:val="21"/>
              </w:rPr>
              <w:t>（签章）</w:t>
            </w:r>
          </w:p>
        </w:tc>
      </w:tr>
      <w:tr w14:paraId="02864DC0">
        <w:tblPrEx>
          <w:tblCellMar>
            <w:top w:w="0" w:type="dxa"/>
            <w:left w:w="51" w:type="dxa"/>
            <w:bottom w:w="0" w:type="dxa"/>
            <w:right w:w="51" w:type="dxa"/>
          </w:tblCellMar>
        </w:tblPrEx>
        <w:trPr>
          <w:jc w:val="center"/>
        </w:trPr>
        <w:tc>
          <w:tcPr>
            <w:tcW w:w="4395" w:type="dxa"/>
            <w:vAlign w:val="center"/>
          </w:tcPr>
          <w:p w14:paraId="45A04931">
            <w:pPr>
              <w:rPr>
                <w:sz w:val="28"/>
                <w:szCs w:val="28"/>
              </w:rPr>
            </w:pPr>
            <w:r>
              <w:rPr>
                <w:rFonts w:hint="eastAsia" w:ascii="宋体" w:hAnsi="宋体" w:cs="宋体"/>
                <w:szCs w:val="21"/>
              </w:rPr>
              <w:t>开户银行：建行南宁新民路支行</w:t>
            </w:r>
          </w:p>
        </w:tc>
        <w:tc>
          <w:tcPr>
            <w:tcW w:w="425" w:type="dxa"/>
            <w:tcMar>
              <w:top w:w="0" w:type="dxa"/>
              <w:left w:w="0" w:type="dxa"/>
              <w:bottom w:w="0" w:type="dxa"/>
              <w:right w:w="0" w:type="dxa"/>
            </w:tcMar>
            <w:vAlign w:val="center"/>
          </w:tcPr>
          <w:p w14:paraId="3205E888">
            <w:pPr>
              <w:pStyle w:val="5"/>
              <w:spacing w:line="360" w:lineRule="auto"/>
              <w:rPr>
                <w:rFonts w:hint="eastAsia" w:ascii="宋体" w:hAnsi="宋体" w:cs="宋体"/>
                <w:sz w:val="10"/>
                <w:szCs w:val="10"/>
              </w:rPr>
            </w:pPr>
          </w:p>
        </w:tc>
        <w:tc>
          <w:tcPr>
            <w:tcW w:w="4250" w:type="dxa"/>
            <w:vAlign w:val="center"/>
          </w:tcPr>
          <w:p w14:paraId="176E76FC">
            <w:pPr>
              <w:ind w:left="1050" w:hanging="1050" w:hangingChars="500"/>
              <w:rPr>
                <w:rFonts w:hint="eastAsia" w:eastAsia="宋体"/>
                <w:sz w:val="28"/>
                <w:szCs w:val="28"/>
                <w:lang w:eastAsia="zh-CN"/>
              </w:rPr>
            </w:pPr>
            <w:r>
              <w:rPr>
                <w:rFonts w:hint="eastAsia" w:ascii="宋体" w:hAnsi="宋体" w:cs="宋体"/>
                <w:szCs w:val="21"/>
              </w:rPr>
              <w:t>开户银行：</w:t>
            </w:r>
            <w:r>
              <w:rPr>
                <w:rFonts w:hint="eastAsia" w:ascii="宋体" w:hAnsi="宋体" w:cs="宋体"/>
                <w:lang w:val="en-US" w:eastAsia="zh-CN"/>
              </w:rPr>
              <w:t xml:space="preserve"> </w:t>
            </w:r>
          </w:p>
        </w:tc>
      </w:tr>
      <w:tr w14:paraId="7F6C9303">
        <w:tblPrEx>
          <w:tblCellMar>
            <w:top w:w="0" w:type="dxa"/>
            <w:left w:w="51" w:type="dxa"/>
            <w:bottom w:w="0" w:type="dxa"/>
            <w:right w:w="51" w:type="dxa"/>
          </w:tblCellMar>
        </w:tblPrEx>
        <w:trPr>
          <w:jc w:val="center"/>
        </w:trPr>
        <w:tc>
          <w:tcPr>
            <w:tcW w:w="4395" w:type="dxa"/>
            <w:vAlign w:val="center"/>
          </w:tcPr>
          <w:p w14:paraId="2C463B4D">
            <w:pPr>
              <w:rPr>
                <w:sz w:val="28"/>
                <w:szCs w:val="28"/>
              </w:rPr>
            </w:pPr>
            <w:r>
              <w:rPr>
                <w:rFonts w:hint="eastAsia" w:ascii="宋体" w:hAnsi="宋体" w:cs="宋体"/>
                <w:szCs w:val="21"/>
              </w:rPr>
              <w:t>开户账号：</w:t>
            </w:r>
            <w:r>
              <w:rPr>
                <w:rFonts w:ascii="宋体" w:hAnsi="宋体" w:cs="宋体"/>
                <w:szCs w:val="21"/>
              </w:rPr>
              <w:t>45001604258050502193</w:t>
            </w:r>
          </w:p>
        </w:tc>
        <w:tc>
          <w:tcPr>
            <w:tcW w:w="425" w:type="dxa"/>
            <w:tcMar>
              <w:top w:w="0" w:type="dxa"/>
              <w:left w:w="0" w:type="dxa"/>
              <w:bottom w:w="0" w:type="dxa"/>
              <w:right w:w="0" w:type="dxa"/>
            </w:tcMar>
            <w:vAlign w:val="center"/>
          </w:tcPr>
          <w:p w14:paraId="093550CD">
            <w:pPr>
              <w:pStyle w:val="5"/>
              <w:spacing w:line="360" w:lineRule="auto"/>
              <w:rPr>
                <w:rFonts w:hint="eastAsia" w:ascii="宋体" w:hAnsi="宋体" w:cs="宋体"/>
                <w:sz w:val="10"/>
                <w:szCs w:val="10"/>
              </w:rPr>
            </w:pPr>
          </w:p>
        </w:tc>
        <w:tc>
          <w:tcPr>
            <w:tcW w:w="4250" w:type="dxa"/>
            <w:vAlign w:val="center"/>
          </w:tcPr>
          <w:p w14:paraId="13B378C4">
            <w:pPr>
              <w:rPr>
                <w:rFonts w:hint="eastAsia" w:eastAsia="宋体"/>
                <w:sz w:val="28"/>
                <w:szCs w:val="28"/>
                <w:lang w:eastAsia="zh-CN"/>
              </w:rPr>
            </w:pPr>
            <w:r>
              <w:rPr>
                <w:rFonts w:hint="eastAsia" w:ascii="宋体" w:hAnsi="宋体" w:cs="宋体"/>
                <w:szCs w:val="21"/>
              </w:rPr>
              <w:t>开户账号：</w:t>
            </w:r>
            <w:r>
              <w:rPr>
                <w:rFonts w:hint="eastAsia" w:ascii="宋体" w:hAnsi="宋体" w:cs="宋体"/>
                <w:lang w:val="en-US" w:eastAsia="zh-CN"/>
              </w:rPr>
              <w:t xml:space="preserve"> </w:t>
            </w:r>
          </w:p>
        </w:tc>
      </w:tr>
      <w:tr w14:paraId="15B249F9">
        <w:tblPrEx>
          <w:tblCellMar>
            <w:top w:w="0" w:type="dxa"/>
            <w:left w:w="51" w:type="dxa"/>
            <w:bottom w:w="0" w:type="dxa"/>
            <w:right w:w="51" w:type="dxa"/>
          </w:tblCellMar>
        </w:tblPrEx>
        <w:trPr>
          <w:jc w:val="center"/>
        </w:trPr>
        <w:tc>
          <w:tcPr>
            <w:tcW w:w="4395" w:type="dxa"/>
            <w:vAlign w:val="center"/>
          </w:tcPr>
          <w:p w14:paraId="084284C4">
            <w:pPr>
              <w:rPr>
                <w:rFonts w:hint="eastAsia" w:ascii="宋体" w:hAnsi="宋体" w:cs="宋体"/>
                <w:szCs w:val="21"/>
              </w:rPr>
            </w:pPr>
            <w:r>
              <w:rPr>
                <w:rFonts w:hint="eastAsia" w:ascii="宋体" w:hAnsi="宋体" w:cs="宋体"/>
                <w:szCs w:val="21"/>
              </w:rPr>
              <w:t>开户名称：广西壮族自治区水运发展中心</w:t>
            </w:r>
          </w:p>
        </w:tc>
        <w:tc>
          <w:tcPr>
            <w:tcW w:w="425" w:type="dxa"/>
          </w:tcPr>
          <w:p w14:paraId="76A6275F">
            <w:pPr>
              <w:pStyle w:val="5"/>
              <w:spacing w:line="360" w:lineRule="auto"/>
              <w:rPr>
                <w:rFonts w:hint="eastAsia" w:ascii="宋体" w:hAnsi="宋体" w:cs="宋体"/>
                <w:sz w:val="10"/>
                <w:szCs w:val="10"/>
              </w:rPr>
            </w:pPr>
          </w:p>
        </w:tc>
        <w:tc>
          <w:tcPr>
            <w:tcW w:w="4250" w:type="dxa"/>
            <w:vAlign w:val="center"/>
          </w:tcPr>
          <w:p w14:paraId="41D509DB">
            <w:pPr>
              <w:rPr>
                <w:rFonts w:hint="eastAsia" w:ascii="宋体" w:hAnsi="宋体" w:eastAsia="宋体" w:cs="宋体"/>
                <w:szCs w:val="21"/>
                <w:lang w:eastAsia="zh-CN"/>
              </w:rPr>
            </w:pPr>
            <w:r>
              <w:rPr>
                <w:rFonts w:hint="eastAsia" w:ascii="宋体" w:hAnsi="宋体" w:cs="宋体"/>
                <w:szCs w:val="21"/>
              </w:rPr>
              <w:t>开户名称：</w:t>
            </w:r>
            <w:r>
              <w:rPr>
                <w:rFonts w:hint="eastAsia" w:ascii="宋体" w:hAnsi="宋体" w:cs="宋体"/>
                <w:lang w:val="en-US" w:eastAsia="zh-CN"/>
              </w:rPr>
              <w:t xml:space="preserve"> </w:t>
            </w:r>
          </w:p>
        </w:tc>
      </w:tr>
      <w:tr w14:paraId="2CD77DC3">
        <w:tblPrEx>
          <w:tblCellMar>
            <w:top w:w="0" w:type="dxa"/>
            <w:left w:w="51" w:type="dxa"/>
            <w:bottom w:w="0" w:type="dxa"/>
            <w:right w:w="51" w:type="dxa"/>
          </w:tblCellMar>
        </w:tblPrEx>
        <w:trPr>
          <w:jc w:val="center"/>
        </w:trPr>
        <w:tc>
          <w:tcPr>
            <w:tcW w:w="4395" w:type="dxa"/>
            <w:vAlign w:val="center"/>
          </w:tcPr>
          <w:p w14:paraId="30024269">
            <w:pPr>
              <w:pStyle w:val="5"/>
              <w:spacing w:line="360" w:lineRule="auto"/>
              <w:ind w:firstLine="0"/>
              <w:rPr>
                <w:rFonts w:hint="eastAsia" w:ascii="宋体" w:hAnsi="宋体" w:cs="宋体"/>
                <w:szCs w:val="21"/>
              </w:rPr>
            </w:pPr>
            <w:r>
              <w:rPr>
                <w:rFonts w:hint="eastAsia" w:ascii="宋体" w:hAnsi="宋体" w:cs="宋体"/>
                <w:szCs w:val="21"/>
              </w:rPr>
              <w:t>单位地址：南宁市青秀区百花岭路6号</w:t>
            </w:r>
          </w:p>
        </w:tc>
        <w:tc>
          <w:tcPr>
            <w:tcW w:w="425" w:type="dxa"/>
          </w:tcPr>
          <w:p w14:paraId="12210B56">
            <w:pPr>
              <w:pStyle w:val="5"/>
              <w:spacing w:line="360" w:lineRule="auto"/>
              <w:rPr>
                <w:rFonts w:hint="eastAsia" w:ascii="宋体" w:hAnsi="宋体" w:cs="宋体"/>
                <w:sz w:val="10"/>
                <w:szCs w:val="10"/>
              </w:rPr>
            </w:pPr>
          </w:p>
        </w:tc>
        <w:tc>
          <w:tcPr>
            <w:tcW w:w="4250" w:type="dxa"/>
            <w:vAlign w:val="center"/>
          </w:tcPr>
          <w:p w14:paraId="0412FD6E">
            <w:pPr>
              <w:pStyle w:val="5"/>
              <w:spacing w:line="360" w:lineRule="auto"/>
              <w:ind w:firstLine="0"/>
              <w:rPr>
                <w:rFonts w:hint="eastAsia" w:ascii="宋体" w:hAnsi="宋体" w:eastAsia="宋体" w:cs="宋体"/>
                <w:szCs w:val="21"/>
                <w:lang w:eastAsia="zh-CN"/>
              </w:rPr>
            </w:pPr>
            <w:r>
              <w:rPr>
                <w:rFonts w:hint="eastAsia" w:ascii="宋体" w:hAnsi="宋体" w:cs="宋体"/>
                <w:szCs w:val="21"/>
              </w:rPr>
              <w:t>单位地址：</w:t>
            </w:r>
            <w:r>
              <w:rPr>
                <w:rFonts w:hint="eastAsia" w:ascii="宋体" w:hAnsi="宋体" w:cs="宋体"/>
                <w:szCs w:val="21"/>
                <w:lang w:val="en-US" w:eastAsia="zh-CN"/>
              </w:rPr>
              <w:t xml:space="preserve"> </w:t>
            </w:r>
          </w:p>
        </w:tc>
      </w:tr>
      <w:tr w14:paraId="49B99222">
        <w:tblPrEx>
          <w:tblCellMar>
            <w:top w:w="0" w:type="dxa"/>
            <w:left w:w="51" w:type="dxa"/>
            <w:bottom w:w="0" w:type="dxa"/>
            <w:right w:w="51" w:type="dxa"/>
          </w:tblCellMar>
        </w:tblPrEx>
        <w:trPr>
          <w:jc w:val="center"/>
        </w:trPr>
        <w:tc>
          <w:tcPr>
            <w:tcW w:w="4395" w:type="dxa"/>
            <w:vAlign w:val="center"/>
          </w:tcPr>
          <w:p w14:paraId="171246C8">
            <w:pPr>
              <w:pStyle w:val="5"/>
              <w:spacing w:line="360" w:lineRule="auto"/>
              <w:ind w:firstLine="0"/>
              <w:rPr>
                <w:rFonts w:hint="eastAsia" w:ascii="宋体" w:hAnsi="宋体" w:eastAsia="宋体" w:cs="宋体"/>
                <w:szCs w:val="21"/>
                <w:lang w:eastAsia="zh-CN"/>
              </w:rPr>
            </w:pPr>
            <w:r>
              <w:rPr>
                <w:rFonts w:hint="eastAsia" w:ascii="宋体" w:hAnsi="宋体" w:cs="宋体"/>
                <w:szCs w:val="21"/>
              </w:rPr>
              <w:t>联系人：</w:t>
            </w:r>
            <w:r>
              <w:rPr>
                <w:rFonts w:hint="eastAsia" w:ascii="宋体" w:hAnsi="宋体" w:cs="宋体"/>
                <w:szCs w:val="21"/>
                <w:lang w:val="en-US" w:eastAsia="zh-CN"/>
              </w:rPr>
              <w:t xml:space="preserve"> </w:t>
            </w:r>
          </w:p>
        </w:tc>
        <w:tc>
          <w:tcPr>
            <w:tcW w:w="425" w:type="dxa"/>
          </w:tcPr>
          <w:p w14:paraId="752B0D7D">
            <w:pPr>
              <w:pStyle w:val="5"/>
              <w:spacing w:line="360" w:lineRule="auto"/>
              <w:rPr>
                <w:rFonts w:hint="eastAsia" w:ascii="宋体" w:hAnsi="宋体" w:cs="宋体"/>
                <w:sz w:val="10"/>
                <w:szCs w:val="10"/>
              </w:rPr>
            </w:pPr>
          </w:p>
        </w:tc>
        <w:tc>
          <w:tcPr>
            <w:tcW w:w="4250" w:type="dxa"/>
            <w:vAlign w:val="center"/>
          </w:tcPr>
          <w:p w14:paraId="4524B92E">
            <w:pPr>
              <w:pStyle w:val="5"/>
              <w:spacing w:line="360" w:lineRule="auto"/>
              <w:ind w:firstLine="0"/>
              <w:rPr>
                <w:rFonts w:hint="eastAsia" w:ascii="宋体" w:hAnsi="宋体" w:eastAsia="宋体" w:cs="宋体"/>
                <w:szCs w:val="21"/>
                <w:lang w:eastAsia="zh-CN"/>
              </w:rPr>
            </w:pPr>
            <w:r>
              <w:rPr>
                <w:rFonts w:hint="eastAsia" w:ascii="宋体" w:hAnsi="宋体" w:cs="宋体"/>
                <w:szCs w:val="21"/>
              </w:rPr>
              <w:t>联系人：</w:t>
            </w:r>
            <w:r>
              <w:rPr>
                <w:rFonts w:hint="eastAsia" w:ascii="宋体" w:hAnsi="宋体" w:cs="宋体"/>
                <w:szCs w:val="21"/>
                <w:lang w:val="en-US" w:eastAsia="zh-CN"/>
              </w:rPr>
              <w:t xml:space="preserve"> </w:t>
            </w:r>
          </w:p>
        </w:tc>
      </w:tr>
      <w:tr w14:paraId="5C11CF35">
        <w:tblPrEx>
          <w:tblCellMar>
            <w:top w:w="0" w:type="dxa"/>
            <w:left w:w="51" w:type="dxa"/>
            <w:bottom w:w="0" w:type="dxa"/>
            <w:right w:w="51" w:type="dxa"/>
          </w:tblCellMar>
        </w:tblPrEx>
        <w:trPr>
          <w:jc w:val="center"/>
        </w:trPr>
        <w:tc>
          <w:tcPr>
            <w:tcW w:w="4395" w:type="dxa"/>
            <w:vAlign w:val="center"/>
          </w:tcPr>
          <w:p w14:paraId="59BCBD28">
            <w:pPr>
              <w:pStyle w:val="5"/>
              <w:spacing w:line="360" w:lineRule="auto"/>
              <w:ind w:firstLine="0"/>
              <w:rPr>
                <w:rFonts w:hint="eastAsia" w:ascii="宋体" w:hAnsi="宋体" w:eastAsia="宋体" w:cs="宋体"/>
                <w:szCs w:val="21"/>
                <w:lang w:eastAsia="zh-CN"/>
              </w:rPr>
            </w:pPr>
            <w:r>
              <w:rPr>
                <w:rFonts w:hint="eastAsia" w:ascii="宋体" w:hAnsi="宋体" w:cs="宋体"/>
                <w:szCs w:val="21"/>
              </w:rPr>
              <w:t>联系电话：</w:t>
            </w:r>
            <w:r>
              <w:rPr>
                <w:rFonts w:hint="eastAsia" w:ascii="宋体" w:hAnsi="宋体" w:cs="宋体"/>
                <w:szCs w:val="21"/>
                <w:lang w:val="en-US" w:eastAsia="zh-CN"/>
              </w:rPr>
              <w:t xml:space="preserve"> </w:t>
            </w:r>
          </w:p>
        </w:tc>
        <w:tc>
          <w:tcPr>
            <w:tcW w:w="425" w:type="dxa"/>
          </w:tcPr>
          <w:p w14:paraId="3470E63A">
            <w:pPr>
              <w:pStyle w:val="5"/>
              <w:spacing w:line="360" w:lineRule="auto"/>
              <w:rPr>
                <w:rFonts w:hint="eastAsia" w:ascii="宋体" w:hAnsi="宋体" w:cs="宋体"/>
                <w:sz w:val="10"/>
                <w:szCs w:val="10"/>
              </w:rPr>
            </w:pPr>
          </w:p>
        </w:tc>
        <w:tc>
          <w:tcPr>
            <w:tcW w:w="4250" w:type="dxa"/>
            <w:vAlign w:val="center"/>
          </w:tcPr>
          <w:p w14:paraId="7FF5A1CF">
            <w:pPr>
              <w:pStyle w:val="5"/>
              <w:spacing w:line="360" w:lineRule="auto"/>
              <w:ind w:firstLine="0"/>
              <w:rPr>
                <w:rFonts w:hint="eastAsia" w:ascii="宋体" w:hAnsi="宋体" w:eastAsia="宋体" w:cs="宋体"/>
                <w:szCs w:val="21"/>
                <w:lang w:eastAsia="zh-CN"/>
              </w:rPr>
            </w:pPr>
            <w:r>
              <w:rPr>
                <w:rFonts w:hint="eastAsia" w:ascii="宋体" w:hAnsi="宋体" w:cs="宋体"/>
                <w:szCs w:val="21"/>
              </w:rPr>
              <w:t>联系电话：</w:t>
            </w:r>
            <w:r>
              <w:rPr>
                <w:rFonts w:hint="eastAsia" w:ascii="宋体" w:hAnsi="宋体" w:cs="宋体"/>
                <w:szCs w:val="21"/>
                <w:lang w:val="en-US" w:eastAsia="zh-CN"/>
              </w:rPr>
              <w:t xml:space="preserve"> </w:t>
            </w:r>
          </w:p>
        </w:tc>
      </w:tr>
      <w:tr w14:paraId="5D4B7289">
        <w:tblPrEx>
          <w:tblCellMar>
            <w:top w:w="0" w:type="dxa"/>
            <w:left w:w="51" w:type="dxa"/>
            <w:bottom w:w="0" w:type="dxa"/>
            <w:right w:w="51" w:type="dxa"/>
          </w:tblCellMar>
        </w:tblPrEx>
        <w:trPr>
          <w:trHeight w:val="312" w:hRule="atLeast"/>
          <w:jc w:val="center"/>
        </w:trPr>
        <w:tc>
          <w:tcPr>
            <w:tcW w:w="4395" w:type="dxa"/>
            <w:vAlign w:val="center"/>
          </w:tcPr>
          <w:p w14:paraId="1C71262B">
            <w:pPr>
              <w:pStyle w:val="5"/>
              <w:spacing w:line="360" w:lineRule="auto"/>
              <w:ind w:firstLine="0"/>
              <w:rPr>
                <w:rFonts w:hint="eastAsia" w:ascii="宋体" w:hAnsi="宋体" w:cs="宋体"/>
                <w:szCs w:val="21"/>
              </w:rPr>
            </w:pPr>
          </w:p>
        </w:tc>
        <w:tc>
          <w:tcPr>
            <w:tcW w:w="425" w:type="dxa"/>
          </w:tcPr>
          <w:p w14:paraId="4BBB4BD5">
            <w:pPr>
              <w:pStyle w:val="5"/>
              <w:spacing w:line="360" w:lineRule="auto"/>
              <w:rPr>
                <w:rFonts w:hint="eastAsia" w:ascii="宋体" w:hAnsi="宋体" w:cs="宋体"/>
                <w:sz w:val="10"/>
                <w:szCs w:val="10"/>
              </w:rPr>
            </w:pPr>
          </w:p>
        </w:tc>
        <w:tc>
          <w:tcPr>
            <w:tcW w:w="4250" w:type="dxa"/>
            <w:vAlign w:val="center"/>
          </w:tcPr>
          <w:p w14:paraId="2D656358">
            <w:pPr>
              <w:pStyle w:val="5"/>
              <w:spacing w:line="360" w:lineRule="auto"/>
              <w:ind w:firstLine="0"/>
              <w:rPr>
                <w:rFonts w:hint="eastAsia" w:ascii="宋体" w:hAnsi="宋体" w:cs="宋体"/>
                <w:szCs w:val="21"/>
              </w:rPr>
            </w:pPr>
          </w:p>
        </w:tc>
      </w:tr>
      <w:tr w14:paraId="6DED8197">
        <w:tblPrEx>
          <w:tblCellMar>
            <w:top w:w="0" w:type="dxa"/>
            <w:left w:w="51" w:type="dxa"/>
            <w:bottom w:w="0" w:type="dxa"/>
            <w:right w:w="51" w:type="dxa"/>
          </w:tblCellMar>
        </w:tblPrEx>
        <w:trPr>
          <w:jc w:val="center"/>
        </w:trPr>
        <w:tc>
          <w:tcPr>
            <w:tcW w:w="9070" w:type="dxa"/>
            <w:gridSpan w:val="3"/>
            <w:vAlign w:val="center"/>
          </w:tcPr>
          <w:p w14:paraId="2AD42BEC">
            <w:pPr>
              <w:pStyle w:val="5"/>
              <w:spacing w:line="360" w:lineRule="auto"/>
              <w:ind w:firstLine="0"/>
              <w:jc w:val="center"/>
              <w:rPr>
                <w:rFonts w:hint="eastAsia" w:ascii="宋体" w:hAnsi="宋体" w:cs="宋体"/>
                <w:szCs w:val="21"/>
              </w:rPr>
            </w:pPr>
            <w:r>
              <w:rPr>
                <w:rFonts w:hint="eastAsia" w:ascii="宋体" w:hAnsi="宋体" w:cs="宋体"/>
                <w:szCs w:val="21"/>
              </w:rPr>
              <w:t>签订日期：</w:t>
            </w:r>
            <w:r>
              <w:rPr>
                <w:rFonts w:hint="eastAsia" w:ascii="宋体" w:hAnsi="宋体" w:cs="宋体"/>
                <w:szCs w:val="21"/>
                <w:u w:val="single"/>
              </w:rPr>
              <w:t>2026</w:t>
            </w:r>
            <w:r>
              <w:rPr>
                <w:rFonts w:hint="eastAsia" w:ascii="宋体" w:hAnsi="宋体" w:cs="宋体"/>
                <w:szCs w:val="21"/>
              </w:rPr>
              <w:t>年</w:t>
            </w:r>
            <w:r>
              <w:rPr>
                <w:rFonts w:hint="eastAsia" w:ascii="宋体" w:hAnsi="宋体" w:cs="宋体"/>
                <w:szCs w:val="21"/>
                <w:u w:val="single"/>
              </w:rPr>
              <w:t xml:space="preserve">  </w:t>
            </w:r>
            <w:r>
              <w:rPr>
                <w:rFonts w:ascii="宋体" w:hAnsi="宋体" w:cs="宋体"/>
                <w:szCs w:val="21"/>
                <w:u w:val="single"/>
              </w:rPr>
              <w:t xml:space="preserve"> </w:t>
            </w:r>
            <w:r>
              <w:rPr>
                <w:rFonts w:hint="eastAsia" w:ascii="宋体" w:hAnsi="宋体" w:cs="宋体"/>
                <w:szCs w:val="21"/>
              </w:rPr>
              <w:t>月</w:t>
            </w:r>
            <w:r>
              <w:rPr>
                <w:rFonts w:hint="eastAsia" w:ascii="宋体" w:hAnsi="宋体" w:cs="宋体"/>
                <w:szCs w:val="21"/>
                <w:u w:val="single"/>
              </w:rPr>
              <w:t xml:space="preserve">   </w:t>
            </w:r>
            <w:r>
              <w:rPr>
                <w:rFonts w:hint="eastAsia" w:ascii="宋体" w:hAnsi="宋体" w:cs="宋体"/>
                <w:szCs w:val="21"/>
              </w:rPr>
              <w:t>日</w:t>
            </w:r>
          </w:p>
        </w:tc>
      </w:tr>
    </w:tbl>
    <w:p w14:paraId="5CE8BB13">
      <w:pPr>
        <w:pStyle w:val="10"/>
        <w:spacing w:after="0"/>
        <w:jc w:val="center"/>
        <w:rPr>
          <w:rFonts w:hint="eastAsia" w:ascii="宋体" w:hAnsi="宋体" w:cs="宋体"/>
          <w:color w:val="000000"/>
          <w:sz w:val="24"/>
        </w:rPr>
      </w:pPr>
    </w:p>
    <w:p w14:paraId="1A78DE4E">
      <w:pPr>
        <w:rPr>
          <w:rFonts w:hint="eastAsia" w:ascii="宋体" w:hAnsi="宋体" w:cs="宋体"/>
          <w:szCs w:val="21"/>
        </w:rPr>
      </w:pPr>
      <w:r>
        <w:rPr>
          <w:rFonts w:ascii="宋体" w:hAnsi="宋体" w:cs="宋体"/>
          <w:szCs w:val="21"/>
        </w:rPr>
        <w:br w:type="page"/>
      </w:r>
    </w:p>
    <w:p w14:paraId="4ACB4452">
      <w:pPr>
        <w:spacing w:before="156" w:beforeLines="50" w:after="156" w:afterLines="50" w:line="360" w:lineRule="auto"/>
        <w:jc w:val="both"/>
        <w:outlineLvl w:val="1"/>
        <w:rPr>
          <w:rFonts w:hint="eastAsia" w:ascii="宋体" w:hAnsi="宋体" w:eastAsia="宋体" w:cs="宋体"/>
          <w:sz w:val="24"/>
          <w:szCs w:val="24"/>
        </w:rPr>
      </w:pPr>
      <w:bookmarkStart w:id="366" w:name="_Toc21149"/>
      <w:bookmarkStart w:id="367" w:name="_Toc16541"/>
      <w:bookmarkStart w:id="368" w:name="_Toc29314"/>
      <w:bookmarkStart w:id="369" w:name="_Toc28209"/>
      <w:bookmarkStart w:id="370" w:name="_Toc14961"/>
      <w:bookmarkStart w:id="371" w:name="_Toc32300"/>
      <w:bookmarkStart w:id="372" w:name="_Toc14353"/>
      <w:bookmarkStart w:id="373" w:name="_Toc13604"/>
      <w:bookmarkStart w:id="374" w:name="_Toc29758"/>
      <w:bookmarkStart w:id="375" w:name="_Toc1355"/>
      <w:bookmarkStart w:id="376" w:name="_Toc29518"/>
      <w:bookmarkStart w:id="377" w:name="_Toc18155"/>
      <w:bookmarkStart w:id="378" w:name="_Toc25659"/>
      <w:bookmarkStart w:id="379" w:name="_Toc11386"/>
      <w:bookmarkStart w:id="380" w:name="_Toc18546"/>
      <w:r>
        <w:rPr>
          <w:rFonts w:hint="eastAsia" w:ascii="宋体" w:hAnsi="宋体" w:eastAsia="宋体" w:cs="宋体"/>
          <w:sz w:val="24"/>
          <w:szCs w:val="24"/>
          <w:lang w:eastAsia="zh-CN"/>
        </w:rPr>
        <w:t>附件</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廉政合同</w:t>
      </w:r>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p>
    <w:p w14:paraId="5E052B6F">
      <w:pPr>
        <w:pStyle w:val="5"/>
        <w:snapToGrid w:val="0"/>
        <w:spacing w:line="360" w:lineRule="auto"/>
        <w:ind w:firstLine="0"/>
        <w:jc w:val="center"/>
        <w:rPr>
          <w:rFonts w:hint="eastAsia" w:ascii="宋体" w:hAnsi="宋体" w:cs="宋体"/>
          <w:sz w:val="24"/>
          <w:szCs w:val="24"/>
        </w:rPr>
      </w:pPr>
      <w:r>
        <w:rPr>
          <w:rFonts w:hint="eastAsia" w:ascii="黑体" w:hAnsi="宋体" w:eastAsia="黑体"/>
          <w:sz w:val="32"/>
          <w:szCs w:val="32"/>
        </w:rPr>
        <w:t>廉政合同</w:t>
      </w:r>
    </w:p>
    <w:p w14:paraId="00265CC9">
      <w:pPr>
        <w:pStyle w:val="5"/>
        <w:snapToGrid w:val="0"/>
        <w:spacing w:line="360" w:lineRule="auto"/>
        <w:ind w:firstLine="482"/>
        <w:rPr>
          <w:rFonts w:hint="eastAsia" w:ascii="宋体" w:hAnsi="宋体" w:cs="宋体"/>
          <w:sz w:val="24"/>
          <w:szCs w:val="24"/>
        </w:rPr>
      </w:pPr>
      <w:r>
        <w:rPr>
          <w:rFonts w:hint="eastAsia" w:ascii="宋体" w:hAnsi="宋体" w:cs="宋体"/>
          <w:sz w:val="24"/>
          <w:szCs w:val="24"/>
        </w:rPr>
        <w:t>根据《关于在交通基础设施建设中加强廉政建设的若干意见》以及有关工程建设、廉政建设的规定，为做好工程建设中的党风廉政建设，保证工程建设高效优质，保证建设资金的安全和有效使用以及投资效益，</w:t>
      </w:r>
      <w:r>
        <w:rPr>
          <w:rFonts w:hint="eastAsia" w:ascii="宋体" w:hAnsi="宋体" w:cs="宋体"/>
          <w:sz w:val="24"/>
          <w:szCs w:val="24"/>
          <w:u w:val="single"/>
        </w:rPr>
        <w:t xml:space="preserve"> 广西壮族自治区水运发展中心</w:t>
      </w:r>
      <w:r>
        <w:rPr>
          <w:rFonts w:hint="eastAsia" w:ascii="宋体" w:hAnsi="宋体" w:cs="宋体"/>
          <w:sz w:val="24"/>
          <w:szCs w:val="24"/>
        </w:rPr>
        <w:t>（以下简称:甲方）为一方与另一方</w:t>
      </w:r>
      <w:r>
        <w:rPr>
          <w:rFonts w:hint="eastAsia" w:ascii="宋体" w:hAnsi="宋体" w:cs="宋体"/>
          <w:sz w:val="24"/>
          <w:szCs w:val="24"/>
          <w:u w:val="single"/>
        </w:rPr>
        <w:t xml:space="preserve"> </w:t>
      </w:r>
      <w:r>
        <w:rPr>
          <w:rFonts w:hint="eastAsia" w:ascii="宋体" w:hAnsi="宋体" w:cs="宋体"/>
          <w:sz w:val="24"/>
          <w:szCs w:val="24"/>
          <w:u w:val="single"/>
          <w:lang w:val="en-US" w:eastAsia="zh-CN"/>
        </w:rPr>
        <w:t xml:space="preserve"> </w:t>
      </w:r>
      <w:r>
        <w:rPr>
          <w:rFonts w:hint="eastAsia" w:ascii="宋体" w:hAnsi="宋体" w:cs="宋体"/>
          <w:sz w:val="24"/>
          <w:szCs w:val="24"/>
          <w:u w:val="single"/>
        </w:rPr>
        <w:t xml:space="preserve"> </w:t>
      </w:r>
      <w:r>
        <w:rPr>
          <w:rFonts w:hint="eastAsia" w:ascii="宋体" w:hAnsi="宋体" w:cs="宋体"/>
          <w:sz w:val="24"/>
          <w:szCs w:val="24"/>
        </w:rPr>
        <w:t>（以下称乙方），特订立如下合同。</w:t>
      </w:r>
    </w:p>
    <w:p w14:paraId="28CA4F8C">
      <w:pPr>
        <w:pStyle w:val="5"/>
        <w:snapToGrid w:val="0"/>
        <w:spacing w:line="360" w:lineRule="auto"/>
        <w:ind w:firstLine="482"/>
        <w:rPr>
          <w:rFonts w:hint="eastAsia" w:ascii="宋体" w:hAnsi="宋体" w:cs="宋体"/>
          <w:sz w:val="24"/>
          <w:szCs w:val="24"/>
        </w:rPr>
      </w:pPr>
      <w:r>
        <w:rPr>
          <w:rFonts w:hint="eastAsia" w:ascii="宋体" w:hAnsi="宋体" w:cs="宋体"/>
          <w:sz w:val="24"/>
          <w:szCs w:val="24"/>
        </w:rPr>
        <w:t>第一条  双方的权利和义务</w:t>
      </w:r>
    </w:p>
    <w:p w14:paraId="10FA00E6">
      <w:pPr>
        <w:pStyle w:val="5"/>
        <w:snapToGrid w:val="0"/>
        <w:spacing w:line="360" w:lineRule="auto"/>
        <w:ind w:firstLine="482"/>
        <w:rPr>
          <w:rFonts w:hint="eastAsia" w:ascii="宋体" w:hAnsi="宋体" w:cs="宋体"/>
          <w:sz w:val="24"/>
          <w:szCs w:val="24"/>
        </w:rPr>
      </w:pPr>
      <w:r>
        <w:rPr>
          <w:rFonts w:hint="eastAsia" w:ascii="宋体" w:hAnsi="宋体" w:cs="宋体"/>
          <w:sz w:val="24"/>
          <w:szCs w:val="24"/>
        </w:rPr>
        <w:t>（一）严格遵守党和国家有关法律法规及交通运输部的有关规定。</w:t>
      </w:r>
    </w:p>
    <w:p w14:paraId="309E2A4D">
      <w:pPr>
        <w:pStyle w:val="5"/>
        <w:snapToGrid w:val="0"/>
        <w:spacing w:line="360" w:lineRule="auto"/>
        <w:ind w:firstLine="482"/>
        <w:rPr>
          <w:rFonts w:hint="eastAsia" w:ascii="宋体" w:hAnsi="宋体" w:cs="宋体"/>
          <w:sz w:val="24"/>
          <w:szCs w:val="24"/>
        </w:rPr>
      </w:pPr>
      <w:r>
        <w:rPr>
          <w:rFonts w:hint="eastAsia" w:ascii="宋体" w:hAnsi="宋体" w:cs="宋体"/>
          <w:sz w:val="24"/>
          <w:szCs w:val="24"/>
        </w:rPr>
        <w:t>（二）严格执行</w:t>
      </w:r>
      <w:r>
        <w:rPr>
          <w:rFonts w:hint="eastAsia" w:ascii="宋体" w:hAnsi="宋体" w:cs="宋体"/>
          <w:sz w:val="24"/>
          <w:szCs w:val="24"/>
          <w:u w:val="single"/>
        </w:rPr>
        <w:t>红水河（曹渡河口至桥巩）三级航道</w:t>
      </w:r>
      <w:r>
        <w:rPr>
          <w:rFonts w:hint="eastAsia" w:ascii="宋体" w:hAnsi="宋体" w:cs="宋体"/>
          <w:sz w:val="24"/>
          <w:szCs w:val="24"/>
          <w:u w:val="single"/>
          <w:lang w:eastAsia="zh-CN"/>
        </w:rPr>
        <w:t>工程对广西忻城乐滩国家湿地公园生态影响评价服务</w:t>
      </w:r>
      <w:r>
        <w:rPr>
          <w:rFonts w:hint="eastAsia" w:ascii="宋体" w:hAnsi="宋体" w:cs="宋体"/>
          <w:sz w:val="24"/>
          <w:szCs w:val="24"/>
        </w:rPr>
        <w:t>合同文件，自觉按合同办事。</w:t>
      </w:r>
    </w:p>
    <w:p w14:paraId="50806CBC">
      <w:pPr>
        <w:pStyle w:val="5"/>
        <w:snapToGrid w:val="0"/>
        <w:spacing w:line="360" w:lineRule="auto"/>
        <w:ind w:firstLine="482"/>
        <w:rPr>
          <w:rFonts w:hint="eastAsia" w:ascii="宋体" w:hAnsi="宋体" w:cs="宋体"/>
          <w:sz w:val="24"/>
          <w:szCs w:val="24"/>
        </w:rPr>
      </w:pPr>
      <w:r>
        <w:rPr>
          <w:rFonts w:hint="eastAsia" w:ascii="宋体" w:hAnsi="宋体" w:cs="宋体"/>
          <w:sz w:val="24"/>
          <w:szCs w:val="24"/>
        </w:rPr>
        <w:t>（三）双方的业务活动坚持公开、公正、诚信、透明的原则（除法律认定的商业秘密和合同文件另有规定之外），不得损害国家和集体利益，违反工程建设管理规章制度。</w:t>
      </w:r>
    </w:p>
    <w:p w14:paraId="42D0C0AA">
      <w:pPr>
        <w:pStyle w:val="5"/>
        <w:snapToGrid w:val="0"/>
        <w:spacing w:line="360" w:lineRule="auto"/>
        <w:ind w:firstLine="482"/>
        <w:rPr>
          <w:rFonts w:hint="eastAsia" w:ascii="宋体" w:hAnsi="宋体" w:cs="宋体"/>
          <w:sz w:val="24"/>
          <w:szCs w:val="24"/>
        </w:rPr>
      </w:pPr>
      <w:r>
        <w:rPr>
          <w:rFonts w:hint="eastAsia" w:ascii="宋体" w:hAnsi="宋体" w:cs="宋体"/>
          <w:sz w:val="24"/>
          <w:szCs w:val="24"/>
        </w:rPr>
        <w:t>（四）建立健全廉政制度，开展廉政教育，设立廉政告示牌，公布举报电话，监督并认真查处违法违纪行为。</w:t>
      </w:r>
    </w:p>
    <w:p w14:paraId="5E7B9261">
      <w:pPr>
        <w:pStyle w:val="5"/>
        <w:snapToGrid w:val="0"/>
        <w:spacing w:line="360" w:lineRule="auto"/>
        <w:ind w:firstLine="482"/>
        <w:rPr>
          <w:rFonts w:hint="eastAsia" w:ascii="宋体" w:hAnsi="宋体" w:cs="宋体"/>
          <w:sz w:val="24"/>
          <w:szCs w:val="24"/>
        </w:rPr>
      </w:pPr>
      <w:r>
        <w:rPr>
          <w:rFonts w:hint="eastAsia" w:ascii="宋体" w:hAnsi="宋体" w:cs="宋体"/>
          <w:sz w:val="24"/>
          <w:szCs w:val="24"/>
        </w:rPr>
        <w:t>（五）发现对方在业务活动中有违反廉政规定的行为，有及时提醒对方纠正的权利和义务。</w:t>
      </w:r>
    </w:p>
    <w:p w14:paraId="14F4EB08">
      <w:pPr>
        <w:pStyle w:val="5"/>
        <w:snapToGrid w:val="0"/>
        <w:spacing w:line="360" w:lineRule="auto"/>
        <w:ind w:firstLine="482"/>
        <w:rPr>
          <w:rFonts w:hint="eastAsia" w:ascii="宋体" w:hAnsi="宋体" w:cs="宋体"/>
          <w:sz w:val="24"/>
          <w:szCs w:val="24"/>
        </w:rPr>
      </w:pPr>
      <w:r>
        <w:rPr>
          <w:rFonts w:hint="eastAsia" w:ascii="宋体" w:hAnsi="宋体" w:cs="宋体"/>
          <w:sz w:val="24"/>
          <w:szCs w:val="24"/>
        </w:rPr>
        <w:t>（六）发现对方严重违反本合同义务条款的行为，有向其上级有关部门举报、建议给予处理并要求告知处理结果的权利。</w:t>
      </w:r>
    </w:p>
    <w:p w14:paraId="0AEF6640">
      <w:pPr>
        <w:pStyle w:val="5"/>
        <w:snapToGrid w:val="0"/>
        <w:spacing w:line="360" w:lineRule="auto"/>
        <w:ind w:firstLine="482"/>
        <w:rPr>
          <w:rFonts w:hint="eastAsia" w:ascii="宋体" w:hAnsi="宋体" w:cs="宋体"/>
          <w:sz w:val="24"/>
          <w:szCs w:val="24"/>
        </w:rPr>
      </w:pPr>
      <w:r>
        <w:rPr>
          <w:rFonts w:hint="eastAsia" w:ascii="宋体" w:hAnsi="宋体" w:cs="宋体"/>
          <w:sz w:val="24"/>
          <w:szCs w:val="24"/>
        </w:rPr>
        <w:t>第二条 甲方的义务</w:t>
      </w:r>
    </w:p>
    <w:p w14:paraId="28B20350">
      <w:pPr>
        <w:pStyle w:val="5"/>
        <w:snapToGrid w:val="0"/>
        <w:spacing w:line="360" w:lineRule="auto"/>
        <w:ind w:firstLine="482"/>
        <w:rPr>
          <w:rFonts w:hint="eastAsia" w:ascii="宋体" w:hAnsi="宋体" w:cs="宋体"/>
          <w:sz w:val="24"/>
          <w:szCs w:val="24"/>
        </w:rPr>
      </w:pPr>
      <w:r>
        <w:rPr>
          <w:rFonts w:hint="eastAsia" w:ascii="宋体" w:hAnsi="宋体" w:cs="宋体"/>
          <w:sz w:val="24"/>
          <w:szCs w:val="24"/>
        </w:rPr>
        <w:t>（一）甲方及其工作人员不得索要或接受乙方的礼金、有价证券和贵重物品，不得让乙方报销任何应由甲方或个人支付的费用等。</w:t>
      </w:r>
    </w:p>
    <w:p w14:paraId="62D032AA">
      <w:pPr>
        <w:pStyle w:val="5"/>
        <w:snapToGrid w:val="0"/>
        <w:spacing w:line="360" w:lineRule="auto"/>
        <w:ind w:firstLine="482"/>
        <w:rPr>
          <w:rFonts w:hint="eastAsia" w:ascii="宋体" w:hAnsi="宋体" w:cs="宋体"/>
          <w:sz w:val="24"/>
          <w:szCs w:val="24"/>
        </w:rPr>
      </w:pPr>
      <w:r>
        <w:rPr>
          <w:rFonts w:hint="eastAsia" w:ascii="宋体" w:hAnsi="宋体" w:cs="宋体"/>
          <w:sz w:val="24"/>
          <w:szCs w:val="24"/>
        </w:rPr>
        <w:t>（二）甲方工作人员不得参加乙方安排的超标准宴请和娱乐活动；不得接受乙方提供的通讯工具、交通工具和高档办公用品等。</w:t>
      </w:r>
    </w:p>
    <w:p w14:paraId="5CF305F7">
      <w:pPr>
        <w:pStyle w:val="5"/>
        <w:snapToGrid w:val="0"/>
        <w:spacing w:line="360" w:lineRule="auto"/>
        <w:ind w:firstLine="482"/>
        <w:rPr>
          <w:rFonts w:hint="eastAsia" w:ascii="宋体" w:hAnsi="宋体" w:cs="宋体"/>
          <w:sz w:val="24"/>
          <w:szCs w:val="24"/>
        </w:rPr>
      </w:pPr>
      <w:r>
        <w:rPr>
          <w:rFonts w:hint="eastAsia" w:ascii="宋体" w:hAnsi="宋体" w:cs="宋体"/>
          <w:sz w:val="24"/>
          <w:szCs w:val="24"/>
        </w:rPr>
        <w:t>（三）甲方及其工作人员不得要求或者接受乙方为其住房装修、婚丧嫁娶活动、配偶子女的工作安排以及出国出境、旅游等提供方便等。</w:t>
      </w:r>
    </w:p>
    <w:p w14:paraId="5216627C">
      <w:pPr>
        <w:pStyle w:val="5"/>
        <w:snapToGrid w:val="0"/>
        <w:spacing w:line="360" w:lineRule="auto"/>
        <w:ind w:firstLine="482"/>
        <w:rPr>
          <w:rFonts w:hint="eastAsia" w:ascii="宋体" w:hAnsi="宋体" w:cs="宋体"/>
          <w:sz w:val="24"/>
          <w:szCs w:val="24"/>
        </w:rPr>
      </w:pPr>
      <w:r>
        <w:rPr>
          <w:rFonts w:hint="eastAsia" w:ascii="宋体" w:hAnsi="宋体" w:cs="宋体"/>
          <w:sz w:val="24"/>
          <w:szCs w:val="24"/>
        </w:rPr>
        <w:t>（四）不准向乙方和相关单位介绍或为配偶、子女、亲属参与同甲方项目工程合同有关的咨询业务等活动。不得以任何理由要求乙方和相关单位在咨询中使用某种产品、材料和设备。</w:t>
      </w:r>
    </w:p>
    <w:p w14:paraId="01B7D35F">
      <w:pPr>
        <w:pStyle w:val="5"/>
        <w:snapToGrid w:val="0"/>
        <w:spacing w:line="360" w:lineRule="auto"/>
        <w:ind w:firstLine="482"/>
        <w:rPr>
          <w:rFonts w:hint="eastAsia" w:ascii="宋体" w:hAnsi="宋体" w:cs="宋体"/>
          <w:sz w:val="24"/>
          <w:szCs w:val="24"/>
        </w:rPr>
      </w:pPr>
      <w:r>
        <w:rPr>
          <w:rFonts w:hint="eastAsia" w:ascii="宋体" w:hAnsi="宋体" w:cs="宋体"/>
          <w:sz w:val="24"/>
          <w:szCs w:val="24"/>
        </w:rPr>
        <w:t>第三条  乙方义务</w:t>
      </w:r>
    </w:p>
    <w:p w14:paraId="3C0B6BB1">
      <w:pPr>
        <w:pStyle w:val="5"/>
        <w:snapToGrid w:val="0"/>
        <w:spacing w:line="360" w:lineRule="auto"/>
        <w:ind w:firstLine="482"/>
        <w:rPr>
          <w:rFonts w:hint="eastAsia" w:ascii="宋体" w:hAnsi="宋体" w:cs="宋体"/>
          <w:sz w:val="24"/>
          <w:szCs w:val="24"/>
        </w:rPr>
      </w:pPr>
      <w:r>
        <w:rPr>
          <w:rFonts w:hint="eastAsia" w:ascii="宋体" w:hAnsi="宋体" w:cs="宋体"/>
          <w:sz w:val="24"/>
          <w:szCs w:val="24"/>
        </w:rPr>
        <w:t>（一）乙方不得以任何理由向甲方及其工作人员行贿或馈赠礼金、有价证券、贵重礼品。</w:t>
      </w:r>
    </w:p>
    <w:p w14:paraId="3AF33630">
      <w:pPr>
        <w:pStyle w:val="5"/>
        <w:snapToGrid w:val="0"/>
        <w:spacing w:line="360" w:lineRule="auto"/>
        <w:ind w:firstLine="482"/>
        <w:rPr>
          <w:rFonts w:hint="eastAsia" w:ascii="宋体" w:hAnsi="宋体" w:cs="宋体"/>
          <w:sz w:val="24"/>
          <w:szCs w:val="24"/>
        </w:rPr>
      </w:pPr>
      <w:r>
        <w:rPr>
          <w:rFonts w:hint="eastAsia" w:ascii="宋体" w:hAnsi="宋体" w:cs="宋体"/>
          <w:sz w:val="24"/>
          <w:szCs w:val="24"/>
        </w:rPr>
        <w:t>（二）乙方不得以任何名义为甲方及其工作人员报销应由甲方单位或个人支付的任何费用。</w:t>
      </w:r>
    </w:p>
    <w:p w14:paraId="2A33C4D4">
      <w:pPr>
        <w:pStyle w:val="5"/>
        <w:snapToGrid w:val="0"/>
        <w:spacing w:line="360" w:lineRule="auto"/>
        <w:ind w:firstLine="482"/>
        <w:rPr>
          <w:rFonts w:hint="eastAsia" w:ascii="宋体" w:hAnsi="宋体" w:cs="宋体"/>
          <w:sz w:val="24"/>
          <w:szCs w:val="24"/>
        </w:rPr>
      </w:pPr>
      <w:r>
        <w:rPr>
          <w:rFonts w:hint="eastAsia" w:ascii="宋体" w:hAnsi="宋体" w:cs="宋体"/>
          <w:sz w:val="24"/>
          <w:szCs w:val="24"/>
        </w:rPr>
        <w:t>（三）乙方不得以任何理由安排甲方工作人员参加超标准宴请及娱乐活动。</w:t>
      </w:r>
    </w:p>
    <w:p w14:paraId="728EA123">
      <w:pPr>
        <w:pStyle w:val="5"/>
        <w:snapToGrid w:val="0"/>
        <w:spacing w:line="360" w:lineRule="auto"/>
        <w:ind w:firstLine="482"/>
        <w:rPr>
          <w:rFonts w:hint="eastAsia" w:ascii="宋体" w:hAnsi="宋体" w:cs="宋体"/>
          <w:sz w:val="24"/>
          <w:szCs w:val="24"/>
        </w:rPr>
      </w:pPr>
      <w:r>
        <w:rPr>
          <w:rFonts w:hint="eastAsia" w:ascii="宋体" w:hAnsi="宋体" w:cs="宋体"/>
          <w:sz w:val="24"/>
          <w:szCs w:val="24"/>
        </w:rPr>
        <w:t>（四）乙方不得为甲方单位和个人购置或提供通讯工具、交通工具和高档办公用品等。</w:t>
      </w:r>
    </w:p>
    <w:p w14:paraId="08FC42C8">
      <w:pPr>
        <w:pStyle w:val="5"/>
        <w:snapToGrid w:val="0"/>
        <w:spacing w:line="360" w:lineRule="auto"/>
        <w:ind w:firstLine="482"/>
        <w:rPr>
          <w:rFonts w:hint="eastAsia" w:ascii="宋体" w:hAnsi="宋体" w:cs="宋体"/>
          <w:sz w:val="24"/>
          <w:szCs w:val="24"/>
        </w:rPr>
      </w:pPr>
      <w:r>
        <w:rPr>
          <w:rFonts w:hint="eastAsia" w:ascii="宋体" w:hAnsi="宋体" w:cs="宋体"/>
          <w:sz w:val="24"/>
          <w:szCs w:val="24"/>
        </w:rPr>
        <w:t>第四条  违约责任</w:t>
      </w:r>
    </w:p>
    <w:p w14:paraId="33C72B3E">
      <w:pPr>
        <w:pStyle w:val="5"/>
        <w:snapToGrid w:val="0"/>
        <w:spacing w:line="360" w:lineRule="auto"/>
        <w:ind w:firstLine="482"/>
        <w:rPr>
          <w:rFonts w:hint="eastAsia" w:ascii="宋体" w:hAnsi="宋体" w:cs="宋体"/>
          <w:sz w:val="24"/>
          <w:szCs w:val="24"/>
        </w:rPr>
      </w:pPr>
      <w:r>
        <w:rPr>
          <w:rFonts w:hint="eastAsia" w:ascii="宋体" w:hAnsi="宋体" w:cs="宋体"/>
          <w:sz w:val="24"/>
          <w:szCs w:val="24"/>
        </w:rPr>
        <w:t>（一）甲方及其工作人员违反本合同第一、二条，按管理权限，依据有关规定给予党纪、政纪处分或组织处理；涉嫌犯罪的，移交司法机关追究刑事责任；给乙方单位造成经济损失的，应予以赔偿。</w:t>
      </w:r>
    </w:p>
    <w:p w14:paraId="102A3D73">
      <w:pPr>
        <w:pStyle w:val="5"/>
        <w:snapToGrid w:val="0"/>
        <w:spacing w:line="360" w:lineRule="auto"/>
        <w:ind w:firstLine="482"/>
        <w:rPr>
          <w:rFonts w:hint="eastAsia" w:ascii="宋体" w:hAnsi="宋体" w:cs="宋体"/>
          <w:sz w:val="24"/>
          <w:szCs w:val="24"/>
        </w:rPr>
      </w:pPr>
      <w:r>
        <w:rPr>
          <w:rFonts w:hint="eastAsia" w:ascii="宋体" w:hAnsi="宋体" w:cs="宋体"/>
          <w:sz w:val="24"/>
          <w:szCs w:val="24"/>
        </w:rPr>
        <w:t>（二）乙方及其工作人员违反本合同第一、三条，按管理权限，依据有关规定给予党纪、政纪处分或组织处理；给甲方单位造成经济损失的，应予以赔偿；情节严重的，甲方建议交通工程建设主管部门给予乙方一至三年内不得进入其主管的交通工程建设市场的处罚。</w:t>
      </w:r>
    </w:p>
    <w:p w14:paraId="34DB17BB">
      <w:pPr>
        <w:pStyle w:val="5"/>
        <w:snapToGrid w:val="0"/>
        <w:spacing w:line="360" w:lineRule="auto"/>
        <w:ind w:firstLine="482"/>
        <w:rPr>
          <w:rFonts w:hint="eastAsia" w:ascii="宋体" w:hAnsi="宋体" w:cs="宋体"/>
          <w:sz w:val="24"/>
          <w:szCs w:val="24"/>
        </w:rPr>
      </w:pPr>
      <w:r>
        <w:rPr>
          <w:rFonts w:hint="eastAsia" w:ascii="宋体" w:hAnsi="宋体" w:cs="宋体"/>
          <w:sz w:val="24"/>
          <w:szCs w:val="24"/>
        </w:rPr>
        <w:t>第五条：双方约定：本合同由双方或双方上级单位的纪检监察机关负责监督。由甲方或甲方上级单位的纪检监察机关约请乙方或乙方上级单位纪检监察机关对本合同履行情况进行检查，提出在本合同规定范围内的裁定意见。</w:t>
      </w:r>
    </w:p>
    <w:p w14:paraId="0DFD3ADF">
      <w:pPr>
        <w:pStyle w:val="5"/>
        <w:snapToGrid w:val="0"/>
        <w:spacing w:line="360" w:lineRule="auto"/>
        <w:ind w:firstLine="482"/>
        <w:rPr>
          <w:rFonts w:hint="eastAsia" w:ascii="宋体" w:hAnsi="宋体" w:cs="宋体"/>
          <w:sz w:val="24"/>
          <w:szCs w:val="24"/>
        </w:rPr>
      </w:pPr>
      <w:r>
        <w:rPr>
          <w:rFonts w:hint="eastAsia" w:ascii="宋体" w:hAnsi="宋体" w:cs="宋体"/>
          <w:sz w:val="24"/>
          <w:szCs w:val="24"/>
        </w:rPr>
        <w:t>第六条  本合同自双方法定代表人或其委托代理人签字并加盖双方单位公章后、且甲方收到乙方的履约担保后生效，至本项目全部成果通过验收后终止。</w:t>
      </w:r>
    </w:p>
    <w:p w14:paraId="6FB68FB0">
      <w:pPr>
        <w:pStyle w:val="5"/>
        <w:snapToGrid w:val="0"/>
        <w:spacing w:line="360" w:lineRule="auto"/>
        <w:ind w:firstLine="482"/>
        <w:rPr>
          <w:rFonts w:hint="eastAsia" w:ascii="宋体" w:hAnsi="宋体" w:cs="宋体"/>
          <w:sz w:val="24"/>
          <w:szCs w:val="24"/>
        </w:rPr>
      </w:pPr>
      <w:r>
        <w:rPr>
          <w:rFonts w:hint="eastAsia" w:ascii="宋体" w:hAnsi="宋体" w:cs="宋体"/>
          <w:sz w:val="24"/>
          <w:szCs w:val="24"/>
        </w:rPr>
        <w:t>第七条  本合同作为</w:t>
      </w:r>
      <w:r>
        <w:rPr>
          <w:rFonts w:hint="eastAsia" w:ascii="宋体" w:hAnsi="宋体" w:cs="宋体"/>
          <w:sz w:val="24"/>
          <w:szCs w:val="24"/>
          <w:u w:val="single"/>
        </w:rPr>
        <w:t xml:space="preserve"> 红水河（曹渡河口至桥巩）三级航道</w:t>
      </w:r>
      <w:r>
        <w:rPr>
          <w:rFonts w:hint="eastAsia" w:ascii="宋体" w:hAnsi="宋体" w:cs="宋体"/>
          <w:sz w:val="24"/>
          <w:szCs w:val="24"/>
          <w:u w:val="single"/>
          <w:lang w:eastAsia="zh-CN"/>
        </w:rPr>
        <w:t>工程对广西忻城乐滩国家湿地公园生态影响评价服务</w:t>
      </w:r>
      <w:r>
        <w:rPr>
          <w:rFonts w:hint="eastAsia" w:ascii="宋体" w:hAnsi="宋体" w:cs="宋体"/>
          <w:sz w:val="24"/>
          <w:szCs w:val="24"/>
          <w:u w:val="single"/>
        </w:rPr>
        <w:t xml:space="preserve"> </w:t>
      </w:r>
      <w:r>
        <w:rPr>
          <w:rFonts w:hint="eastAsia" w:ascii="宋体" w:hAnsi="宋体" w:cs="宋体"/>
          <w:sz w:val="24"/>
          <w:szCs w:val="24"/>
        </w:rPr>
        <w:t>合同的附件，与咨询合同具有同等的法律效力。</w:t>
      </w:r>
    </w:p>
    <w:p w14:paraId="13887A85">
      <w:pPr>
        <w:pStyle w:val="5"/>
        <w:snapToGrid w:val="0"/>
        <w:spacing w:line="360" w:lineRule="auto"/>
        <w:ind w:firstLine="482"/>
        <w:rPr>
          <w:rFonts w:hint="eastAsia" w:ascii="宋体" w:hAnsi="宋体" w:cs="宋体"/>
          <w:sz w:val="24"/>
          <w:szCs w:val="24"/>
        </w:rPr>
      </w:pPr>
      <w:r>
        <w:rPr>
          <w:rFonts w:hint="eastAsia" w:ascii="宋体" w:hAnsi="宋体" w:cs="宋体"/>
          <w:sz w:val="24"/>
          <w:szCs w:val="24"/>
        </w:rPr>
        <w:t>第八条  本合同一式</w:t>
      </w:r>
      <w:r>
        <w:rPr>
          <w:rFonts w:hint="eastAsia" w:ascii="宋体" w:hAnsi="宋体" w:cs="宋体"/>
          <w:sz w:val="24"/>
          <w:szCs w:val="24"/>
          <w:u w:val="single"/>
        </w:rPr>
        <w:t xml:space="preserve"> </w:t>
      </w:r>
      <w:r>
        <w:rPr>
          <w:rFonts w:hint="eastAsia" w:ascii="宋体" w:hAnsi="宋体" w:cs="宋体"/>
          <w:sz w:val="24"/>
          <w:szCs w:val="24"/>
          <w:u w:val="single"/>
          <w:lang w:val="en-US" w:eastAsia="zh-CN"/>
        </w:rPr>
        <w:t xml:space="preserve"> </w:t>
      </w:r>
      <w:r>
        <w:rPr>
          <w:rFonts w:hint="eastAsia" w:ascii="宋体" w:hAnsi="宋体" w:cs="宋体"/>
          <w:sz w:val="24"/>
          <w:szCs w:val="24"/>
          <w:u w:val="single"/>
        </w:rPr>
        <w:t xml:space="preserve"> </w:t>
      </w:r>
      <w:r>
        <w:rPr>
          <w:rFonts w:hint="eastAsia" w:ascii="宋体" w:hAnsi="宋体" w:cs="宋体"/>
          <w:sz w:val="24"/>
          <w:szCs w:val="24"/>
        </w:rPr>
        <w:t>份，甲方执</w:t>
      </w:r>
      <w:r>
        <w:rPr>
          <w:rFonts w:hint="eastAsia" w:ascii="宋体" w:hAnsi="宋体" w:cs="宋体"/>
          <w:sz w:val="24"/>
          <w:szCs w:val="24"/>
          <w:u w:val="single"/>
        </w:rPr>
        <w:t xml:space="preserve"> </w:t>
      </w:r>
      <w:r>
        <w:rPr>
          <w:rFonts w:hint="eastAsia" w:ascii="宋体" w:hAnsi="宋体" w:cs="宋体"/>
          <w:sz w:val="24"/>
          <w:szCs w:val="24"/>
          <w:u w:val="single"/>
          <w:lang w:val="en-US" w:eastAsia="zh-CN"/>
        </w:rPr>
        <w:t xml:space="preserve"> </w:t>
      </w:r>
      <w:r>
        <w:rPr>
          <w:rFonts w:hint="eastAsia" w:ascii="宋体" w:hAnsi="宋体" w:cs="宋体"/>
          <w:sz w:val="24"/>
          <w:szCs w:val="24"/>
          <w:u w:val="single"/>
        </w:rPr>
        <w:t xml:space="preserve"> </w:t>
      </w:r>
      <w:r>
        <w:rPr>
          <w:rFonts w:hint="eastAsia" w:ascii="宋体" w:hAnsi="宋体" w:cs="宋体"/>
          <w:sz w:val="24"/>
          <w:szCs w:val="24"/>
        </w:rPr>
        <w:t>份，乙方各执</w:t>
      </w:r>
      <w:r>
        <w:rPr>
          <w:rFonts w:hint="eastAsia" w:ascii="宋体" w:hAnsi="宋体" w:cs="宋体"/>
          <w:sz w:val="24"/>
          <w:szCs w:val="24"/>
          <w:u w:val="single"/>
        </w:rPr>
        <w:t xml:space="preserve"> </w:t>
      </w:r>
      <w:r>
        <w:rPr>
          <w:rFonts w:hint="eastAsia" w:ascii="宋体" w:hAnsi="宋体" w:cs="宋体"/>
          <w:sz w:val="24"/>
          <w:szCs w:val="24"/>
          <w:u w:val="single"/>
          <w:lang w:val="en-US" w:eastAsia="zh-CN"/>
        </w:rPr>
        <w:t xml:space="preserve"> </w:t>
      </w:r>
      <w:r>
        <w:rPr>
          <w:rFonts w:hint="eastAsia" w:ascii="宋体" w:hAnsi="宋体" w:cs="宋体"/>
          <w:sz w:val="24"/>
          <w:szCs w:val="24"/>
          <w:u w:val="single"/>
        </w:rPr>
        <w:t xml:space="preserve"> </w:t>
      </w:r>
      <w:r>
        <w:rPr>
          <w:rFonts w:hint="eastAsia" w:ascii="宋体" w:hAnsi="宋体" w:cs="宋体"/>
          <w:sz w:val="24"/>
          <w:szCs w:val="24"/>
        </w:rPr>
        <w:t>份。</w:t>
      </w:r>
    </w:p>
    <w:p w14:paraId="069E8F55">
      <w:pPr>
        <w:pStyle w:val="5"/>
        <w:snapToGrid w:val="0"/>
        <w:spacing w:line="360" w:lineRule="auto"/>
        <w:ind w:firstLine="480"/>
        <w:rPr>
          <w:rFonts w:hint="eastAsia" w:ascii="宋体" w:hAnsi="宋体" w:cs="宋体"/>
          <w:szCs w:val="21"/>
        </w:rPr>
      </w:pPr>
    </w:p>
    <w:tbl>
      <w:tblPr>
        <w:tblStyle w:val="25"/>
        <w:tblW w:w="9070" w:type="dxa"/>
        <w:jc w:val="center"/>
        <w:tblLayout w:type="autofit"/>
        <w:tblCellMar>
          <w:top w:w="0" w:type="dxa"/>
          <w:left w:w="51" w:type="dxa"/>
          <w:bottom w:w="0" w:type="dxa"/>
          <w:right w:w="51" w:type="dxa"/>
        </w:tblCellMar>
      </w:tblPr>
      <w:tblGrid>
        <w:gridCol w:w="4395"/>
        <w:gridCol w:w="425"/>
        <w:gridCol w:w="4250"/>
      </w:tblGrid>
      <w:tr w14:paraId="44D4D2F1">
        <w:tblPrEx>
          <w:tblCellMar>
            <w:top w:w="0" w:type="dxa"/>
            <w:left w:w="51" w:type="dxa"/>
            <w:bottom w:w="0" w:type="dxa"/>
            <w:right w:w="51" w:type="dxa"/>
          </w:tblCellMar>
        </w:tblPrEx>
        <w:trPr>
          <w:trHeight w:val="1661" w:hRule="atLeast"/>
          <w:jc w:val="center"/>
        </w:trPr>
        <w:tc>
          <w:tcPr>
            <w:tcW w:w="4395" w:type="dxa"/>
            <w:vAlign w:val="center"/>
          </w:tcPr>
          <w:p w14:paraId="1C083A70">
            <w:pPr>
              <w:pStyle w:val="5"/>
              <w:spacing w:line="360" w:lineRule="auto"/>
              <w:ind w:firstLine="0"/>
              <w:rPr>
                <w:rFonts w:hint="eastAsia" w:ascii="宋体" w:hAnsi="宋体" w:cs="宋体"/>
                <w:szCs w:val="21"/>
              </w:rPr>
            </w:pPr>
          </w:p>
          <w:p w14:paraId="11C7CFE3">
            <w:pPr>
              <w:pStyle w:val="5"/>
              <w:spacing w:line="360" w:lineRule="auto"/>
              <w:ind w:firstLine="0"/>
              <w:rPr>
                <w:rFonts w:hint="eastAsia" w:ascii="宋体" w:hAnsi="宋体" w:cs="宋体"/>
                <w:szCs w:val="21"/>
              </w:rPr>
            </w:pPr>
            <w:r>
              <w:rPr>
                <w:rFonts w:hint="eastAsia" w:ascii="宋体" w:hAnsi="宋体" w:cs="宋体"/>
                <w:szCs w:val="21"/>
              </w:rPr>
              <w:t>甲方：广西壮族自治区水运发展中心（盖章）</w:t>
            </w:r>
          </w:p>
          <w:p w14:paraId="055FFDAE">
            <w:pPr>
              <w:pStyle w:val="5"/>
              <w:spacing w:line="360" w:lineRule="auto"/>
              <w:ind w:firstLine="0"/>
              <w:jc w:val="center"/>
              <w:rPr>
                <w:rFonts w:hint="eastAsia" w:ascii="宋体" w:hAnsi="宋体" w:cs="宋体"/>
                <w:szCs w:val="21"/>
              </w:rPr>
            </w:pPr>
          </w:p>
        </w:tc>
        <w:tc>
          <w:tcPr>
            <w:tcW w:w="425" w:type="dxa"/>
            <w:tcMar>
              <w:top w:w="0" w:type="dxa"/>
              <w:left w:w="0" w:type="dxa"/>
              <w:bottom w:w="0" w:type="dxa"/>
              <w:right w:w="0" w:type="dxa"/>
            </w:tcMar>
            <w:vAlign w:val="center"/>
          </w:tcPr>
          <w:p w14:paraId="2E5F1E92">
            <w:pPr>
              <w:pStyle w:val="5"/>
              <w:spacing w:line="360" w:lineRule="auto"/>
              <w:rPr>
                <w:rFonts w:hint="eastAsia" w:ascii="宋体" w:hAnsi="宋体" w:cs="宋体"/>
                <w:sz w:val="10"/>
                <w:szCs w:val="10"/>
              </w:rPr>
            </w:pPr>
          </w:p>
        </w:tc>
        <w:tc>
          <w:tcPr>
            <w:tcW w:w="4250" w:type="dxa"/>
            <w:vAlign w:val="center"/>
          </w:tcPr>
          <w:p w14:paraId="67C8C776">
            <w:pPr>
              <w:pStyle w:val="5"/>
              <w:spacing w:line="360" w:lineRule="auto"/>
              <w:ind w:firstLine="0"/>
              <w:rPr>
                <w:rFonts w:hint="eastAsia" w:ascii="宋体" w:hAnsi="宋体" w:cs="宋体"/>
                <w:szCs w:val="21"/>
              </w:rPr>
            </w:pPr>
          </w:p>
          <w:p w14:paraId="3A4E8056">
            <w:pPr>
              <w:pStyle w:val="5"/>
              <w:spacing w:line="360" w:lineRule="auto"/>
              <w:ind w:firstLine="0"/>
              <w:rPr>
                <w:rFonts w:hint="eastAsia" w:ascii="宋体" w:hAnsi="宋体" w:cs="宋体"/>
                <w:szCs w:val="21"/>
              </w:rPr>
            </w:pPr>
            <w:r>
              <w:rPr>
                <w:rFonts w:hint="eastAsia" w:ascii="宋体" w:hAnsi="宋体" w:cs="宋体"/>
                <w:szCs w:val="21"/>
              </w:rPr>
              <w:t>乙方：</w:t>
            </w:r>
            <w:r>
              <w:rPr>
                <w:rFonts w:hint="eastAsia" w:ascii="宋体" w:hAnsi="宋体" w:cs="宋体"/>
                <w:szCs w:val="21"/>
                <w:lang w:val="en-US" w:eastAsia="zh-CN"/>
              </w:rPr>
              <w:t xml:space="preserve"> </w:t>
            </w:r>
            <w:r>
              <w:rPr>
                <w:rFonts w:hint="eastAsia" w:ascii="宋体" w:hAnsi="宋体" w:cs="宋体"/>
                <w:szCs w:val="21"/>
              </w:rPr>
              <w:t>（盖章）</w:t>
            </w:r>
          </w:p>
          <w:p w14:paraId="11E150CC">
            <w:pPr>
              <w:pStyle w:val="5"/>
              <w:spacing w:line="360" w:lineRule="auto"/>
              <w:ind w:firstLine="0"/>
              <w:jc w:val="center"/>
              <w:rPr>
                <w:rFonts w:hint="eastAsia" w:ascii="宋体" w:hAnsi="宋体" w:cs="宋体"/>
                <w:szCs w:val="21"/>
              </w:rPr>
            </w:pPr>
          </w:p>
        </w:tc>
      </w:tr>
      <w:tr w14:paraId="623D2328">
        <w:tblPrEx>
          <w:tblCellMar>
            <w:top w:w="0" w:type="dxa"/>
            <w:left w:w="51" w:type="dxa"/>
            <w:bottom w:w="0" w:type="dxa"/>
            <w:right w:w="51" w:type="dxa"/>
          </w:tblCellMar>
        </w:tblPrEx>
        <w:trPr>
          <w:jc w:val="center"/>
        </w:trPr>
        <w:tc>
          <w:tcPr>
            <w:tcW w:w="4395" w:type="dxa"/>
          </w:tcPr>
          <w:p w14:paraId="2C60C77A">
            <w:pPr>
              <w:pStyle w:val="5"/>
              <w:spacing w:line="360" w:lineRule="auto"/>
              <w:ind w:firstLine="0"/>
              <w:rPr>
                <w:rFonts w:hint="eastAsia" w:ascii="宋体" w:hAnsi="宋体" w:cs="宋体"/>
                <w:szCs w:val="21"/>
              </w:rPr>
            </w:pPr>
            <w:r>
              <w:rPr>
                <w:rFonts w:hint="eastAsia" w:ascii="宋体" w:hAnsi="宋体" w:cs="宋体"/>
                <w:szCs w:val="21"/>
              </w:rPr>
              <w:t>法定代表人</w:t>
            </w:r>
          </w:p>
        </w:tc>
        <w:tc>
          <w:tcPr>
            <w:tcW w:w="425" w:type="dxa"/>
            <w:tcMar>
              <w:top w:w="0" w:type="dxa"/>
              <w:left w:w="0" w:type="dxa"/>
              <w:bottom w:w="0" w:type="dxa"/>
              <w:right w:w="0" w:type="dxa"/>
            </w:tcMar>
            <w:vAlign w:val="center"/>
          </w:tcPr>
          <w:p w14:paraId="5FECF083">
            <w:pPr>
              <w:pStyle w:val="5"/>
              <w:spacing w:line="360" w:lineRule="auto"/>
              <w:rPr>
                <w:rFonts w:hint="eastAsia" w:ascii="宋体" w:hAnsi="宋体" w:cs="宋体"/>
                <w:sz w:val="10"/>
                <w:szCs w:val="10"/>
              </w:rPr>
            </w:pPr>
          </w:p>
        </w:tc>
        <w:tc>
          <w:tcPr>
            <w:tcW w:w="4250" w:type="dxa"/>
          </w:tcPr>
          <w:p w14:paraId="29FB6AE4">
            <w:pPr>
              <w:pStyle w:val="5"/>
              <w:spacing w:line="360" w:lineRule="auto"/>
              <w:ind w:firstLine="0"/>
              <w:rPr>
                <w:rFonts w:hint="eastAsia" w:ascii="宋体" w:hAnsi="宋体" w:cs="宋体"/>
                <w:szCs w:val="21"/>
              </w:rPr>
            </w:pPr>
            <w:r>
              <w:rPr>
                <w:rFonts w:hint="eastAsia" w:ascii="宋体" w:hAnsi="宋体" w:cs="宋体"/>
                <w:szCs w:val="21"/>
              </w:rPr>
              <w:t>法定代表人</w:t>
            </w:r>
          </w:p>
        </w:tc>
      </w:tr>
      <w:tr w14:paraId="72264EC4">
        <w:tblPrEx>
          <w:tblCellMar>
            <w:top w:w="0" w:type="dxa"/>
            <w:left w:w="51" w:type="dxa"/>
            <w:bottom w:w="0" w:type="dxa"/>
            <w:right w:w="51" w:type="dxa"/>
          </w:tblCellMar>
        </w:tblPrEx>
        <w:trPr>
          <w:trHeight w:val="637" w:hRule="atLeast"/>
          <w:jc w:val="center"/>
        </w:trPr>
        <w:tc>
          <w:tcPr>
            <w:tcW w:w="4395" w:type="dxa"/>
          </w:tcPr>
          <w:p w14:paraId="342BDD7F">
            <w:pPr>
              <w:pStyle w:val="5"/>
              <w:ind w:firstLine="0"/>
              <w:rPr>
                <w:rFonts w:hint="eastAsia" w:ascii="宋体" w:hAnsi="宋体" w:cs="宋体"/>
                <w:szCs w:val="21"/>
              </w:rPr>
            </w:pPr>
            <w:r>
              <w:rPr>
                <w:rFonts w:hint="eastAsia" w:ascii="宋体" w:hAnsi="宋体" w:cs="宋体"/>
                <w:szCs w:val="21"/>
              </w:rPr>
              <w:t>或其委托代理人：</w:t>
            </w:r>
          </w:p>
          <w:p w14:paraId="4B36269A">
            <w:pPr>
              <w:pStyle w:val="5"/>
              <w:ind w:firstLine="0"/>
              <w:rPr>
                <w:rFonts w:hint="eastAsia" w:ascii="宋体" w:hAnsi="宋体" w:cs="宋体"/>
                <w:szCs w:val="21"/>
              </w:rPr>
            </w:pPr>
            <w:r>
              <w:rPr>
                <w:rFonts w:hint="eastAsia" w:ascii="宋体" w:hAnsi="宋体" w:cs="宋体"/>
                <w:szCs w:val="21"/>
              </w:rPr>
              <w:t>（签章）</w:t>
            </w:r>
          </w:p>
        </w:tc>
        <w:tc>
          <w:tcPr>
            <w:tcW w:w="425" w:type="dxa"/>
            <w:tcMar>
              <w:top w:w="0" w:type="dxa"/>
              <w:left w:w="0" w:type="dxa"/>
              <w:bottom w:w="0" w:type="dxa"/>
              <w:right w:w="0" w:type="dxa"/>
            </w:tcMar>
            <w:vAlign w:val="center"/>
          </w:tcPr>
          <w:p w14:paraId="0257D13F">
            <w:pPr>
              <w:pStyle w:val="5"/>
              <w:spacing w:line="360" w:lineRule="auto"/>
              <w:rPr>
                <w:rFonts w:hint="eastAsia" w:ascii="宋体" w:hAnsi="宋体" w:cs="宋体"/>
                <w:sz w:val="10"/>
                <w:szCs w:val="10"/>
              </w:rPr>
            </w:pPr>
          </w:p>
        </w:tc>
        <w:tc>
          <w:tcPr>
            <w:tcW w:w="4250" w:type="dxa"/>
          </w:tcPr>
          <w:p w14:paraId="3C009D0C">
            <w:pPr>
              <w:pStyle w:val="5"/>
              <w:ind w:firstLine="0"/>
              <w:rPr>
                <w:rFonts w:hint="eastAsia" w:ascii="宋体" w:hAnsi="宋体" w:cs="宋体"/>
                <w:szCs w:val="21"/>
              </w:rPr>
            </w:pPr>
            <w:r>
              <w:rPr>
                <w:rFonts w:hint="eastAsia" w:ascii="宋体" w:hAnsi="宋体" w:cs="宋体"/>
                <w:szCs w:val="21"/>
              </w:rPr>
              <w:t>或其委托代理人：</w:t>
            </w:r>
          </w:p>
          <w:p w14:paraId="779F8057">
            <w:pPr>
              <w:pStyle w:val="5"/>
              <w:ind w:firstLine="0"/>
              <w:rPr>
                <w:rFonts w:hint="eastAsia" w:ascii="宋体" w:hAnsi="宋体" w:cs="宋体"/>
                <w:szCs w:val="21"/>
              </w:rPr>
            </w:pPr>
            <w:r>
              <w:rPr>
                <w:rFonts w:hint="eastAsia" w:ascii="宋体" w:hAnsi="宋体" w:cs="宋体"/>
                <w:szCs w:val="21"/>
              </w:rPr>
              <w:t>（签章）</w:t>
            </w:r>
          </w:p>
        </w:tc>
      </w:tr>
      <w:tr w14:paraId="673D5EBB">
        <w:tblPrEx>
          <w:tblCellMar>
            <w:top w:w="0" w:type="dxa"/>
            <w:left w:w="51" w:type="dxa"/>
            <w:bottom w:w="0" w:type="dxa"/>
            <w:right w:w="51" w:type="dxa"/>
          </w:tblCellMar>
        </w:tblPrEx>
        <w:trPr>
          <w:jc w:val="center"/>
        </w:trPr>
        <w:tc>
          <w:tcPr>
            <w:tcW w:w="4395" w:type="dxa"/>
            <w:vAlign w:val="center"/>
          </w:tcPr>
          <w:p w14:paraId="04248564">
            <w:pPr>
              <w:pStyle w:val="5"/>
              <w:spacing w:line="360" w:lineRule="auto"/>
              <w:ind w:firstLine="0"/>
              <w:rPr>
                <w:rFonts w:hint="eastAsia" w:ascii="宋体" w:hAnsi="宋体" w:cs="宋体"/>
                <w:szCs w:val="21"/>
              </w:rPr>
            </w:pPr>
            <w:r>
              <w:rPr>
                <w:rFonts w:hint="eastAsia" w:ascii="宋体" w:hAnsi="宋体" w:cs="宋体"/>
                <w:szCs w:val="21"/>
              </w:rPr>
              <w:t>单位地址：南宁市青秀区百花岭路6号</w:t>
            </w:r>
          </w:p>
        </w:tc>
        <w:tc>
          <w:tcPr>
            <w:tcW w:w="425" w:type="dxa"/>
          </w:tcPr>
          <w:p w14:paraId="2C03012D">
            <w:pPr>
              <w:pStyle w:val="5"/>
              <w:spacing w:line="360" w:lineRule="auto"/>
              <w:rPr>
                <w:rFonts w:hint="eastAsia" w:ascii="宋体" w:hAnsi="宋体" w:cs="宋体"/>
                <w:sz w:val="10"/>
                <w:szCs w:val="10"/>
              </w:rPr>
            </w:pPr>
          </w:p>
        </w:tc>
        <w:tc>
          <w:tcPr>
            <w:tcW w:w="4250" w:type="dxa"/>
            <w:vAlign w:val="center"/>
          </w:tcPr>
          <w:p w14:paraId="3973EEBF">
            <w:pPr>
              <w:pStyle w:val="5"/>
              <w:spacing w:line="360" w:lineRule="auto"/>
              <w:ind w:firstLine="0"/>
              <w:rPr>
                <w:rFonts w:hint="eastAsia" w:ascii="宋体" w:hAnsi="宋体" w:eastAsia="宋体" w:cs="宋体"/>
                <w:szCs w:val="21"/>
                <w:lang w:eastAsia="zh-CN"/>
              </w:rPr>
            </w:pPr>
            <w:r>
              <w:rPr>
                <w:rFonts w:hint="eastAsia" w:ascii="宋体" w:hAnsi="宋体" w:cs="宋体"/>
                <w:szCs w:val="21"/>
              </w:rPr>
              <w:t>单位地址：</w:t>
            </w:r>
            <w:r>
              <w:rPr>
                <w:rFonts w:hint="eastAsia" w:ascii="宋体" w:hAnsi="宋体" w:cs="宋体"/>
                <w:szCs w:val="21"/>
                <w:lang w:val="en-US" w:eastAsia="zh-CN"/>
              </w:rPr>
              <w:t xml:space="preserve"> </w:t>
            </w:r>
          </w:p>
        </w:tc>
      </w:tr>
      <w:tr w14:paraId="67D30FAD">
        <w:tblPrEx>
          <w:tblCellMar>
            <w:top w:w="0" w:type="dxa"/>
            <w:left w:w="51" w:type="dxa"/>
            <w:bottom w:w="0" w:type="dxa"/>
            <w:right w:w="51" w:type="dxa"/>
          </w:tblCellMar>
        </w:tblPrEx>
        <w:trPr>
          <w:jc w:val="center"/>
        </w:trPr>
        <w:tc>
          <w:tcPr>
            <w:tcW w:w="4395" w:type="dxa"/>
            <w:vAlign w:val="center"/>
          </w:tcPr>
          <w:p w14:paraId="02C683A4">
            <w:pPr>
              <w:pStyle w:val="5"/>
              <w:spacing w:line="360" w:lineRule="auto"/>
              <w:ind w:firstLine="0"/>
              <w:rPr>
                <w:rFonts w:hint="eastAsia" w:ascii="宋体" w:hAnsi="宋体" w:eastAsia="宋体" w:cs="宋体"/>
                <w:szCs w:val="21"/>
                <w:lang w:eastAsia="zh-CN"/>
              </w:rPr>
            </w:pPr>
            <w:r>
              <w:rPr>
                <w:rFonts w:hint="eastAsia" w:ascii="宋体" w:hAnsi="宋体" w:cs="宋体"/>
                <w:szCs w:val="21"/>
              </w:rPr>
              <w:t>联系人：</w:t>
            </w:r>
            <w:r>
              <w:rPr>
                <w:rFonts w:hint="eastAsia" w:ascii="宋体" w:hAnsi="宋体" w:cs="宋体"/>
                <w:szCs w:val="21"/>
                <w:lang w:val="en-US" w:eastAsia="zh-CN"/>
              </w:rPr>
              <w:t xml:space="preserve"> </w:t>
            </w:r>
          </w:p>
        </w:tc>
        <w:tc>
          <w:tcPr>
            <w:tcW w:w="425" w:type="dxa"/>
          </w:tcPr>
          <w:p w14:paraId="15CAB4B1">
            <w:pPr>
              <w:pStyle w:val="5"/>
              <w:spacing w:line="360" w:lineRule="auto"/>
              <w:rPr>
                <w:rFonts w:hint="eastAsia" w:ascii="宋体" w:hAnsi="宋体" w:cs="宋体"/>
                <w:sz w:val="10"/>
                <w:szCs w:val="10"/>
              </w:rPr>
            </w:pPr>
          </w:p>
        </w:tc>
        <w:tc>
          <w:tcPr>
            <w:tcW w:w="4250" w:type="dxa"/>
            <w:vAlign w:val="center"/>
          </w:tcPr>
          <w:p w14:paraId="29668A5B">
            <w:pPr>
              <w:pStyle w:val="5"/>
              <w:spacing w:line="360" w:lineRule="auto"/>
              <w:ind w:firstLine="0"/>
              <w:rPr>
                <w:rFonts w:hint="eastAsia" w:ascii="宋体" w:hAnsi="宋体" w:eastAsia="宋体" w:cs="宋体"/>
                <w:szCs w:val="21"/>
                <w:lang w:eastAsia="zh-CN"/>
              </w:rPr>
            </w:pPr>
            <w:r>
              <w:rPr>
                <w:rFonts w:hint="eastAsia" w:ascii="宋体" w:hAnsi="宋体" w:cs="宋体"/>
                <w:szCs w:val="21"/>
              </w:rPr>
              <w:t>联系人：</w:t>
            </w:r>
            <w:r>
              <w:rPr>
                <w:rFonts w:hint="eastAsia" w:ascii="宋体" w:hAnsi="宋体" w:cs="宋体"/>
                <w:szCs w:val="21"/>
                <w:lang w:val="en-US" w:eastAsia="zh-CN"/>
              </w:rPr>
              <w:t xml:space="preserve"> </w:t>
            </w:r>
          </w:p>
        </w:tc>
      </w:tr>
      <w:tr w14:paraId="049AF9C0">
        <w:tblPrEx>
          <w:tblCellMar>
            <w:top w:w="0" w:type="dxa"/>
            <w:left w:w="51" w:type="dxa"/>
            <w:bottom w:w="0" w:type="dxa"/>
            <w:right w:w="51" w:type="dxa"/>
          </w:tblCellMar>
        </w:tblPrEx>
        <w:trPr>
          <w:jc w:val="center"/>
        </w:trPr>
        <w:tc>
          <w:tcPr>
            <w:tcW w:w="4395" w:type="dxa"/>
            <w:vAlign w:val="center"/>
          </w:tcPr>
          <w:p w14:paraId="5FD76B16">
            <w:pPr>
              <w:pStyle w:val="5"/>
              <w:spacing w:line="360" w:lineRule="auto"/>
              <w:ind w:firstLine="0"/>
              <w:rPr>
                <w:rFonts w:hint="eastAsia" w:ascii="宋体" w:hAnsi="宋体" w:eastAsia="宋体" w:cs="宋体"/>
                <w:szCs w:val="21"/>
                <w:lang w:eastAsia="zh-CN"/>
              </w:rPr>
            </w:pPr>
            <w:r>
              <w:rPr>
                <w:rFonts w:hint="eastAsia" w:ascii="宋体" w:hAnsi="宋体" w:cs="宋体"/>
                <w:szCs w:val="21"/>
              </w:rPr>
              <w:t>联系电话：</w:t>
            </w:r>
            <w:r>
              <w:rPr>
                <w:rFonts w:hint="eastAsia" w:ascii="宋体" w:hAnsi="宋体" w:cs="宋体"/>
                <w:szCs w:val="21"/>
                <w:lang w:val="en-US" w:eastAsia="zh-CN"/>
              </w:rPr>
              <w:t xml:space="preserve"> </w:t>
            </w:r>
          </w:p>
        </w:tc>
        <w:tc>
          <w:tcPr>
            <w:tcW w:w="425" w:type="dxa"/>
          </w:tcPr>
          <w:p w14:paraId="650955F0">
            <w:pPr>
              <w:pStyle w:val="5"/>
              <w:spacing w:line="360" w:lineRule="auto"/>
              <w:rPr>
                <w:rFonts w:hint="eastAsia" w:ascii="宋体" w:hAnsi="宋体" w:cs="宋体"/>
                <w:sz w:val="10"/>
                <w:szCs w:val="10"/>
              </w:rPr>
            </w:pPr>
          </w:p>
        </w:tc>
        <w:tc>
          <w:tcPr>
            <w:tcW w:w="4250" w:type="dxa"/>
            <w:vAlign w:val="center"/>
          </w:tcPr>
          <w:p w14:paraId="7C93EA41">
            <w:pPr>
              <w:pStyle w:val="5"/>
              <w:spacing w:line="360" w:lineRule="auto"/>
              <w:ind w:firstLine="0"/>
              <w:rPr>
                <w:rFonts w:hint="eastAsia" w:ascii="宋体" w:hAnsi="宋体" w:eastAsia="宋体" w:cs="宋体"/>
                <w:szCs w:val="21"/>
                <w:lang w:eastAsia="zh-CN"/>
              </w:rPr>
            </w:pPr>
            <w:r>
              <w:rPr>
                <w:rFonts w:hint="eastAsia" w:ascii="宋体" w:hAnsi="宋体" w:cs="宋体"/>
                <w:szCs w:val="21"/>
              </w:rPr>
              <w:t>联系电话：</w:t>
            </w:r>
            <w:r>
              <w:rPr>
                <w:rFonts w:hint="eastAsia" w:ascii="宋体" w:hAnsi="宋体" w:cs="宋体"/>
                <w:szCs w:val="21"/>
                <w:lang w:val="en-US" w:eastAsia="zh-CN"/>
              </w:rPr>
              <w:t xml:space="preserve"> </w:t>
            </w:r>
          </w:p>
        </w:tc>
      </w:tr>
      <w:tr w14:paraId="3BC24475">
        <w:tblPrEx>
          <w:tblCellMar>
            <w:top w:w="0" w:type="dxa"/>
            <w:left w:w="51" w:type="dxa"/>
            <w:bottom w:w="0" w:type="dxa"/>
            <w:right w:w="51" w:type="dxa"/>
          </w:tblCellMar>
        </w:tblPrEx>
        <w:trPr>
          <w:jc w:val="center"/>
        </w:trPr>
        <w:tc>
          <w:tcPr>
            <w:tcW w:w="9070" w:type="dxa"/>
            <w:gridSpan w:val="3"/>
            <w:vAlign w:val="center"/>
          </w:tcPr>
          <w:p w14:paraId="584715F4">
            <w:pPr>
              <w:pStyle w:val="5"/>
              <w:spacing w:line="360" w:lineRule="auto"/>
              <w:ind w:firstLine="0"/>
              <w:jc w:val="center"/>
              <w:rPr>
                <w:rFonts w:hint="eastAsia" w:ascii="宋体" w:hAnsi="宋体" w:cs="宋体"/>
                <w:szCs w:val="21"/>
              </w:rPr>
            </w:pPr>
            <w:r>
              <w:rPr>
                <w:rFonts w:hint="eastAsia" w:ascii="宋体" w:hAnsi="宋体" w:cs="宋体"/>
                <w:szCs w:val="21"/>
              </w:rPr>
              <w:t>签订日期：</w:t>
            </w:r>
            <w:r>
              <w:rPr>
                <w:rFonts w:hint="eastAsia" w:ascii="宋体" w:hAnsi="宋体" w:cs="宋体"/>
                <w:szCs w:val="21"/>
                <w:u w:val="single"/>
              </w:rPr>
              <w:t>2026</w:t>
            </w:r>
            <w:r>
              <w:rPr>
                <w:rFonts w:hint="eastAsia" w:ascii="宋体" w:hAnsi="宋体" w:cs="宋体"/>
                <w:szCs w:val="21"/>
              </w:rPr>
              <w:t>年</w:t>
            </w:r>
            <w:r>
              <w:rPr>
                <w:rFonts w:hint="eastAsia" w:ascii="宋体" w:hAnsi="宋体" w:cs="宋体"/>
                <w:szCs w:val="21"/>
                <w:u w:val="single"/>
              </w:rPr>
              <w:t xml:space="preserve">  </w:t>
            </w:r>
            <w:r>
              <w:rPr>
                <w:rFonts w:ascii="宋体" w:hAnsi="宋体" w:cs="宋体"/>
                <w:szCs w:val="21"/>
                <w:u w:val="single"/>
              </w:rPr>
              <w:t xml:space="preserve"> </w:t>
            </w:r>
            <w:r>
              <w:rPr>
                <w:rFonts w:hint="eastAsia" w:ascii="宋体" w:hAnsi="宋体" w:cs="宋体"/>
                <w:szCs w:val="21"/>
              </w:rPr>
              <w:t>月</w:t>
            </w:r>
            <w:r>
              <w:rPr>
                <w:rFonts w:hint="eastAsia" w:ascii="宋体" w:hAnsi="宋体" w:cs="宋体"/>
                <w:szCs w:val="21"/>
                <w:u w:val="single"/>
              </w:rPr>
              <w:t xml:space="preserve">   </w:t>
            </w:r>
            <w:r>
              <w:rPr>
                <w:rFonts w:hint="eastAsia" w:ascii="宋体" w:hAnsi="宋体" w:cs="宋体"/>
                <w:szCs w:val="21"/>
              </w:rPr>
              <w:t>日</w:t>
            </w:r>
          </w:p>
        </w:tc>
      </w:tr>
      <w:bookmarkEnd w:id="341"/>
      <w:bookmarkEnd w:id="342"/>
      <w:bookmarkEnd w:id="343"/>
      <w:bookmarkEnd w:id="344"/>
      <w:bookmarkEnd w:id="345"/>
      <w:bookmarkEnd w:id="346"/>
      <w:bookmarkEnd w:id="347"/>
      <w:bookmarkEnd w:id="348"/>
      <w:bookmarkEnd w:id="363"/>
      <w:bookmarkEnd w:id="364"/>
      <w:bookmarkEnd w:id="365"/>
    </w:tbl>
    <w:p w14:paraId="650911AC">
      <w:pPr>
        <w:pStyle w:val="31"/>
        <w:spacing w:line="240" w:lineRule="auto"/>
        <w:ind w:firstLine="0" w:firstLineChars="0"/>
        <w:jc w:val="both"/>
        <w:rPr>
          <w:b/>
          <w:bCs/>
          <w:color w:val="auto"/>
          <w:sz w:val="21"/>
          <w:szCs w:val="21"/>
          <w:highlight w:val="none"/>
        </w:rPr>
      </w:pPr>
    </w:p>
    <w:sectPr>
      <w:footerReference r:id="rId9" w:type="first"/>
      <w:headerReference r:id="rId7" w:type="default"/>
      <w:footerReference r:id="rId8" w:type="default"/>
      <w:pgSz w:w="11906" w:h="16838"/>
      <w:pgMar w:top="1134" w:right="1134" w:bottom="1134" w:left="1134" w:header="851" w:footer="567" w:gutter="0"/>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幼圆">
    <w:panose1 w:val="02010509060101010101"/>
    <w:charset w:val="86"/>
    <w:family w:val="modern"/>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微软雅黑">
    <w:panose1 w:val="020B0503020204020204"/>
    <w:charset w:val="86"/>
    <w:family w:val="swiss"/>
    <w:pitch w:val="default"/>
    <w:sig w:usb0="80000287" w:usb1="280F3C52" w:usb2="00000016" w:usb3="00000000" w:csb0="0004001F" w:csb1="00000000"/>
  </w:font>
  <w:font w:name="仿宋">
    <w:panose1 w:val="02010609060101010101"/>
    <w:charset w:val="86"/>
    <w:family w:val="modern"/>
    <w:pitch w:val="default"/>
    <w:sig w:usb0="800002BF" w:usb1="38CF7CFA" w:usb2="00000016" w:usb3="00000000" w:csb0="00040001" w:csb1="00000000"/>
  </w:font>
  <w:font w:name="楷体_GB2312">
    <w:panose1 w:val="02010609030101010101"/>
    <w:charset w:val="86"/>
    <w:family w:val="modern"/>
    <w:pitch w:val="default"/>
    <w:sig w:usb0="00000001" w:usb1="080E0000" w:usb2="00000000" w:usb3="00000000" w:csb0="00040000"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275F87">
    <w:pPr>
      <w:pStyle w:val="17"/>
      <w:tabs>
        <w:tab w:val="center" w:pos="4439"/>
        <w:tab w:val="clear" w:pos="4153"/>
      </w:tabs>
      <w:jc w:val="both"/>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57785" cy="131445"/>
              <wp:effectExtent l="0" t="0" r="0" b="0"/>
              <wp:wrapNone/>
              <wp:docPr id="7" name="文本框 7"/>
              <wp:cNvGraphicFramePr/>
              <a:graphic xmlns:a="http://schemas.openxmlformats.org/drawingml/2006/main">
                <a:graphicData uri="http://schemas.microsoft.com/office/word/2010/wordprocessingShape">
                  <wps:wsp>
                    <wps:cNvSpPr txBox="1"/>
                    <wps:spPr>
                      <a:xfrm>
                        <a:off x="0" y="0"/>
                        <a:ext cx="57785" cy="131445"/>
                      </a:xfrm>
                      <a:prstGeom prst="rect">
                        <a:avLst/>
                      </a:prstGeom>
                      <a:noFill/>
                      <a:ln>
                        <a:noFill/>
                      </a:ln>
                    </wps:spPr>
                    <wps:txbx>
                      <w:txbxContent>
                        <w:p w14:paraId="0C1DE230">
                          <w:pPr>
                            <w:pStyle w:val="17"/>
                          </w:pPr>
                          <w:r>
                            <w:fldChar w:fldCharType="begin"/>
                          </w:r>
                          <w:r>
                            <w:instrText xml:space="preserve"> PAGE  \* MERGEFORMAT </w:instrText>
                          </w:r>
                          <w:r>
                            <w:fldChar w:fldCharType="separate"/>
                          </w:r>
                          <w:r>
                            <w:t>20</w:t>
                          </w:r>
                          <w: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0.35pt;width:4.55pt;mso-position-horizontal:center;mso-position-horizontal-relative:margin;mso-wrap-style:none;z-index:251661312;mso-width-relative:page;mso-height-relative:page;" filled="f" stroked="f" coordsize="21600,21600" o:gfxdata="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4vdRNAAAAACAQAADwAAAAAAAAABACAAAAAiAAAAZHJzL2Rvd25yZXYueG1s&#10;UEsBAhQAFAAAAAgAh07iQNG89CvHAQAAigMAAA4AAAAAAAAAAQAgAAAAHwEAAGRycy9lMm9Eb2Mu&#10;eG1sUEsFBgAAAAAGAAYAWQEAAFgFAAAAAA==&#10;">
              <v:fill on="f" focussize="0,0"/>
              <v:stroke on="f"/>
              <v:imagedata o:title=""/>
              <o:lock v:ext="edit" aspectratio="f"/>
              <v:textbox inset="0mm,0mm,0mm,0mm" style="mso-fit-shape-to-text:t;">
                <w:txbxContent>
                  <w:p w14:paraId="0C1DE230">
                    <w:pPr>
                      <w:pStyle w:val="17"/>
                    </w:pPr>
                    <w:r>
                      <w:fldChar w:fldCharType="begin"/>
                    </w:r>
                    <w:r>
                      <w:instrText xml:space="preserve"> PAGE  \* MERGEFORMAT </w:instrText>
                    </w:r>
                    <w:r>
                      <w:fldChar w:fldCharType="separate"/>
                    </w:r>
                    <w:r>
                      <w:t>20</w:t>
                    </w:r>
                    <w:r>
                      <w:fldChar w:fldCharType="end"/>
                    </w:r>
                  </w:p>
                </w:txbxContent>
              </v:textbox>
            </v:shape>
          </w:pict>
        </mc:Fallback>
      </mc:AlternateContent>
    </w:r>
  </w:p>
  <w:p w14:paraId="098A3566">
    <w:pPr>
      <w:pStyle w:val="1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717785">
    <w:pPr>
      <w:pStyle w:val="17"/>
      <w:tabs>
        <w:tab w:val="center" w:pos="4439"/>
        <w:tab w:val="clear" w:pos="4153"/>
      </w:tabs>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14935" cy="153035"/>
              <wp:effectExtent l="0" t="0" r="0" b="0"/>
              <wp:wrapNone/>
              <wp:docPr id="5" name="文本框 5"/>
              <wp:cNvGraphicFramePr/>
              <a:graphic xmlns:a="http://schemas.openxmlformats.org/drawingml/2006/main">
                <a:graphicData uri="http://schemas.microsoft.com/office/word/2010/wordprocessingShape">
                  <wps:wsp>
                    <wps:cNvSpPr txBox="1"/>
                    <wps:spPr>
                      <a:xfrm>
                        <a:off x="0" y="0"/>
                        <a:ext cx="114935" cy="153035"/>
                      </a:xfrm>
                      <a:prstGeom prst="rect">
                        <a:avLst/>
                      </a:prstGeom>
                      <a:noFill/>
                      <a:ln>
                        <a:noFill/>
                      </a:ln>
                    </wps:spPr>
                    <wps:txbx>
                      <w:txbxContent>
                        <w:p w14:paraId="7AD98580"/>
                      </w:txbxContent>
                    </wps:txbx>
                    <wps:bodyPr wrap="none" lIns="0" tIns="0" rIns="0" bIns="0">
                      <a:spAutoFit/>
                    </wps:bodyPr>
                  </wps:wsp>
                </a:graphicData>
              </a:graphic>
            </wp:anchor>
          </w:drawing>
        </mc:Choice>
        <mc:Fallback>
          <w:pict>
            <v:shape id="_x0000_s1026" o:spid="_x0000_s1026" o:spt="202" type="#_x0000_t202" style="position:absolute;left:0pt;margin-top:0pt;height:12.05pt;width:9.05pt;mso-position-horizontal:center;mso-position-horizontal-relative:margin;mso-wrap-style:none;z-index:251662336;mso-width-relative:page;mso-height-relative:page;" filled="f" stroked="f" coordsize="21600,21600" o:gfxdata="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AkFT5rQAAAAAwEAAA8AAAAAAAAAAQAgAAAAIgAAAGRycy9kb3ducmV2LnhtbFBL&#10;AQIUABQAAAAIAIdO4kBUxB8bxQEAAIsDAAAOAAAAAAAAAAEAIAAAAB8BAABkcnMvZTJvRG9jLnht&#10;bFBLBQYAAAAABgAGAFkBAABWBQAAAAA=&#10;">
              <v:fill on="f" focussize="0,0"/>
              <v:stroke on="f"/>
              <v:imagedata o:title=""/>
              <o:lock v:ext="edit" aspectratio="f"/>
              <v:textbox inset="0mm,0mm,0mm,0mm" style="mso-fit-shape-to-text:t;">
                <w:txbxContent>
                  <w:p w14:paraId="7AD98580"/>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259EBD">
    <w:pPr>
      <w:pStyle w:val="17"/>
      <w:jc w:val="cente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14935" cy="131445"/>
              <wp:effectExtent l="0" t="0" r="0" b="0"/>
              <wp:wrapNone/>
              <wp:docPr id="6" name="文本框 6"/>
              <wp:cNvGraphicFramePr/>
              <a:graphic xmlns:a="http://schemas.openxmlformats.org/drawingml/2006/main">
                <a:graphicData uri="http://schemas.microsoft.com/office/word/2010/wordprocessingShape">
                  <wps:wsp>
                    <wps:cNvSpPr txBox="1"/>
                    <wps:spPr>
                      <a:xfrm>
                        <a:off x="0" y="0"/>
                        <a:ext cx="114935" cy="131445"/>
                      </a:xfrm>
                      <a:prstGeom prst="rect">
                        <a:avLst/>
                      </a:prstGeom>
                      <a:noFill/>
                      <a:ln>
                        <a:noFill/>
                      </a:ln>
                    </wps:spPr>
                    <wps:txbx>
                      <w:txbxContent>
                        <w:p w14:paraId="43724D02">
                          <w:pPr>
                            <w:pStyle w:val="17"/>
                            <w:jc w:val="center"/>
                          </w:pPr>
                          <w:r>
                            <w:fldChar w:fldCharType="begin"/>
                          </w:r>
                          <w:r>
                            <w:instrText xml:space="preserve"> PAGE  \* MERGEFORMAT </w:instrText>
                          </w:r>
                          <w:r>
                            <w:fldChar w:fldCharType="separate"/>
                          </w:r>
                          <w:r>
                            <w:t>38</w:t>
                          </w:r>
                          <w: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0.35pt;width:9.05pt;mso-position-horizontal:center;mso-position-horizontal-relative:margin;mso-wrap-style:none;z-index:251659264;mso-width-relative:page;mso-height-relative:page;" filled="f" stroked="f" coordsize="21600,21600" o:gfxdata="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BD5X5J0AAAAAMBAAAPAAAAAAAAAAEAIAAAACIAAABkcnMvZG93bnJldi54bWxQ&#10;SwECFAAUAAAACACHTuJAt87d2MYBAACLAwAADgAAAAAAAAABACAAAAAfAQAAZHJzL2Uyb0RvYy54&#10;bWxQSwUGAAAAAAYABgBZAQAAVwUAAAAA&#10;">
              <v:fill on="f" focussize="0,0"/>
              <v:stroke on="f"/>
              <v:imagedata o:title=""/>
              <o:lock v:ext="edit" aspectratio="f"/>
              <v:textbox inset="0mm,0mm,0mm,0mm" style="mso-fit-shape-to-text:t;">
                <w:txbxContent>
                  <w:p w14:paraId="43724D02">
                    <w:pPr>
                      <w:pStyle w:val="17"/>
                      <w:jc w:val="center"/>
                    </w:pPr>
                    <w:r>
                      <w:fldChar w:fldCharType="begin"/>
                    </w:r>
                    <w:r>
                      <w:instrText xml:space="preserve"> PAGE  \* MERGEFORMAT </w:instrText>
                    </w:r>
                    <w:r>
                      <w:fldChar w:fldCharType="separate"/>
                    </w:r>
                    <w:r>
                      <w:t>38</w:t>
                    </w:r>
                    <w:r>
                      <w:fldChar w:fldCharType="end"/>
                    </w:r>
                  </w:p>
                </w:txbxContent>
              </v:textbox>
            </v:shape>
          </w:pict>
        </mc:Fallback>
      </mc:AlternateContent>
    </w:r>
  </w:p>
  <w:p w14:paraId="1DAA0BBC">
    <w:pPr>
      <w:pStyle w:val="17"/>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007C61">
    <w:pPr>
      <w:pStyle w:val="17"/>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14935" cy="131445"/>
              <wp:effectExtent l="0" t="0" r="0" b="0"/>
              <wp:wrapNone/>
              <wp:docPr id="1" name="文本框 1"/>
              <wp:cNvGraphicFramePr/>
              <a:graphic xmlns:a="http://schemas.openxmlformats.org/drawingml/2006/main">
                <a:graphicData uri="http://schemas.microsoft.com/office/word/2010/wordprocessingShape">
                  <wps:wsp>
                    <wps:cNvSpPr txBox="1"/>
                    <wps:spPr>
                      <a:xfrm>
                        <a:off x="0" y="0"/>
                        <a:ext cx="114935" cy="131445"/>
                      </a:xfrm>
                      <a:prstGeom prst="rect">
                        <a:avLst/>
                      </a:prstGeom>
                      <a:noFill/>
                      <a:ln>
                        <a:noFill/>
                      </a:ln>
                    </wps:spPr>
                    <wps:txbx>
                      <w:txbxContent>
                        <w:p w14:paraId="31100E0B">
                          <w:pPr>
                            <w:pStyle w:val="17"/>
                          </w:pPr>
                          <w:r>
                            <w:rPr>
                              <w:rFonts w:hint="eastAsia"/>
                            </w:rPr>
                            <w:fldChar w:fldCharType="begin"/>
                          </w:r>
                          <w:r>
                            <w:rPr>
                              <w:rFonts w:hint="eastAsia"/>
                            </w:rPr>
                            <w:instrText xml:space="preserve"> PAGE  \* MERGEFORMAT </w:instrText>
                          </w:r>
                          <w:r>
                            <w:rPr>
                              <w:rFonts w:hint="eastAsia"/>
                            </w:rPr>
                            <w:fldChar w:fldCharType="separate"/>
                          </w:r>
                          <w:r>
                            <w:t>30</w:t>
                          </w:r>
                          <w:r>
                            <w:rPr>
                              <w:rFonts w:hint="eastAsia"/>
                            </w:rP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0.35pt;width:9.05pt;mso-position-horizontal:center;mso-position-horizontal-relative:margin;mso-wrap-style:none;z-index:251660288;mso-width-relative:page;mso-height-relative:page;" filled="f" stroked="f" coordsize="21600,21600" o:gfxdata="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Q+V+SdAAAAADAQAADwAAAAAAAAABACAAAAAiAAAAZHJzL2Rvd25yZXYueG1s&#10;UEsBAhQAFAAAAAgAh07iQDhQJ3LHAQAAiwMAAA4AAAAAAAAAAQAgAAAAHwEAAGRycy9lMm9Eb2Mu&#10;eG1sUEsFBgAAAAAGAAYAWQEAAFgFAAAAAA==&#10;">
              <v:fill on="f" focussize="0,0"/>
              <v:stroke on="f"/>
              <v:imagedata o:title=""/>
              <o:lock v:ext="edit" aspectratio="f"/>
              <v:textbox inset="0mm,0mm,0mm,0mm" style="mso-fit-shape-to-text:t;">
                <w:txbxContent>
                  <w:p w14:paraId="31100E0B">
                    <w:pPr>
                      <w:pStyle w:val="17"/>
                    </w:pPr>
                    <w:r>
                      <w:rPr>
                        <w:rFonts w:hint="eastAsia"/>
                      </w:rPr>
                      <w:fldChar w:fldCharType="begin"/>
                    </w:r>
                    <w:r>
                      <w:rPr>
                        <w:rFonts w:hint="eastAsia"/>
                      </w:rPr>
                      <w:instrText xml:space="preserve"> PAGE  \* MERGEFORMAT </w:instrText>
                    </w:r>
                    <w:r>
                      <w:rPr>
                        <w:rFonts w:hint="eastAsia"/>
                      </w:rPr>
                      <w:fldChar w:fldCharType="separate"/>
                    </w:r>
                    <w:r>
                      <w:t>30</w:t>
                    </w:r>
                    <w:r>
                      <w:rPr>
                        <w:rFonts w:hint="eastAsia"/>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9D0D21">
    <w:pPr>
      <w:pStyle w:val="18"/>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2C40D6">
    <w:pPr>
      <w:pStyle w:val="18"/>
      <w:pBdr>
        <w:bottom w:val="none" w:color="auto" w:sz="0" w:space="1"/>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CD3197">
    <w:pPr>
      <w:pStyle w:val="18"/>
      <w:pBdr>
        <w:bottom w:val="none" w:color="auto" w:sz="0" w:space="0"/>
      </w:pBdr>
      <w:tabs>
        <w:tab w:val="center" w:pos="0"/>
        <w:tab w:val="left" w:pos="8306"/>
        <w:tab w:val="clear" w:pos="4153"/>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oNotDisplayPageBoundaries w:val="1"/>
  <w:embedSystemFonts/>
  <w:bordersDoNotSurroundHeader w:val="1"/>
  <w:bordersDoNotSurroundFooter w:val="1"/>
  <w:trackRevisions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jc1OTAyNjUwMzAwOTUzNDY4MDgzZGQ4NmQxNDljMzUifQ=="/>
  </w:docVars>
  <w:rsids>
    <w:rsidRoot w:val="34C93999"/>
    <w:rsid w:val="00024F75"/>
    <w:rsid w:val="000B2587"/>
    <w:rsid w:val="000C3020"/>
    <w:rsid w:val="000D1C12"/>
    <w:rsid w:val="001077E5"/>
    <w:rsid w:val="00110E50"/>
    <w:rsid w:val="00120044"/>
    <w:rsid w:val="001249E5"/>
    <w:rsid w:val="001370CC"/>
    <w:rsid w:val="001943F3"/>
    <w:rsid w:val="00197D7C"/>
    <w:rsid w:val="002074A1"/>
    <w:rsid w:val="0024633E"/>
    <w:rsid w:val="002A321A"/>
    <w:rsid w:val="002E0DBD"/>
    <w:rsid w:val="002F2BC6"/>
    <w:rsid w:val="00337FF8"/>
    <w:rsid w:val="00356FF0"/>
    <w:rsid w:val="00376890"/>
    <w:rsid w:val="003914E4"/>
    <w:rsid w:val="003A58E6"/>
    <w:rsid w:val="003C697E"/>
    <w:rsid w:val="004129E9"/>
    <w:rsid w:val="004136C7"/>
    <w:rsid w:val="00426ECB"/>
    <w:rsid w:val="00437639"/>
    <w:rsid w:val="00445134"/>
    <w:rsid w:val="00463433"/>
    <w:rsid w:val="004759B0"/>
    <w:rsid w:val="004A514D"/>
    <w:rsid w:val="004B2FF5"/>
    <w:rsid w:val="004C2157"/>
    <w:rsid w:val="004C23B8"/>
    <w:rsid w:val="004F44A0"/>
    <w:rsid w:val="00513C9C"/>
    <w:rsid w:val="005169C0"/>
    <w:rsid w:val="00560754"/>
    <w:rsid w:val="005750CF"/>
    <w:rsid w:val="0057562B"/>
    <w:rsid w:val="005D741C"/>
    <w:rsid w:val="00644C63"/>
    <w:rsid w:val="0065328C"/>
    <w:rsid w:val="0067215E"/>
    <w:rsid w:val="006909B7"/>
    <w:rsid w:val="006C69FB"/>
    <w:rsid w:val="006D1841"/>
    <w:rsid w:val="006D1962"/>
    <w:rsid w:val="006E12E6"/>
    <w:rsid w:val="006F21CF"/>
    <w:rsid w:val="0074337D"/>
    <w:rsid w:val="0075157B"/>
    <w:rsid w:val="00781CD2"/>
    <w:rsid w:val="00795E21"/>
    <w:rsid w:val="007C12D2"/>
    <w:rsid w:val="007C77CE"/>
    <w:rsid w:val="007F27CB"/>
    <w:rsid w:val="007F6099"/>
    <w:rsid w:val="00833F13"/>
    <w:rsid w:val="0087406B"/>
    <w:rsid w:val="008B4D30"/>
    <w:rsid w:val="008D7B67"/>
    <w:rsid w:val="00923A67"/>
    <w:rsid w:val="009545EB"/>
    <w:rsid w:val="009F2F68"/>
    <w:rsid w:val="00A14D97"/>
    <w:rsid w:val="00A368F1"/>
    <w:rsid w:val="00A66DC7"/>
    <w:rsid w:val="00A808C0"/>
    <w:rsid w:val="00A91449"/>
    <w:rsid w:val="00AF6A6D"/>
    <w:rsid w:val="00B2161F"/>
    <w:rsid w:val="00B2494B"/>
    <w:rsid w:val="00B47223"/>
    <w:rsid w:val="00B66956"/>
    <w:rsid w:val="00B74FA0"/>
    <w:rsid w:val="00B8174C"/>
    <w:rsid w:val="00B8222F"/>
    <w:rsid w:val="00BB6DD5"/>
    <w:rsid w:val="00BF6D0E"/>
    <w:rsid w:val="00C03FA9"/>
    <w:rsid w:val="00C26B47"/>
    <w:rsid w:val="00C30C5D"/>
    <w:rsid w:val="00C50E49"/>
    <w:rsid w:val="00C74DE9"/>
    <w:rsid w:val="00C96759"/>
    <w:rsid w:val="00CC1689"/>
    <w:rsid w:val="00CC303F"/>
    <w:rsid w:val="00D028CA"/>
    <w:rsid w:val="00D0295C"/>
    <w:rsid w:val="00D45E9B"/>
    <w:rsid w:val="00D80D26"/>
    <w:rsid w:val="00D8107C"/>
    <w:rsid w:val="00D856B9"/>
    <w:rsid w:val="00D94B29"/>
    <w:rsid w:val="00D96E53"/>
    <w:rsid w:val="00DA6169"/>
    <w:rsid w:val="00DE3D00"/>
    <w:rsid w:val="00DF6716"/>
    <w:rsid w:val="00E15E97"/>
    <w:rsid w:val="00E46AD2"/>
    <w:rsid w:val="00E73E52"/>
    <w:rsid w:val="00EA1794"/>
    <w:rsid w:val="00EA17BF"/>
    <w:rsid w:val="00EC3DEE"/>
    <w:rsid w:val="00F21422"/>
    <w:rsid w:val="00F26B11"/>
    <w:rsid w:val="00F464C3"/>
    <w:rsid w:val="00FD2DED"/>
    <w:rsid w:val="015837E7"/>
    <w:rsid w:val="019404F8"/>
    <w:rsid w:val="01B97F5E"/>
    <w:rsid w:val="023A2582"/>
    <w:rsid w:val="0241242E"/>
    <w:rsid w:val="02532161"/>
    <w:rsid w:val="02777065"/>
    <w:rsid w:val="02860B12"/>
    <w:rsid w:val="02FF20EF"/>
    <w:rsid w:val="03121CB1"/>
    <w:rsid w:val="03327053"/>
    <w:rsid w:val="038E6260"/>
    <w:rsid w:val="03F86B1C"/>
    <w:rsid w:val="047932FF"/>
    <w:rsid w:val="047D34C5"/>
    <w:rsid w:val="04A04910"/>
    <w:rsid w:val="04EA18B4"/>
    <w:rsid w:val="04F80D9E"/>
    <w:rsid w:val="05017C52"/>
    <w:rsid w:val="056C0210"/>
    <w:rsid w:val="05A849AC"/>
    <w:rsid w:val="05AC2A96"/>
    <w:rsid w:val="05D073C6"/>
    <w:rsid w:val="06093262"/>
    <w:rsid w:val="0650484D"/>
    <w:rsid w:val="06763241"/>
    <w:rsid w:val="06AB56C6"/>
    <w:rsid w:val="06B55160"/>
    <w:rsid w:val="06D9581B"/>
    <w:rsid w:val="06DD0D61"/>
    <w:rsid w:val="06E1398D"/>
    <w:rsid w:val="06E65352"/>
    <w:rsid w:val="07124399"/>
    <w:rsid w:val="07135F64"/>
    <w:rsid w:val="074F5A1D"/>
    <w:rsid w:val="07635DC6"/>
    <w:rsid w:val="08013031"/>
    <w:rsid w:val="08640C24"/>
    <w:rsid w:val="08C77405"/>
    <w:rsid w:val="08FB3710"/>
    <w:rsid w:val="08FB7730"/>
    <w:rsid w:val="08FC70AE"/>
    <w:rsid w:val="0925661E"/>
    <w:rsid w:val="094B3982"/>
    <w:rsid w:val="09CC40B1"/>
    <w:rsid w:val="0AEB7501"/>
    <w:rsid w:val="0B705B32"/>
    <w:rsid w:val="0B7F7B23"/>
    <w:rsid w:val="0C154AE6"/>
    <w:rsid w:val="0C510D41"/>
    <w:rsid w:val="0C71390F"/>
    <w:rsid w:val="0C780787"/>
    <w:rsid w:val="0CAC2B9A"/>
    <w:rsid w:val="0CC84203"/>
    <w:rsid w:val="0CFD1647"/>
    <w:rsid w:val="0D693D8C"/>
    <w:rsid w:val="0DC14423"/>
    <w:rsid w:val="0DF3435A"/>
    <w:rsid w:val="0E047436"/>
    <w:rsid w:val="0E630A57"/>
    <w:rsid w:val="0EC145B8"/>
    <w:rsid w:val="0ECC18E9"/>
    <w:rsid w:val="0F2D5DBF"/>
    <w:rsid w:val="0F87169C"/>
    <w:rsid w:val="10233173"/>
    <w:rsid w:val="102962AF"/>
    <w:rsid w:val="115351DC"/>
    <w:rsid w:val="11651569"/>
    <w:rsid w:val="11CE52C6"/>
    <w:rsid w:val="1238175F"/>
    <w:rsid w:val="12C435FB"/>
    <w:rsid w:val="13D50C28"/>
    <w:rsid w:val="13FF1575"/>
    <w:rsid w:val="141510EF"/>
    <w:rsid w:val="14171240"/>
    <w:rsid w:val="144D4C62"/>
    <w:rsid w:val="14F25809"/>
    <w:rsid w:val="15055A09"/>
    <w:rsid w:val="153A762E"/>
    <w:rsid w:val="15D76C42"/>
    <w:rsid w:val="172C078B"/>
    <w:rsid w:val="173819A8"/>
    <w:rsid w:val="178D2C0D"/>
    <w:rsid w:val="17F7561A"/>
    <w:rsid w:val="18517B09"/>
    <w:rsid w:val="185C36C6"/>
    <w:rsid w:val="18610CDC"/>
    <w:rsid w:val="189310B2"/>
    <w:rsid w:val="189A5F9C"/>
    <w:rsid w:val="18AE37F5"/>
    <w:rsid w:val="18F5277F"/>
    <w:rsid w:val="191540C3"/>
    <w:rsid w:val="1930354C"/>
    <w:rsid w:val="199B6470"/>
    <w:rsid w:val="1A0D2A74"/>
    <w:rsid w:val="1A295749"/>
    <w:rsid w:val="1A512A09"/>
    <w:rsid w:val="1A516B2E"/>
    <w:rsid w:val="1A5D3725"/>
    <w:rsid w:val="1A7E6175"/>
    <w:rsid w:val="1AA21A2F"/>
    <w:rsid w:val="1AE00FE3"/>
    <w:rsid w:val="1AFC6F03"/>
    <w:rsid w:val="1B23068A"/>
    <w:rsid w:val="1B8A054A"/>
    <w:rsid w:val="1B997902"/>
    <w:rsid w:val="1C01115D"/>
    <w:rsid w:val="1C2009E4"/>
    <w:rsid w:val="1C7E3439"/>
    <w:rsid w:val="1C827473"/>
    <w:rsid w:val="1D216C8C"/>
    <w:rsid w:val="1D594AE3"/>
    <w:rsid w:val="1D617DC0"/>
    <w:rsid w:val="1E27556E"/>
    <w:rsid w:val="1E2A6984"/>
    <w:rsid w:val="1F19738B"/>
    <w:rsid w:val="1F3033A9"/>
    <w:rsid w:val="1F3507CD"/>
    <w:rsid w:val="1F9C381F"/>
    <w:rsid w:val="200077CF"/>
    <w:rsid w:val="20880961"/>
    <w:rsid w:val="2091237A"/>
    <w:rsid w:val="20992FDD"/>
    <w:rsid w:val="20BD316F"/>
    <w:rsid w:val="20BE4ACB"/>
    <w:rsid w:val="20BF7061"/>
    <w:rsid w:val="20E95A81"/>
    <w:rsid w:val="20EC5803"/>
    <w:rsid w:val="20ED1916"/>
    <w:rsid w:val="21073EBF"/>
    <w:rsid w:val="21246D4B"/>
    <w:rsid w:val="21510141"/>
    <w:rsid w:val="21837F15"/>
    <w:rsid w:val="21AE2AB8"/>
    <w:rsid w:val="21B43828"/>
    <w:rsid w:val="222B119F"/>
    <w:rsid w:val="22381879"/>
    <w:rsid w:val="224156DA"/>
    <w:rsid w:val="22AA2231"/>
    <w:rsid w:val="22EE13BE"/>
    <w:rsid w:val="23571659"/>
    <w:rsid w:val="236B2A0F"/>
    <w:rsid w:val="23D7424E"/>
    <w:rsid w:val="241237D2"/>
    <w:rsid w:val="242B31D9"/>
    <w:rsid w:val="24341D04"/>
    <w:rsid w:val="244D480A"/>
    <w:rsid w:val="2547125A"/>
    <w:rsid w:val="263A355B"/>
    <w:rsid w:val="263D5FAD"/>
    <w:rsid w:val="266E0A9E"/>
    <w:rsid w:val="26B714BD"/>
    <w:rsid w:val="26CE26D3"/>
    <w:rsid w:val="26FE003E"/>
    <w:rsid w:val="27206206"/>
    <w:rsid w:val="272F01F7"/>
    <w:rsid w:val="274E2D73"/>
    <w:rsid w:val="27894FA0"/>
    <w:rsid w:val="27D2215A"/>
    <w:rsid w:val="27F76F67"/>
    <w:rsid w:val="281A0EA7"/>
    <w:rsid w:val="284877C3"/>
    <w:rsid w:val="28701767"/>
    <w:rsid w:val="28836A4D"/>
    <w:rsid w:val="28A144DE"/>
    <w:rsid w:val="28C606E7"/>
    <w:rsid w:val="29394A5F"/>
    <w:rsid w:val="29B82726"/>
    <w:rsid w:val="29C67536"/>
    <w:rsid w:val="2A4012A5"/>
    <w:rsid w:val="2A6908FE"/>
    <w:rsid w:val="2ACA1B3C"/>
    <w:rsid w:val="2ACA39A7"/>
    <w:rsid w:val="2AEA2DB3"/>
    <w:rsid w:val="2B544EBA"/>
    <w:rsid w:val="2B8D1D21"/>
    <w:rsid w:val="2BDC1346"/>
    <w:rsid w:val="2BEC4909"/>
    <w:rsid w:val="2C26606D"/>
    <w:rsid w:val="2CB25CD8"/>
    <w:rsid w:val="2CDA6E57"/>
    <w:rsid w:val="2DB87C25"/>
    <w:rsid w:val="2DD35A8A"/>
    <w:rsid w:val="2DDB94E8"/>
    <w:rsid w:val="2DE4019A"/>
    <w:rsid w:val="2DFA422D"/>
    <w:rsid w:val="2ED82DE9"/>
    <w:rsid w:val="2F01691D"/>
    <w:rsid w:val="2F567BD9"/>
    <w:rsid w:val="2F93694C"/>
    <w:rsid w:val="2FA77026"/>
    <w:rsid w:val="2FB64A2C"/>
    <w:rsid w:val="301B00BE"/>
    <w:rsid w:val="30A36FF1"/>
    <w:rsid w:val="30AE74B8"/>
    <w:rsid w:val="30E57806"/>
    <w:rsid w:val="30E76319"/>
    <w:rsid w:val="31061FC9"/>
    <w:rsid w:val="3192126F"/>
    <w:rsid w:val="31D65C22"/>
    <w:rsid w:val="31DD2B6C"/>
    <w:rsid w:val="32003B98"/>
    <w:rsid w:val="32A77828"/>
    <w:rsid w:val="32FA5B5D"/>
    <w:rsid w:val="32FD48AE"/>
    <w:rsid w:val="330A7EFD"/>
    <w:rsid w:val="3330157F"/>
    <w:rsid w:val="33B81DE8"/>
    <w:rsid w:val="33FF67B9"/>
    <w:rsid w:val="34060480"/>
    <w:rsid w:val="34173F47"/>
    <w:rsid w:val="34A96881"/>
    <w:rsid w:val="34C93999"/>
    <w:rsid w:val="350A50A2"/>
    <w:rsid w:val="357065AB"/>
    <w:rsid w:val="35C87F34"/>
    <w:rsid w:val="35CB558F"/>
    <w:rsid w:val="35D703D8"/>
    <w:rsid w:val="36BA61CA"/>
    <w:rsid w:val="375816CF"/>
    <w:rsid w:val="375BD3A9"/>
    <w:rsid w:val="37795AC3"/>
    <w:rsid w:val="378219F7"/>
    <w:rsid w:val="37BB699A"/>
    <w:rsid w:val="381E7F4D"/>
    <w:rsid w:val="3836605E"/>
    <w:rsid w:val="385D1988"/>
    <w:rsid w:val="3861455A"/>
    <w:rsid w:val="38666A14"/>
    <w:rsid w:val="38BE589B"/>
    <w:rsid w:val="38DE5291"/>
    <w:rsid w:val="38DF7CCF"/>
    <w:rsid w:val="390037A2"/>
    <w:rsid w:val="39691347"/>
    <w:rsid w:val="39B567E8"/>
    <w:rsid w:val="39FA28E7"/>
    <w:rsid w:val="3A1A6AE5"/>
    <w:rsid w:val="3A457788"/>
    <w:rsid w:val="3AC73FF0"/>
    <w:rsid w:val="3B4958D4"/>
    <w:rsid w:val="3B5B73B5"/>
    <w:rsid w:val="3BAD2B18"/>
    <w:rsid w:val="3BC04D42"/>
    <w:rsid w:val="3BE70255"/>
    <w:rsid w:val="3BE90E02"/>
    <w:rsid w:val="3C3C0578"/>
    <w:rsid w:val="3C812E4B"/>
    <w:rsid w:val="3CB6196A"/>
    <w:rsid w:val="3CD1173A"/>
    <w:rsid w:val="3CD56668"/>
    <w:rsid w:val="3CDC4C15"/>
    <w:rsid w:val="3D5C7EC0"/>
    <w:rsid w:val="3D772DA7"/>
    <w:rsid w:val="3D7B0B45"/>
    <w:rsid w:val="3DD17AF1"/>
    <w:rsid w:val="3E110989"/>
    <w:rsid w:val="3E182556"/>
    <w:rsid w:val="3E1A3C76"/>
    <w:rsid w:val="3E3068D7"/>
    <w:rsid w:val="3EBF1848"/>
    <w:rsid w:val="3EC534C3"/>
    <w:rsid w:val="3ED2798E"/>
    <w:rsid w:val="3F0C16C4"/>
    <w:rsid w:val="3F3F4625"/>
    <w:rsid w:val="3F4F1E6B"/>
    <w:rsid w:val="3F6D4C9E"/>
    <w:rsid w:val="3F740BAA"/>
    <w:rsid w:val="3FA33136"/>
    <w:rsid w:val="3FAC745B"/>
    <w:rsid w:val="400224F5"/>
    <w:rsid w:val="403A1C8F"/>
    <w:rsid w:val="40592CD6"/>
    <w:rsid w:val="40EA5463"/>
    <w:rsid w:val="41166258"/>
    <w:rsid w:val="4139028D"/>
    <w:rsid w:val="415B5189"/>
    <w:rsid w:val="418E68AF"/>
    <w:rsid w:val="420C2FE8"/>
    <w:rsid w:val="420D12B8"/>
    <w:rsid w:val="422453BF"/>
    <w:rsid w:val="424F6D01"/>
    <w:rsid w:val="425B4FCD"/>
    <w:rsid w:val="429D02B3"/>
    <w:rsid w:val="42E17B48"/>
    <w:rsid w:val="43186F5D"/>
    <w:rsid w:val="441F3676"/>
    <w:rsid w:val="442E38B7"/>
    <w:rsid w:val="444035EC"/>
    <w:rsid w:val="444D590E"/>
    <w:rsid w:val="445552E9"/>
    <w:rsid w:val="44BF2B1E"/>
    <w:rsid w:val="451821CA"/>
    <w:rsid w:val="451D4333"/>
    <w:rsid w:val="45EC4EB1"/>
    <w:rsid w:val="46B53161"/>
    <w:rsid w:val="46C2653A"/>
    <w:rsid w:val="46D71FE6"/>
    <w:rsid w:val="46DD59F3"/>
    <w:rsid w:val="46F26477"/>
    <w:rsid w:val="473453C9"/>
    <w:rsid w:val="477135F2"/>
    <w:rsid w:val="481D7ECC"/>
    <w:rsid w:val="487A43A9"/>
    <w:rsid w:val="48A24DF2"/>
    <w:rsid w:val="48EC2473"/>
    <w:rsid w:val="4910358D"/>
    <w:rsid w:val="49325BF9"/>
    <w:rsid w:val="495B5F96"/>
    <w:rsid w:val="49C20FF6"/>
    <w:rsid w:val="4A7A7858"/>
    <w:rsid w:val="4A833DDE"/>
    <w:rsid w:val="4AAD1497"/>
    <w:rsid w:val="4AF60EA8"/>
    <w:rsid w:val="4B766399"/>
    <w:rsid w:val="4B9B6A46"/>
    <w:rsid w:val="4BD126B6"/>
    <w:rsid w:val="4CAE4D4E"/>
    <w:rsid w:val="4D061CEA"/>
    <w:rsid w:val="4D2D2077"/>
    <w:rsid w:val="4D3079B0"/>
    <w:rsid w:val="4D483CFB"/>
    <w:rsid w:val="4DBB3B00"/>
    <w:rsid w:val="4DC766D9"/>
    <w:rsid w:val="4DC837F1"/>
    <w:rsid w:val="4DD42237"/>
    <w:rsid w:val="4DE43E38"/>
    <w:rsid w:val="4E57207E"/>
    <w:rsid w:val="4E577EB0"/>
    <w:rsid w:val="4E643CA3"/>
    <w:rsid w:val="4E827BAD"/>
    <w:rsid w:val="4E8B0801"/>
    <w:rsid w:val="4EBF5F9B"/>
    <w:rsid w:val="4EEA0D24"/>
    <w:rsid w:val="4F906C8C"/>
    <w:rsid w:val="4FA15887"/>
    <w:rsid w:val="4FD0734C"/>
    <w:rsid w:val="4FEB6B02"/>
    <w:rsid w:val="500110B1"/>
    <w:rsid w:val="50086BD8"/>
    <w:rsid w:val="50B53E76"/>
    <w:rsid w:val="51023383"/>
    <w:rsid w:val="51220301"/>
    <w:rsid w:val="517D19DC"/>
    <w:rsid w:val="51FC1C0F"/>
    <w:rsid w:val="52232583"/>
    <w:rsid w:val="522B77E3"/>
    <w:rsid w:val="52434B27"/>
    <w:rsid w:val="526C64D6"/>
    <w:rsid w:val="526F3A1A"/>
    <w:rsid w:val="533B3EA3"/>
    <w:rsid w:val="53A07C03"/>
    <w:rsid w:val="53C33EBA"/>
    <w:rsid w:val="54105DF7"/>
    <w:rsid w:val="543F741C"/>
    <w:rsid w:val="54431BBA"/>
    <w:rsid w:val="547748A2"/>
    <w:rsid w:val="551366B0"/>
    <w:rsid w:val="551E6BFD"/>
    <w:rsid w:val="55412866"/>
    <w:rsid w:val="557E5D22"/>
    <w:rsid w:val="55E55DA1"/>
    <w:rsid w:val="55F52488"/>
    <w:rsid w:val="560B3A5A"/>
    <w:rsid w:val="567B37A2"/>
    <w:rsid w:val="5687029A"/>
    <w:rsid w:val="57011E43"/>
    <w:rsid w:val="5712706A"/>
    <w:rsid w:val="5758166F"/>
    <w:rsid w:val="585F0ED5"/>
    <w:rsid w:val="587C2220"/>
    <w:rsid w:val="58F0571B"/>
    <w:rsid w:val="596D445E"/>
    <w:rsid w:val="59800714"/>
    <w:rsid w:val="59C97EB4"/>
    <w:rsid w:val="59CD1026"/>
    <w:rsid w:val="59F34F31"/>
    <w:rsid w:val="5A6D0B73"/>
    <w:rsid w:val="5B7764D4"/>
    <w:rsid w:val="5B94358B"/>
    <w:rsid w:val="5C065A52"/>
    <w:rsid w:val="5C213F6E"/>
    <w:rsid w:val="5C3A7AA5"/>
    <w:rsid w:val="5C965BD2"/>
    <w:rsid w:val="5CB96961"/>
    <w:rsid w:val="5CBB20D7"/>
    <w:rsid w:val="5D4265D8"/>
    <w:rsid w:val="5D557CB0"/>
    <w:rsid w:val="5D84563D"/>
    <w:rsid w:val="5DEB4B5C"/>
    <w:rsid w:val="5EA902B4"/>
    <w:rsid w:val="5F2F6EFE"/>
    <w:rsid w:val="5F334C6A"/>
    <w:rsid w:val="5F3956A4"/>
    <w:rsid w:val="5F3A9E27"/>
    <w:rsid w:val="5F7C5450"/>
    <w:rsid w:val="600357A2"/>
    <w:rsid w:val="600734E4"/>
    <w:rsid w:val="60132BBC"/>
    <w:rsid w:val="615C0D42"/>
    <w:rsid w:val="617C2DA3"/>
    <w:rsid w:val="61893794"/>
    <w:rsid w:val="620D2688"/>
    <w:rsid w:val="621C3B96"/>
    <w:rsid w:val="623F034B"/>
    <w:rsid w:val="625B6C51"/>
    <w:rsid w:val="627100CA"/>
    <w:rsid w:val="62DE63D1"/>
    <w:rsid w:val="62DF24F6"/>
    <w:rsid w:val="630422BE"/>
    <w:rsid w:val="63286EBE"/>
    <w:rsid w:val="634C54F0"/>
    <w:rsid w:val="635B603C"/>
    <w:rsid w:val="6361115D"/>
    <w:rsid w:val="637D564F"/>
    <w:rsid w:val="638E7A78"/>
    <w:rsid w:val="6411213F"/>
    <w:rsid w:val="64151D68"/>
    <w:rsid w:val="642239BF"/>
    <w:rsid w:val="645111D2"/>
    <w:rsid w:val="64550596"/>
    <w:rsid w:val="6460463E"/>
    <w:rsid w:val="64C16798"/>
    <w:rsid w:val="64CC60FB"/>
    <w:rsid w:val="64EF4547"/>
    <w:rsid w:val="64F00543"/>
    <w:rsid w:val="64F41B5D"/>
    <w:rsid w:val="64F46E25"/>
    <w:rsid w:val="6519323D"/>
    <w:rsid w:val="6526668E"/>
    <w:rsid w:val="65292C1E"/>
    <w:rsid w:val="65570F81"/>
    <w:rsid w:val="65586590"/>
    <w:rsid w:val="65701CA0"/>
    <w:rsid w:val="65A40EB0"/>
    <w:rsid w:val="65A42D3E"/>
    <w:rsid w:val="65A74E21"/>
    <w:rsid w:val="65BD23B8"/>
    <w:rsid w:val="65C06603"/>
    <w:rsid w:val="668533B4"/>
    <w:rsid w:val="66E030EB"/>
    <w:rsid w:val="670912D2"/>
    <w:rsid w:val="670C06CC"/>
    <w:rsid w:val="67406DA3"/>
    <w:rsid w:val="67572C64"/>
    <w:rsid w:val="67C62A04"/>
    <w:rsid w:val="68201F24"/>
    <w:rsid w:val="68303D68"/>
    <w:rsid w:val="683C3F47"/>
    <w:rsid w:val="689B6EBF"/>
    <w:rsid w:val="68A65864"/>
    <w:rsid w:val="68F86230"/>
    <w:rsid w:val="69054339"/>
    <w:rsid w:val="6A070584"/>
    <w:rsid w:val="6A2904FB"/>
    <w:rsid w:val="6A2E2559"/>
    <w:rsid w:val="6A4175F2"/>
    <w:rsid w:val="6B982E39"/>
    <w:rsid w:val="6BB61B32"/>
    <w:rsid w:val="6BEA6F9E"/>
    <w:rsid w:val="6C0905E4"/>
    <w:rsid w:val="6C87065C"/>
    <w:rsid w:val="6CBA151E"/>
    <w:rsid w:val="6CC44F34"/>
    <w:rsid w:val="6CDC0F65"/>
    <w:rsid w:val="6D447383"/>
    <w:rsid w:val="6D45389E"/>
    <w:rsid w:val="6D617FAC"/>
    <w:rsid w:val="6D773F73"/>
    <w:rsid w:val="6D8048D6"/>
    <w:rsid w:val="6D806C9D"/>
    <w:rsid w:val="6D8845E0"/>
    <w:rsid w:val="6F242BE9"/>
    <w:rsid w:val="6F370FC4"/>
    <w:rsid w:val="6F763A18"/>
    <w:rsid w:val="6F9E1043"/>
    <w:rsid w:val="6FF03E60"/>
    <w:rsid w:val="6FFC562B"/>
    <w:rsid w:val="6FFF9462"/>
    <w:rsid w:val="701F6731"/>
    <w:rsid w:val="703E3ADE"/>
    <w:rsid w:val="708A4BE7"/>
    <w:rsid w:val="7091303E"/>
    <w:rsid w:val="70D96BE4"/>
    <w:rsid w:val="719731AA"/>
    <w:rsid w:val="72600832"/>
    <w:rsid w:val="72626453"/>
    <w:rsid w:val="729A188F"/>
    <w:rsid w:val="72FB5001"/>
    <w:rsid w:val="731B25F8"/>
    <w:rsid w:val="732857F3"/>
    <w:rsid w:val="7357017C"/>
    <w:rsid w:val="736138AF"/>
    <w:rsid w:val="73813156"/>
    <w:rsid w:val="73BF31A6"/>
    <w:rsid w:val="742D5082"/>
    <w:rsid w:val="7444344F"/>
    <w:rsid w:val="7475174F"/>
    <w:rsid w:val="74842EFD"/>
    <w:rsid w:val="752217B8"/>
    <w:rsid w:val="75322959"/>
    <w:rsid w:val="75D24C43"/>
    <w:rsid w:val="75D9C1FB"/>
    <w:rsid w:val="767470AF"/>
    <w:rsid w:val="76FD65E3"/>
    <w:rsid w:val="777F385B"/>
    <w:rsid w:val="77B7D072"/>
    <w:rsid w:val="7835413B"/>
    <w:rsid w:val="78643027"/>
    <w:rsid w:val="787B1EF7"/>
    <w:rsid w:val="78FB3A2D"/>
    <w:rsid w:val="78FBE2E9"/>
    <w:rsid w:val="79751067"/>
    <w:rsid w:val="79CF4A40"/>
    <w:rsid w:val="79E10F69"/>
    <w:rsid w:val="79ED83A9"/>
    <w:rsid w:val="79FA49EF"/>
    <w:rsid w:val="7A2111EE"/>
    <w:rsid w:val="7A971BA9"/>
    <w:rsid w:val="7B4406C9"/>
    <w:rsid w:val="7B8F3F36"/>
    <w:rsid w:val="7BC462D5"/>
    <w:rsid w:val="7BE424D4"/>
    <w:rsid w:val="7BE6385A"/>
    <w:rsid w:val="7BEDAB3F"/>
    <w:rsid w:val="7C536688"/>
    <w:rsid w:val="7C773856"/>
    <w:rsid w:val="7CC876FF"/>
    <w:rsid w:val="7CCE07CD"/>
    <w:rsid w:val="7D6F7B12"/>
    <w:rsid w:val="7D9B0C98"/>
    <w:rsid w:val="7DA0340B"/>
    <w:rsid w:val="7DBF3E05"/>
    <w:rsid w:val="7DFE02F7"/>
    <w:rsid w:val="7E066731"/>
    <w:rsid w:val="7E644817"/>
    <w:rsid w:val="7E7A34BE"/>
    <w:rsid w:val="7E8458A8"/>
    <w:rsid w:val="7EB87A63"/>
    <w:rsid w:val="7ECB2820"/>
    <w:rsid w:val="7F2802D8"/>
    <w:rsid w:val="7F6530A9"/>
    <w:rsid w:val="7F6F6FA7"/>
    <w:rsid w:val="7FB50F02"/>
    <w:rsid w:val="7FB73BE7"/>
    <w:rsid w:val="7FCA0496"/>
    <w:rsid w:val="7FE722DE"/>
    <w:rsid w:val="7FFAE390"/>
    <w:rsid w:val="7FFDCA44"/>
    <w:rsid w:val="7FFF7199"/>
    <w:rsid w:val="8EEEE644"/>
    <w:rsid w:val="9DFE7EA4"/>
    <w:rsid w:val="B7CE34E3"/>
    <w:rsid w:val="BBEFBB2E"/>
    <w:rsid w:val="BD68E148"/>
    <w:rsid w:val="BFABC73B"/>
    <w:rsid w:val="BFBD0CF5"/>
    <w:rsid w:val="CB7B2F97"/>
    <w:rsid w:val="CBB7A07C"/>
    <w:rsid w:val="CFFC5471"/>
    <w:rsid w:val="E34D1BFE"/>
    <w:rsid w:val="EBEBA934"/>
    <w:rsid w:val="EFBFA2F6"/>
    <w:rsid w:val="F8BBC25D"/>
    <w:rsid w:val="FA6F2BB0"/>
    <w:rsid w:val="FD1F67E4"/>
    <w:rsid w:val="FD3651C9"/>
    <w:rsid w:val="FDFB5E4E"/>
    <w:rsid w:val="FE3E1195"/>
    <w:rsid w:val="FF4FCBD6"/>
    <w:rsid w:val="FFDAD0F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0" w:name="heading 3"/>
    <w:lsdException w:qFormat="1" w:uiPriority="0" w:name="heading 4"/>
    <w:lsdException w:qFormat="1" w:unhideWhenUsed="0" w:uiPriority="9" w:semiHidden="0" w:name="heading 5"/>
    <w:lsdException w:qFormat="1" w:unhideWhenUsed="0" w:uiPriority="0" w:semiHidden="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qFormat="1" w:uiPriority="39"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iPriority="99" w:semiHidden="0" w:name="header"/>
    <w:lsdException w:qFormat="1" w:uiPriority="99"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qFormat="1" w:uiPriority="99"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qFormat="1" w:uiPriority="99"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2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iPriority="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9"/>
    <w:pPr>
      <w:keepNext/>
      <w:keepLines/>
      <w:spacing w:before="340" w:after="330" w:line="578" w:lineRule="auto"/>
      <w:outlineLvl w:val="0"/>
    </w:pPr>
    <w:rPr>
      <w:b/>
      <w:bCs/>
      <w:kern w:val="44"/>
      <w:sz w:val="44"/>
      <w:szCs w:val="44"/>
    </w:rPr>
  </w:style>
  <w:style w:type="paragraph" w:styleId="3">
    <w:name w:val="heading 2"/>
    <w:basedOn w:val="1"/>
    <w:next w:val="1"/>
    <w:qFormat/>
    <w:uiPriority w:val="0"/>
    <w:pPr>
      <w:keepNext/>
      <w:keepLines/>
      <w:spacing w:before="260" w:after="260" w:line="416" w:lineRule="auto"/>
      <w:jc w:val="center"/>
      <w:outlineLvl w:val="1"/>
    </w:pPr>
    <w:rPr>
      <w:rFonts w:ascii="黑体" w:hAnsi="宋体" w:eastAsia="黑体"/>
      <w:b/>
      <w:bCs/>
      <w:sz w:val="36"/>
      <w:szCs w:val="32"/>
    </w:rPr>
  </w:style>
  <w:style w:type="paragraph" w:styleId="4">
    <w:name w:val="heading 5"/>
    <w:basedOn w:val="1"/>
    <w:next w:val="5"/>
    <w:qFormat/>
    <w:uiPriority w:val="9"/>
    <w:pPr>
      <w:keepNext/>
      <w:keepLines/>
      <w:spacing w:before="280" w:after="290" w:line="376" w:lineRule="auto"/>
      <w:outlineLvl w:val="4"/>
    </w:pPr>
    <w:rPr>
      <w:b/>
      <w:bCs/>
      <w:sz w:val="28"/>
      <w:szCs w:val="28"/>
    </w:rPr>
  </w:style>
  <w:style w:type="paragraph" w:styleId="6">
    <w:name w:val="heading 6"/>
    <w:basedOn w:val="1"/>
    <w:next w:val="1"/>
    <w:qFormat/>
    <w:uiPriority w:val="0"/>
    <w:pPr>
      <w:keepNext/>
      <w:keepLines/>
      <w:spacing w:line="360" w:lineRule="auto"/>
      <w:outlineLvl w:val="5"/>
    </w:pPr>
    <w:rPr>
      <w:b/>
      <w:bCs/>
      <w:szCs w:val="32"/>
    </w:rPr>
  </w:style>
  <w:style w:type="character" w:default="1" w:styleId="27">
    <w:name w:val="Default Paragraph Font"/>
    <w:semiHidden/>
    <w:unhideWhenUsed/>
    <w:qFormat/>
    <w:uiPriority w:val="1"/>
  </w:style>
  <w:style w:type="table" w:default="1" w:styleId="25">
    <w:name w:val="Normal Table"/>
    <w:semiHidden/>
    <w:unhideWhenUsed/>
    <w:qFormat/>
    <w:uiPriority w:val="99"/>
    <w:tblPr>
      <w:tblCellMar>
        <w:top w:w="0" w:type="dxa"/>
        <w:left w:w="108" w:type="dxa"/>
        <w:bottom w:w="0" w:type="dxa"/>
        <w:right w:w="108" w:type="dxa"/>
      </w:tblCellMar>
    </w:tblPr>
  </w:style>
  <w:style w:type="paragraph" w:styleId="5">
    <w:name w:val="Normal Indent"/>
    <w:basedOn w:val="1"/>
    <w:qFormat/>
    <w:uiPriority w:val="0"/>
    <w:pPr>
      <w:ind w:firstLine="420"/>
    </w:pPr>
    <w:rPr>
      <w:szCs w:val="20"/>
    </w:rPr>
  </w:style>
  <w:style w:type="paragraph" w:styleId="7">
    <w:name w:val="caption"/>
    <w:basedOn w:val="1"/>
    <w:next w:val="1"/>
    <w:qFormat/>
    <w:uiPriority w:val="0"/>
    <w:pPr>
      <w:spacing w:before="152" w:after="160"/>
    </w:pPr>
    <w:rPr>
      <w:rFonts w:ascii="Arial" w:hAnsi="Arial" w:eastAsia="黑体" w:cs="Arial"/>
      <w:sz w:val="20"/>
      <w:szCs w:val="20"/>
    </w:rPr>
  </w:style>
  <w:style w:type="paragraph" w:styleId="8">
    <w:name w:val="annotation text"/>
    <w:basedOn w:val="1"/>
    <w:link w:val="32"/>
    <w:qFormat/>
    <w:uiPriority w:val="0"/>
    <w:pPr>
      <w:jc w:val="left"/>
    </w:pPr>
  </w:style>
  <w:style w:type="paragraph" w:styleId="9">
    <w:name w:val="Body Text 3"/>
    <w:basedOn w:val="1"/>
    <w:unhideWhenUsed/>
    <w:qFormat/>
    <w:uiPriority w:val="99"/>
    <w:pPr>
      <w:spacing w:after="120"/>
    </w:pPr>
    <w:rPr>
      <w:sz w:val="16"/>
      <w:szCs w:val="16"/>
    </w:rPr>
  </w:style>
  <w:style w:type="paragraph" w:styleId="10">
    <w:name w:val="Body Text"/>
    <w:basedOn w:val="1"/>
    <w:next w:val="11"/>
    <w:unhideWhenUsed/>
    <w:qFormat/>
    <w:uiPriority w:val="0"/>
    <w:pPr>
      <w:spacing w:after="120"/>
    </w:pPr>
  </w:style>
  <w:style w:type="paragraph" w:customStyle="1" w:styleId="11">
    <w:name w:val="默认段落"/>
    <w:basedOn w:val="1"/>
    <w:qFormat/>
    <w:uiPriority w:val="0"/>
    <w:rPr>
      <w:rFonts w:ascii="Calibri" w:hAnsi="Calibri"/>
    </w:rPr>
  </w:style>
  <w:style w:type="paragraph" w:styleId="12">
    <w:name w:val="Body Text Indent"/>
    <w:basedOn w:val="1"/>
    <w:next w:val="1"/>
    <w:qFormat/>
    <w:uiPriority w:val="0"/>
    <w:pPr>
      <w:ind w:firstLine="830" w:firstLineChars="352"/>
    </w:pPr>
    <w:rPr>
      <w:rFonts w:ascii="仿宋_GB2312" w:eastAsia="仿宋_GB2312"/>
      <w:kern w:val="0"/>
      <w:sz w:val="32"/>
      <w:szCs w:val="20"/>
    </w:rPr>
  </w:style>
  <w:style w:type="paragraph" w:styleId="13">
    <w:name w:val="List 2"/>
    <w:basedOn w:val="1"/>
    <w:unhideWhenUsed/>
    <w:qFormat/>
    <w:uiPriority w:val="99"/>
    <w:pPr>
      <w:ind w:left="100" w:leftChars="200" w:hanging="200" w:hangingChars="200"/>
      <w:contextualSpacing/>
    </w:pPr>
  </w:style>
  <w:style w:type="paragraph" w:styleId="14">
    <w:name w:val="toc 3"/>
    <w:basedOn w:val="1"/>
    <w:next w:val="1"/>
    <w:qFormat/>
    <w:uiPriority w:val="0"/>
    <w:pPr>
      <w:ind w:left="840" w:leftChars="400"/>
    </w:pPr>
  </w:style>
  <w:style w:type="paragraph" w:styleId="15">
    <w:name w:val="Plain Text"/>
    <w:basedOn w:val="1"/>
    <w:next w:val="1"/>
    <w:qFormat/>
    <w:uiPriority w:val="0"/>
    <w:rPr>
      <w:rFonts w:ascii="宋体" w:hAnsi="Courier New"/>
      <w:kern w:val="0"/>
      <w:sz w:val="20"/>
      <w:szCs w:val="21"/>
    </w:rPr>
  </w:style>
  <w:style w:type="paragraph" w:styleId="16">
    <w:name w:val="Balloon Text"/>
    <w:basedOn w:val="1"/>
    <w:link w:val="41"/>
    <w:qFormat/>
    <w:uiPriority w:val="0"/>
    <w:rPr>
      <w:sz w:val="18"/>
      <w:szCs w:val="18"/>
    </w:rPr>
  </w:style>
  <w:style w:type="paragraph" w:styleId="17">
    <w:name w:val="footer"/>
    <w:basedOn w:val="1"/>
    <w:unhideWhenUsed/>
    <w:qFormat/>
    <w:uiPriority w:val="99"/>
    <w:pPr>
      <w:tabs>
        <w:tab w:val="center" w:pos="4153"/>
        <w:tab w:val="right" w:pos="8306"/>
      </w:tabs>
      <w:snapToGrid w:val="0"/>
      <w:jc w:val="left"/>
    </w:pPr>
    <w:rPr>
      <w:kern w:val="0"/>
      <w:sz w:val="18"/>
      <w:szCs w:val="18"/>
    </w:rPr>
  </w:style>
  <w:style w:type="paragraph" w:styleId="18">
    <w:name w:val="header"/>
    <w:basedOn w:val="1"/>
    <w:unhideWhenUsed/>
    <w:qFormat/>
    <w:uiPriority w:val="99"/>
    <w:pPr>
      <w:pBdr>
        <w:bottom w:val="single" w:color="auto" w:sz="6" w:space="1"/>
      </w:pBdr>
      <w:tabs>
        <w:tab w:val="center" w:pos="4153"/>
        <w:tab w:val="right" w:pos="8306"/>
      </w:tabs>
      <w:snapToGrid w:val="0"/>
      <w:jc w:val="center"/>
    </w:pPr>
    <w:rPr>
      <w:kern w:val="0"/>
      <w:sz w:val="18"/>
      <w:szCs w:val="18"/>
    </w:rPr>
  </w:style>
  <w:style w:type="paragraph" w:styleId="19">
    <w:name w:val="toc 1"/>
    <w:basedOn w:val="1"/>
    <w:next w:val="1"/>
    <w:unhideWhenUsed/>
    <w:qFormat/>
    <w:uiPriority w:val="39"/>
  </w:style>
  <w:style w:type="paragraph" w:styleId="20">
    <w:name w:val="List"/>
    <w:basedOn w:val="1"/>
    <w:qFormat/>
    <w:uiPriority w:val="0"/>
    <w:pPr>
      <w:ind w:left="200" w:hanging="200" w:hangingChars="200"/>
    </w:pPr>
    <w:rPr>
      <w:sz w:val="28"/>
    </w:rPr>
  </w:style>
  <w:style w:type="paragraph" w:styleId="21">
    <w:name w:val="toc 2"/>
    <w:basedOn w:val="1"/>
    <w:next w:val="1"/>
    <w:unhideWhenUsed/>
    <w:qFormat/>
    <w:uiPriority w:val="39"/>
    <w:pPr>
      <w:tabs>
        <w:tab w:val="right" w:leader="dot" w:pos="8296"/>
      </w:tabs>
      <w:ind w:left="420" w:leftChars="200"/>
    </w:pPr>
  </w:style>
  <w:style w:type="paragraph" w:styleId="22">
    <w:name w:val="Message Header"/>
    <w:basedOn w:val="1"/>
    <w:next w:val="10"/>
    <w:qFormat/>
    <w:uiPriority w:val="0"/>
    <w:pPr>
      <w:pBdr>
        <w:top w:val="none" w:color="auto" w:sz="0" w:space="1"/>
        <w:left w:val="none" w:color="auto" w:sz="0" w:space="1"/>
        <w:bottom w:val="none" w:color="auto" w:sz="0" w:space="1"/>
        <w:right w:val="none" w:color="auto" w:sz="0" w:space="1"/>
      </w:pBdr>
      <w:shd w:val="pct20" w:color="auto" w:fill="auto"/>
      <w:kinsoku w:val="0"/>
      <w:overflowPunct w:val="0"/>
      <w:spacing w:line="360" w:lineRule="auto"/>
    </w:pPr>
    <w:rPr>
      <w:rFonts w:ascii="Arial" w:hAnsi="Arial"/>
      <w:sz w:val="28"/>
    </w:rPr>
  </w:style>
  <w:style w:type="paragraph" w:styleId="23">
    <w:name w:val="annotation subject"/>
    <w:basedOn w:val="8"/>
    <w:next w:val="8"/>
    <w:link w:val="33"/>
    <w:qFormat/>
    <w:uiPriority w:val="0"/>
    <w:rPr>
      <w:b/>
      <w:bCs/>
    </w:rPr>
  </w:style>
  <w:style w:type="paragraph" w:styleId="24">
    <w:name w:val="Body Text First Indent 2"/>
    <w:basedOn w:val="12"/>
    <w:next w:val="1"/>
    <w:qFormat/>
    <w:uiPriority w:val="0"/>
    <w:pPr>
      <w:tabs>
        <w:tab w:val="left" w:pos="0"/>
        <w:tab w:val="left" w:pos="420"/>
      </w:tabs>
      <w:wordWrap w:val="0"/>
      <w:topLinePunct/>
      <w:spacing w:line="360" w:lineRule="auto"/>
      <w:ind w:firstLine="480" w:firstLineChars="200"/>
    </w:pPr>
    <w:rPr>
      <w:rFonts w:ascii="幼圆" w:eastAsia="幼圆"/>
      <w:bCs/>
      <w:color w:val="000000"/>
      <w:spacing w:val="20"/>
      <w:sz w:val="24"/>
      <w:szCs w:val="24"/>
    </w:rPr>
  </w:style>
  <w:style w:type="table" w:styleId="26">
    <w:name w:val="Table Grid"/>
    <w:basedOn w:val="25"/>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8">
    <w:name w:val="page number"/>
    <w:qFormat/>
    <w:uiPriority w:val="0"/>
  </w:style>
  <w:style w:type="character" w:styleId="29">
    <w:name w:val="Emphasis"/>
    <w:basedOn w:val="27"/>
    <w:qFormat/>
    <w:uiPriority w:val="20"/>
    <w:rPr>
      <w:i/>
      <w:iCs/>
    </w:rPr>
  </w:style>
  <w:style w:type="character" w:styleId="30">
    <w:name w:val="annotation reference"/>
    <w:qFormat/>
    <w:uiPriority w:val="0"/>
    <w:rPr>
      <w:sz w:val="21"/>
      <w:szCs w:val="21"/>
    </w:rPr>
  </w:style>
  <w:style w:type="paragraph" w:customStyle="1" w:styleId="31">
    <w:name w:val="Body Text First Indent1"/>
    <w:basedOn w:val="17"/>
    <w:qFormat/>
    <w:uiPriority w:val="0"/>
    <w:pPr>
      <w:spacing w:line="360" w:lineRule="auto"/>
      <w:ind w:firstLine="420" w:firstLineChars="100"/>
    </w:pPr>
  </w:style>
  <w:style w:type="character" w:customStyle="1" w:styleId="32">
    <w:name w:val="批注文字 Char"/>
    <w:link w:val="8"/>
    <w:qFormat/>
    <w:uiPriority w:val="0"/>
    <w:rPr>
      <w:kern w:val="2"/>
      <w:sz w:val="21"/>
      <w:szCs w:val="24"/>
    </w:rPr>
  </w:style>
  <w:style w:type="character" w:customStyle="1" w:styleId="33">
    <w:name w:val="批注主题 Char"/>
    <w:link w:val="23"/>
    <w:qFormat/>
    <w:uiPriority w:val="0"/>
    <w:rPr>
      <w:b/>
      <w:bCs/>
      <w:kern w:val="2"/>
      <w:sz w:val="21"/>
      <w:szCs w:val="24"/>
    </w:rPr>
  </w:style>
  <w:style w:type="paragraph" w:customStyle="1" w:styleId="34">
    <w:name w:val="表格文字"/>
    <w:basedOn w:val="1"/>
    <w:next w:val="10"/>
    <w:qFormat/>
    <w:uiPriority w:val="0"/>
    <w:pPr>
      <w:spacing w:before="25" w:after="25"/>
      <w:jc w:val="left"/>
    </w:pPr>
    <w:rPr>
      <w:bCs/>
      <w:spacing w:val="10"/>
      <w:kern w:val="0"/>
      <w:sz w:val="24"/>
      <w:szCs w:val="20"/>
    </w:rPr>
  </w:style>
  <w:style w:type="paragraph" w:customStyle="1" w:styleId="35">
    <w:name w:val="Default"/>
    <w:qFormat/>
    <w:uiPriority w:val="0"/>
    <w:pPr>
      <w:widowControl w:val="0"/>
      <w:autoSpaceDE w:val="0"/>
      <w:autoSpaceDN w:val="0"/>
      <w:adjustRightInd w:val="0"/>
    </w:pPr>
    <w:rPr>
      <w:rFonts w:hint="eastAsia" w:ascii="方正小标宋简体" w:hAnsi="方正小标宋简体" w:eastAsia="方正小标宋简体" w:cs="Times New Roman"/>
      <w:color w:val="000000"/>
      <w:sz w:val="24"/>
      <w:szCs w:val="22"/>
      <w:lang w:val="en-US" w:eastAsia="zh-CN" w:bidi="ar-SA"/>
    </w:rPr>
  </w:style>
  <w:style w:type="paragraph" w:customStyle="1" w:styleId="36">
    <w:name w:val="题目"/>
    <w:basedOn w:val="1"/>
    <w:qFormat/>
    <w:uiPriority w:val="0"/>
    <w:pPr>
      <w:spacing w:beforeLines="200" w:afterLines="100"/>
      <w:jc w:val="center"/>
    </w:pPr>
    <w:rPr>
      <w:rFonts w:ascii="黑体" w:eastAsia="黑体"/>
      <w:color w:val="C00000"/>
      <w:sz w:val="28"/>
      <w:szCs w:val="28"/>
    </w:rPr>
  </w:style>
  <w:style w:type="paragraph" w:styleId="37">
    <w:name w:val="List Paragraph"/>
    <w:basedOn w:val="1"/>
    <w:qFormat/>
    <w:uiPriority w:val="99"/>
    <w:pPr>
      <w:ind w:firstLine="420" w:firstLineChars="200"/>
    </w:pPr>
    <w:rPr>
      <w:snapToGrid w:val="0"/>
      <w:kern w:val="0"/>
    </w:rPr>
  </w:style>
  <w:style w:type="character" w:customStyle="1" w:styleId="38">
    <w:name w:val="font11"/>
    <w:qFormat/>
    <w:uiPriority w:val="0"/>
    <w:rPr>
      <w:rFonts w:hint="eastAsia" w:ascii="微软雅黑" w:hAnsi="微软雅黑" w:eastAsia="微软雅黑" w:cs="微软雅黑"/>
      <w:color w:val="000000"/>
      <w:sz w:val="20"/>
      <w:szCs w:val="20"/>
      <w:u w:val="none"/>
    </w:rPr>
  </w:style>
  <w:style w:type="paragraph" w:customStyle="1" w:styleId="39">
    <w:name w:val="修订1"/>
    <w:unhideWhenUsed/>
    <w:qFormat/>
    <w:uiPriority w:val="99"/>
    <w:rPr>
      <w:rFonts w:ascii="Times New Roman" w:hAnsi="Times New Roman" w:eastAsia="宋体" w:cs="Times New Roman"/>
      <w:kern w:val="2"/>
      <w:sz w:val="21"/>
      <w:szCs w:val="24"/>
      <w:lang w:val="en-US" w:eastAsia="zh-CN" w:bidi="ar-SA"/>
    </w:rPr>
  </w:style>
  <w:style w:type="paragraph" w:customStyle="1" w:styleId="40">
    <w:name w:val="正文中"/>
    <w:basedOn w:val="1"/>
    <w:next w:val="1"/>
    <w:qFormat/>
    <w:uiPriority w:val="0"/>
    <w:pPr>
      <w:spacing w:line="440" w:lineRule="exact"/>
      <w:jc w:val="center"/>
    </w:pPr>
    <w:rPr>
      <w:rFonts w:ascii="仿宋_GB2312" w:hAnsi="宋体" w:eastAsia="仿宋_GB2312"/>
      <w:sz w:val="28"/>
    </w:rPr>
  </w:style>
  <w:style w:type="character" w:customStyle="1" w:styleId="41">
    <w:name w:val="批注框文本 Char"/>
    <w:basedOn w:val="27"/>
    <w:link w:val="16"/>
    <w:qFormat/>
    <w:uiPriority w:val="0"/>
    <w:rPr>
      <w:kern w:val="2"/>
      <w:sz w:val="18"/>
      <w:szCs w:val="18"/>
    </w:rPr>
  </w:style>
  <w:style w:type="paragraph" w:customStyle="1" w:styleId="42">
    <w:name w:val="修订2"/>
    <w:hidden/>
    <w:semiHidden/>
    <w:qFormat/>
    <w:uiPriority w:val="99"/>
    <w:rPr>
      <w:rFonts w:ascii="Times New Roman" w:hAnsi="Times New Roman" w:eastAsia="宋体" w:cs="Times New Roman"/>
      <w:kern w:val="2"/>
      <w:sz w:val="21"/>
      <w:szCs w:val="24"/>
      <w:lang w:val="en-US" w:eastAsia="zh-CN" w:bidi="ar-SA"/>
    </w:rPr>
  </w:style>
  <w:style w:type="paragraph" w:customStyle="1" w:styleId="43">
    <w:name w:val="修订3"/>
    <w:hidden/>
    <w:unhideWhenUsed/>
    <w:qFormat/>
    <w:uiPriority w:val="99"/>
    <w:rPr>
      <w:rFonts w:ascii="Times New Roman" w:hAnsi="Times New Roman" w:eastAsia="宋体" w:cs="Times New Roman"/>
      <w:kern w:val="2"/>
      <w:sz w:val="21"/>
      <w:szCs w:val="24"/>
      <w:lang w:val="en-US" w:eastAsia="zh-CN" w:bidi="ar-SA"/>
    </w:rPr>
  </w:style>
  <w:style w:type="paragraph" w:customStyle="1" w:styleId="44">
    <w:name w:val="Normal_8"/>
    <w:qFormat/>
    <w:uiPriority w:val="0"/>
    <w:pPr>
      <w:widowControl w:val="0"/>
      <w:jc w:val="both"/>
    </w:pPr>
    <w:rPr>
      <w:rFonts w:ascii="Calibri" w:hAnsi="Calibri" w:eastAsia="宋体" w:cs="Times New Roman"/>
      <w:kern w:val="2"/>
      <w:sz w:val="21"/>
      <w:szCs w:val="22"/>
      <w:lang w:val="en-US" w:eastAsia="zh-CN" w:bidi="ar-SA"/>
    </w:rPr>
  </w:style>
  <w:style w:type="paragraph" w:customStyle="1" w:styleId="45">
    <w:name w:val="正文_0"/>
    <w:next w:val="10"/>
    <w:qFormat/>
    <w:uiPriority w:val="0"/>
    <w:pPr>
      <w:widowControl w:val="0"/>
      <w:jc w:val="both"/>
    </w:pPr>
    <w:rPr>
      <w:rFonts w:ascii="Calibri" w:hAnsi="Calibri"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header" Target="head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1.xml"/><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40</Pages>
  <Words>12125</Words>
  <Characters>12394</Characters>
  <Lines>150</Lines>
  <Paragraphs>42</Paragraphs>
  <TotalTime>0</TotalTime>
  <ScaleCrop>false</ScaleCrop>
  <LinksUpToDate>false</LinksUpToDate>
  <CharactersWithSpaces>13443</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2025-08-21T02:13:00Z</dcterms:created>
  <dc:creator>sugeke2</dc:creator>
  <cp:lastModifiedBy>sugeke2</cp:lastModifiedBy>
  <cp:lastPrinted>2024-01-19T02:33:00Z</cp:lastPrinted>
  <dcterms:modified xsi:type="dcterms:W3CDTF">2026-08-24T08:46:25Z</dcterms:modified>
  <cp:revision>33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B82D3B8B1D574F71B59523EC167BC69D_13</vt:lpwstr>
  </property>
  <property fmtid="{D5CDD505-2E9C-101B-9397-08002B2CF9AE}" pid="4" name="KSOTemplateDocerSaveRecord">
    <vt:lpwstr>eyJoZGlkIjoiNjViYWI4NDcyOGM2YTM0N2YzMDM3MzYxZjhiYzJiYzgiLCJ1c2VySWQiOiIyMTU1NjE4NDUifQ==</vt:lpwstr>
  </property>
</Properties>
</file>