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E8A433">
      <w:pPr>
        <w:rPr>
          <w:color w:val="auto"/>
          <w:highlight w:val="none"/>
        </w:rPr>
      </w:pPr>
    </w:p>
    <w:p w14:paraId="1F0619C3">
      <w:pPr>
        <w:adjustRightInd w:val="0"/>
        <w:snapToGrid w:val="0"/>
        <w:spacing w:before="156" w:beforeLines="50"/>
        <w:jc w:val="center"/>
        <w:rPr>
          <w:rFonts w:hint="eastAsia" w:ascii="宋体" w:hAnsi="宋体" w:cs="宋体"/>
          <w:b/>
          <w:bCs/>
          <w:color w:val="auto"/>
          <w:sz w:val="32"/>
          <w:szCs w:val="32"/>
          <w:highlight w:val="none"/>
        </w:rPr>
      </w:pPr>
    </w:p>
    <w:p w14:paraId="36AE9468">
      <w:pPr>
        <w:snapToGrid w:val="0"/>
        <w:spacing w:before="156" w:beforeLines="50" w:line="360" w:lineRule="auto"/>
        <w:jc w:val="center"/>
        <w:rPr>
          <w:rFonts w:hint="eastAsia" w:ascii="宋体" w:hAnsi="宋体" w:eastAsia="宋体" w:cs="宋体"/>
          <w:b/>
          <w:bCs/>
          <w:color w:val="auto"/>
          <w:sz w:val="36"/>
          <w:szCs w:val="36"/>
          <w:highlight w:val="none"/>
          <w:lang w:eastAsia="zh-CN"/>
        </w:rPr>
      </w:pPr>
      <w:r>
        <w:rPr>
          <w:rFonts w:hint="eastAsia" w:ascii="宋体" w:hAnsi="宋体" w:cs="宋体"/>
          <w:b/>
          <w:bCs/>
          <w:color w:val="auto"/>
          <w:sz w:val="36"/>
          <w:szCs w:val="36"/>
          <w:highlight w:val="none"/>
          <w:lang w:eastAsia="zh-CN"/>
        </w:rPr>
        <w:t>红水河（桥巩至宾港作业区）航道提升工程</w:t>
      </w:r>
    </w:p>
    <w:p w14:paraId="5A96AC45">
      <w:pPr>
        <w:snapToGrid w:val="0"/>
        <w:spacing w:before="156" w:beforeLines="50" w:line="360" w:lineRule="auto"/>
        <w:jc w:val="center"/>
        <w:rPr>
          <w:rFonts w:hint="eastAsia" w:ascii="黑体" w:hAnsi="黑体" w:eastAsia="宋体" w:cs="黑体"/>
          <w:color w:val="auto"/>
          <w:sz w:val="72"/>
          <w:szCs w:val="72"/>
          <w:highlight w:val="none"/>
          <w:lang w:eastAsia="zh-CN"/>
        </w:rPr>
      </w:pPr>
      <w:r>
        <w:rPr>
          <w:rFonts w:hint="eastAsia" w:ascii="宋体" w:hAnsi="宋体" w:cs="宋体"/>
          <w:b/>
          <w:bCs/>
          <w:color w:val="auto"/>
          <w:sz w:val="36"/>
          <w:szCs w:val="36"/>
          <w:highlight w:val="none"/>
          <w:lang w:eastAsia="zh-CN"/>
        </w:rPr>
        <w:t>水生生态环境现状调查与评价服务</w:t>
      </w:r>
    </w:p>
    <w:p w14:paraId="4D4EA5EE">
      <w:pPr>
        <w:snapToGrid w:val="0"/>
        <w:spacing w:before="156" w:beforeLines="50" w:line="360" w:lineRule="auto"/>
        <w:jc w:val="center"/>
        <w:rPr>
          <w:rFonts w:ascii="黑体" w:hAnsi="黑体" w:eastAsia="黑体" w:cs="黑体"/>
          <w:color w:val="auto"/>
          <w:sz w:val="72"/>
          <w:szCs w:val="72"/>
          <w:highlight w:val="none"/>
        </w:rPr>
      </w:pPr>
    </w:p>
    <w:p w14:paraId="289D5190">
      <w:pPr>
        <w:snapToGrid w:val="0"/>
        <w:spacing w:before="156" w:beforeLines="50" w:line="360" w:lineRule="auto"/>
        <w:jc w:val="center"/>
        <w:rPr>
          <w:rFonts w:ascii="黑体" w:hAnsi="黑体" w:eastAsia="黑体" w:cs="黑体"/>
          <w:color w:val="auto"/>
          <w:sz w:val="72"/>
          <w:szCs w:val="72"/>
          <w:highlight w:val="none"/>
        </w:rPr>
      </w:pPr>
      <w:r>
        <w:rPr>
          <w:rFonts w:hint="eastAsia" w:ascii="黑体" w:hAnsi="黑体" w:eastAsia="黑体" w:cs="黑体"/>
          <w:color w:val="auto"/>
          <w:sz w:val="72"/>
          <w:szCs w:val="72"/>
          <w:highlight w:val="none"/>
        </w:rPr>
        <w:t>采购方案</w:t>
      </w:r>
    </w:p>
    <w:p w14:paraId="53AB89DE">
      <w:pPr>
        <w:snapToGrid w:val="0"/>
        <w:spacing w:before="156" w:beforeLines="50" w:line="360" w:lineRule="auto"/>
        <w:jc w:val="center"/>
        <w:rPr>
          <w:rFonts w:ascii="黑体" w:hAnsi="黑体" w:eastAsia="黑体" w:cs="黑体"/>
          <w:color w:val="auto"/>
          <w:sz w:val="72"/>
          <w:szCs w:val="72"/>
          <w:highlight w:val="none"/>
        </w:rPr>
      </w:pPr>
    </w:p>
    <w:p w14:paraId="0D03CC46">
      <w:pPr>
        <w:spacing w:line="360" w:lineRule="auto"/>
        <w:jc w:val="center"/>
        <w:rPr>
          <w:rFonts w:ascii="宋体" w:hAnsi="宋体"/>
          <w:b/>
          <w:color w:val="auto"/>
          <w:sz w:val="32"/>
          <w:szCs w:val="32"/>
          <w:highlight w:val="none"/>
        </w:rPr>
      </w:pPr>
    </w:p>
    <w:p w14:paraId="2DD41416">
      <w:pPr>
        <w:spacing w:line="480" w:lineRule="auto"/>
        <w:jc w:val="center"/>
        <w:rPr>
          <w:rFonts w:ascii="宋体" w:hAnsi="宋体"/>
          <w:b/>
          <w:color w:val="auto"/>
          <w:sz w:val="32"/>
          <w:szCs w:val="32"/>
          <w:highlight w:val="none"/>
        </w:rPr>
      </w:pPr>
    </w:p>
    <w:p w14:paraId="3827504A">
      <w:pPr>
        <w:pStyle w:val="34"/>
        <w:rPr>
          <w:rFonts w:ascii="宋体" w:hAnsi="宋体"/>
          <w:b/>
          <w:color w:val="auto"/>
          <w:sz w:val="32"/>
          <w:szCs w:val="32"/>
          <w:highlight w:val="none"/>
        </w:rPr>
      </w:pPr>
    </w:p>
    <w:p w14:paraId="356C16B1">
      <w:pPr>
        <w:spacing w:line="480" w:lineRule="auto"/>
        <w:ind w:firstLine="1285" w:firstLineChars="400"/>
        <w:rPr>
          <w:rFonts w:ascii="仿宋_GB2312" w:hAnsi="宋体" w:eastAsia="仿宋_GB2312"/>
          <w:b/>
          <w:color w:val="auto"/>
          <w:sz w:val="32"/>
          <w:szCs w:val="32"/>
          <w:highlight w:val="none"/>
        </w:rPr>
      </w:pPr>
    </w:p>
    <w:p w14:paraId="148A3539">
      <w:pPr>
        <w:spacing w:line="480" w:lineRule="auto"/>
        <w:ind w:firstLine="1285" w:firstLineChars="400"/>
        <w:rPr>
          <w:rFonts w:ascii="仿宋_GB2312" w:hAnsi="宋体" w:eastAsia="仿宋_GB2312"/>
          <w:b/>
          <w:color w:val="auto"/>
          <w:sz w:val="32"/>
          <w:szCs w:val="32"/>
          <w:highlight w:val="none"/>
        </w:rPr>
      </w:pPr>
    </w:p>
    <w:p w14:paraId="6537B3F7">
      <w:pPr>
        <w:spacing w:line="480" w:lineRule="auto"/>
        <w:ind w:firstLine="1285" w:firstLineChars="400"/>
        <w:rPr>
          <w:rFonts w:ascii="仿宋_GB2312" w:hAnsi="宋体" w:eastAsia="仿宋_GB2312"/>
          <w:b/>
          <w:color w:val="auto"/>
          <w:sz w:val="32"/>
          <w:szCs w:val="32"/>
          <w:highlight w:val="none"/>
        </w:rPr>
      </w:pPr>
    </w:p>
    <w:p w14:paraId="6DDB2092">
      <w:pPr>
        <w:spacing w:line="480" w:lineRule="auto"/>
        <w:ind w:firstLine="1285" w:firstLineChars="400"/>
        <w:rPr>
          <w:rFonts w:ascii="仿宋_GB2312" w:hAnsi="宋体" w:eastAsia="仿宋_GB2312"/>
          <w:b/>
          <w:color w:val="auto"/>
          <w:sz w:val="32"/>
          <w:szCs w:val="32"/>
          <w:highlight w:val="none"/>
        </w:rPr>
      </w:pPr>
    </w:p>
    <w:p w14:paraId="4C0F2C09">
      <w:pPr>
        <w:spacing w:line="360" w:lineRule="auto"/>
        <w:jc w:val="center"/>
        <w:rPr>
          <w:rFonts w:hint="eastAsia" w:ascii="宋体" w:hAnsi="宋体" w:eastAsia="宋体" w:cs="宋体"/>
          <w:b/>
          <w:color w:val="auto"/>
          <w:sz w:val="32"/>
          <w:szCs w:val="32"/>
          <w:highlight w:val="none"/>
          <w:lang w:eastAsia="zh-CN"/>
        </w:rPr>
      </w:pPr>
      <w:r>
        <w:rPr>
          <w:rFonts w:hint="eastAsia" w:ascii="宋体" w:hAnsi="宋体" w:cs="宋体"/>
          <w:b/>
          <w:color w:val="auto"/>
          <w:sz w:val="32"/>
          <w:szCs w:val="32"/>
          <w:highlight w:val="none"/>
        </w:rPr>
        <w:t>采购人：</w:t>
      </w:r>
      <w:bookmarkStart w:id="0" w:name="OLE_LINK2"/>
      <w:r>
        <w:rPr>
          <w:rFonts w:hint="eastAsia" w:ascii="宋体" w:hAnsi="宋体" w:cs="宋体"/>
          <w:b/>
          <w:color w:val="auto"/>
          <w:sz w:val="32"/>
          <w:szCs w:val="32"/>
          <w:highlight w:val="none"/>
          <w:lang w:eastAsia="zh-CN"/>
        </w:rPr>
        <w:t>广西壮族自治区水运发展中心</w:t>
      </w:r>
    </w:p>
    <w:bookmarkEnd w:id="0"/>
    <w:p w14:paraId="5C44BAE5">
      <w:pPr>
        <w:spacing w:line="360" w:lineRule="auto"/>
        <w:jc w:val="center"/>
        <w:rPr>
          <w:rFonts w:ascii="宋体" w:hAnsi="宋体" w:cs="宋体"/>
          <w:b/>
          <w:color w:val="auto"/>
          <w:sz w:val="32"/>
          <w:szCs w:val="32"/>
          <w:highlight w:val="none"/>
        </w:rPr>
      </w:pPr>
      <w:r>
        <w:rPr>
          <w:rFonts w:hint="eastAsia" w:ascii="宋体" w:hAnsi="宋体" w:cs="宋体"/>
          <w:b/>
          <w:bCs/>
          <w:color w:val="auto"/>
          <w:w w:val="95"/>
          <w:sz w:val="32"/>
          <w:szCs w:val="32"/>
          <w:highlight w:val="none"/>
        </w:rPr>
        <w:t>2026年</w:t>
      </w:r>
      <w:r>
        <w:rPr>
          <w:rFonts w:hint="eastAsia" w:ascii="宋体" w:hAnsi="宋体" w:cs="宋体"/>
          <w:b/>
          <w:bCs/>
          <w:color w:val="auto"/>
          <w:w w:val="95"/>
          <w:sz w:val="32"/>
          <w:szCs w:val="32"/>
          <w:highlight w:val="none"/>
          <w:lang w:val="en-US" w:eastAsia="zh-CN"/>
        </w:rPr>
        <w:t>8</w:t>
      </w:r>
      <w:r>
        <w:rPr>
          <w:rFonts w:hint="eastAsia" w:ascii="宋体" w:hAnsi="宋体" w:cs="宋体"/>
          <w:b/>
          <w:bCs/>
          <w:color w:val="auto"/>
          <w:w w:val="95"/>
          <w:sz w:val="32"/>
          <w:szCs w:val="32"/>
          <w:highlight w:val="none"/>
        </w:rPr>
        <w:t>月</w:t>
      </w:r>
    </w:p>
    <w:p w14:paraId="35F6D071">
      <w:pPr>
        <w:rPr>
          <w:rFonts w:ascii="宋体" w:hAnsi="宋体" w:cs="宋体"/>
          <w:b/>
          <w:bCs/>
          <w:color w:val="auto"/>
          <w:kern w:val="0"/>
          <w:sz w:val="32"/>
          <w:szCs w:val="32"/>
          <w:highlight w:val="none"/>
        </w:rPr>
      </w:pPr>
      <w:r>
        <w:rPr>
          <w:rFonts w:ascii="宋体" w:hAnsi="宋体" w:cs="宋体"/>
          <w:b/>
          <w:bCs/>
          <w:color w:val="auto"/>
          <w:kern w:val="0"/>
          <w:sz w:val="32"/>
          <w:szCs w:val="32"/>
          <w:highlight w:val="none"/>
        </w:rPr>
        <w:br w:type="page"/>
      </w:r>
    </w:p>
    <w:p w14:paraId="009A4C46">
      <w:pPr>
        <w:pStyle w:val="20"/>
        <w:tabs>
          <w:tab w:val="right" w:leader="dot" w:pos="8931"/>
          <w:tab w:val="clear" w:pos="8296"/>
        </w:tabs>
        <w:adjustRightInd w:val="0"/>
        <w:snapToGrid w:val="0"/>
        <w:spacing w:line="264" w:lineRule="auto"/>
        <w:ind w:left="0" w:leftChars="0"/>
        <w:rPr>
          <w:rFonts w:ascii="宋体" w:hAnsi="宋体"/>
          <w:b/>
          <w:color w:val="auto"/>
          <w:sz w:val="32"/>
          <w:szCs w:val="32"/>
          <w:highlight w:val="none"/>
        </w:rPr>
      </w:pPr>
    </w:p>
    <w:sdt>
      <w:sdtPr>
        <w:rPr>
          <w:rFonts w:ascii="宋体" w:hAnsi="宋体"/>
          <w:color w:val="auto"/>
          <w:highlight w:val="none"/>
        </w:rPr>
        <w:id w:val="147480604"/>
        <w15:color w:val="DBDBDB"/>
        <w:docPartObj>
          <w:docPartGallery w:val="Table of Contents"/>
          <w:docPartUnique/>
        </w:docPartObj>
      </w:sdtPr>
      <w:sdtEndPr>
        <w:rPr>
          <w:rFonts w:hint="eastAsia" w:ascii="宋体" w:hAnsi="宋体"/>
          <w:color w:val="auto"/>
          <w:szCs w:val="32"/>
          <w:highlight w:val="none"/>
        </w:rPr>
      </w:sdtEndPr>
      <w:sdtContent>
        <w:p w14:paraId="2BF94CBE">
          <w:pPr>
            <w:jc w:val="center"/>
            <w:rPr>
              <w:color w:val="auto"/>
              <w:sz w:val="44"/>
              <w:szCs w:val="44"/>
              <w:highlight w:val="none"/>
            </w:rPr>
          </w:pPr>
          <w:r>
            <w:rPr>
              <w:rFonts w:ascii="宋体" w:hAnsi="宋体"/>
              <w:b/>
              <w:bCs/>
              <w:color w:val="auto"/>
              <w:sz w:val="44"/>
              <w:szCs w:val="44"/>
              <w:highlight w:val="none"/>
            </w:rPr>
            <w:t>目</w:t>
          </w:r>
          <w:r>
            <w:rPr>
              <w:rFonts w:hint="eastAsia" w:ascii="宋体" w:hAnsi="宋体"/>
              <w:b/>
              <w:bCs/>
              <w:color w:val="auto"/>
              <w:sz w:val="44"/>
              <w:szCs w:val="44"/>
              <w:highlight w:val="none"/>
            </w:rPr>
            <w:t xml:space="preserve"> </w:t>
          </w:r>
          <w:r>
            <w:rPr>
              <w:rFonts w:ascii="宋体" w:hAnsi="宋体"/>
              <w:b/>
              <w:bCs/>
              <w:color w:val="auto"/>
              <w:sz w:val="44"/>
              <w:szCs w:val="44"/>
              <w:highlight w:val="none"/>
            </w:rPr>
            <w:t>录</w:t>
          </w:r>
        </w:p>
        <w:p w14:paraId="54C6B284">
          <w:pPr>
            <w:pStyle w:val="18"/>
            <w:tabs>
              <w:tab w:val="right" w:leader="dot" w:pos="8879"/>
            </w:tabs>
          </w:pPr>
          <w:r>
            <w:fldChar w:fldCharType="begin"/>
          </w:r>
          <w:r>
            <w:instrText xml:space="preserve">TOC \o "1-2" \h \u </w:instrText>
          </w:r>
          <w:r>
            <w:fldChar w:fldCharType="separate"/>
          </w:r>
          <w:r>
            <w:fldChar w:fldCharType="begin"/>
          </w:r>
          <w:r>
            <w:instrText xml:space="preserve"> HYPERLINK \l _Toc22363 </w:instrText>
          </w:r>
          <w:r>
            <w:fldChar w:fldCharType="separate"/>
          </w:r>
          <w:r>
            <w:rPr>
              <w:rFonts w:hint="eastAsia"/>
              <w:szCs w:val="28"/>
              <w:highlight w:val="none"/>
            </w:rPr>
            <w:t>第一章 采购公告</w:t>
          </w:r>
          <w:r>
            <w:tab/>
          </w:r>
          <w:r>
            <w:fldChar w:fldCharType="begin"/>
          </w:r>
          <w:r>
            <w:instrText xml:space="preserve"> PAGEREF _Toc22363 \h </w:instrText>
          </w:r>
          <w:r>
            <w:fldChar w:fldCharType="separate"/>
          </w:r>
          <w:r>
            <w:t>2</w:t>
          </w:r>
          <w:r>
            <w:fldChar w:fldCharType="end"/>
          </w:r>
          <w:r>
            <w:fldChar w:fldCharType="end"/>
          </w:r>
        </w:p>
        <w:p w14:paraId="557E5FB0">
          <w:pPr>
            <w:pStyle w:val="18"/>
            <w:tabs>
              <w:tab w:val="right" w:leader="dot" w:pos="8879"/>
            </w:tabs>
          </w:pPr>
          <w:r>
            <w:fldChar w:fldCharType="begin"/>
          </w:r>
          <w:r>
            <w:instrText xml:space="preserve"> HYPERLINK \l _Toc13302 </w:instrText>
          </w:r>
          <w:r>
            <w:fldChar w:fldCharType="separate"/>
          </w:r>
          <w:r>
            <w:rPr>
              <w:rFonts w:hint="eastAsia"/>
              <w:szCs w:val="28"/>
              <w:highlight w:val="none"/>
            </w:rPr>
            <w:t>第二章 供应商须知</w:t>
          </w:r>
          <w:r>
            <w:tab/>
          </w:r>
          <w:r>
            <w:fldChar w:fldCharType="begin"/>
          </w:r>
          <w:r>
            <w:instrText xml:space="preserve"> PAGEREF _Toc13302 \h </w:instrText>
          </w:r>
          <w:r>
            <w:fldChar w:fldCharType="separate"/>
          </w:r>
          <w:r>
            <w:t>5</w:t>
          </w:r>
          <w:r>
            <w:fldChar w:fldCharType="end"/>
          </w:r>
          <w:r>
            <w:fldChar w:fldCharType="end"/>
          </w:r>
        </w:p>
        <w:p w14:paraId="6C06C265">
          <w:pPr>
            <w:pStyle w:val="18"/>
            <w:tabs>
              <w:tab w:val="right" w:leader="dot" w:pos="8879"/>
            </w:tabs>
          </w:pPr>
          <w:r>
            <w:fldChar w:fldCharType="begin"/>
          </w:r>
          <w:r>
            <w:instrText xml:space="preserve"> HYPERLINK \l _Toc14466 </w:instrText>
          </w:r>
          <w:r>
            <w:fldChar w:fldCharType="separate"/>
          </w:r>
          <w:r>
            <w:rPr>
              <w:rFonts w:hint="eastAsia"/>
              <w:szCs w:val="28"/>
              <w:highlight w:val="none"/>
            </w:rPr>
            <w:t>第三章 采购需求</w:t>
          </w:r>
          <w:r>
            <w:tab/>
          </w:r>
          <w:r>
            <w:fldChar w:fldCharType="begin"/>
          </w:r>
          <w:r>
            <w:instrText xml:space="preserve"> PAGEREF _Toc14466 \h </w:instrText>
          </w:r>
          <w:r>
            <w:fldChar w:fldCharType="separate"/>
          </w:r>
          <w:r>
            <w:t>6</w:t>
          </w:r>
          <w:r>
            <w:fldChar w:fldCharType="end"/>
          </w:r>
          <w:r>
            <w:fldChar w:fldCharType="end"/>
          </w:r>
        </w:p>
        <w:p w14:paraId="7CF05183">
          <w:pPr>
            <w:pStyle w:val="20"/>
            <w:tabs>
              <w:tab w:val="right" w:leader="dot" w:pos="8879"/>
              <w:tab w:val="clear" w:pos="8296"/>
            </w:tabs>
          </w:pPr>
          <w:r>
            <w:fldChar w:fldCharType="begin"/>
          </w:r>
          <w:r>
            <w:instrText xml:space="preserve"> HYPERLINK \l _Toc30777 </w:instrText>
          </w:r>
          <w:r>
            <w:fldChar w:fldCharType="separate"/>
          </w:r>
          <w:r>
            <w:rPr>
              <w:rFonts w:hint="eastAsia" w:ascii="宋体" w:hAnsi="宋体" w:cs="宋体"/>
              <w:bCs/>
              <w:szCs w:val="21"/>
              <w:highlight w:val="none"/>
              <w:lang w:bidi="ar"/>
            </w:rPr>
            <w:t>一、项目概况</w:t>
          </w:r>
          <w:r>
            <w:tab/>
          </w:r>
          <w:r>
            <w:fldChar w:fldCharType="begin"/>
          </w:r>
          <w:r>
            <w:instrText xml:space="preserve"> PAGEREF _Toc30777 \h </w:instrText>
          </w:r>
          <w:r>
            <w:fldChar w:fldCharType="separate"/>
          </w:r>
          <w:r>
            <w:t>6</w:t>
          </w:r>
          <w:r>
            <w:fldChar w:fldCharType="end"/>
          </w:r>
          <w:r>
            <w:fldChar w:fldCharType="end"/>
          </w:r>
        </w:p>
        <w:p w14:paraId="50B0032B">
          <w:pPr>
            <w:pStyle w:val="20"/>
            <w:tabs>
              <w:tab w:val="right" w:leader="dot" w:pos="8879"/>
              <w:tab w:val="clear" w:pos="8296"/>
            </w:tabs>
          </w:pPr>
          <w:r>
            <w:fldChar w:fldCharType="begin"/>
          </w:r>
          <w:r>
            <w:instrText xml:space="preserve"> HYPERLINK \l _Toc15282 </w:instrText>
          </w:r>
          <w:r>
            <w:fldChar w:fldCharType="separate"/>
          </w:r>
          <w:r>
            <w:rPr>
              <w:rFonts w:hint="eastAsia" w:ascii="宋体" w:hAnsi="宋体" w:cs="宋体"/>
              <w:bCs/>
              <w:szCs w:val="21"/>
              <w:highlight w:val="none"/>
              <w:lang w:bidi="ar"/>
            </w:rPr>
            <w:t>二、采购内容</w:t>
          </w:r>
          <w:r>
            <w:tab/>
          </w:r>
          <w:r>
            <w:fldChar w:fldCharType="begin"/>
          </w:r>
          <w:r>
            <w:instrText xml:space="preserve"> PAGEREF _Toc15282 \h </w:instrText>
          </w:r>
          <w:r>
            <w:fldChar w:fldCharType="separate"/>
          </w:r>
          <w:r>
            <w:t>6</w:t>
          </w:r>
          <w:r>
            <w:fldChar w:fldCharType="end"/>
          </w:r>
          <w:r>
            <w:fldChar w:fldCharType="end"/>
          </w:r>
        </w:p>
        <w:p w14:paraId="47D7AB70">
          <w:pPr>
            <w:pStyle w:val="20"/>
            <w:tabs>
              <w:tab w:val="right" w:leader="dot" w:pos="8879"/>
              <w:tab w:val="clear" w:pos="8296"/>
            </w:tabs>
          </w:pPr>
          <w:r>
            <w:fldChar w:fldCharType="begin"/>
          </w:r>
          <w:r>
            <w:instrText xml:space="preserve"> HYPERLINK \l _Toc26968 </w:instrText>
          </w:r>
          <w:r>
            <w:fldChar w:fldCharType="separate"/>
          </w:r>
          <w:r>
            <w:rPr>
              <w:rFonts w:hint="eastAsia" w:ascii="宋体" w:hAnsi="宋体" w:cs="宋体"/>
              <w:bCs/>
              <w:szCs w:val="21"/>
              <w:highlight w:val="none"/>
              <w:lang w:bidi="ar"/>
            </w:rPr>
            <w:t>三、技术要求</w:t>
          </w:r>
          <w:r>
            <w:tab/>
          </w:r>
          <w:r>
            <w:fldChar w:fldCharType="begin"/>
          </w:r>
          <w:r>
            <w:instrText xml:space="preserve"> PAGEREF _Toc26968 \h </w:instrText>
          </w:r>
          <w:r>
            <w:fldChar w:fldCharType="separate"/>
          </w:r>
          <w:r>
            <w:t>6</w:t>
          </w:r>
          <w:r>
            <w:fldChar w:fldCharType="end"/>
          </w:r>
          <w:r>
            <w:fldChar w:fldCharType="end"/>
          </w:r>
        </w:p>
        <w:p w14:paraId="3848B5EC">
          <w:pPr>
            <w:pStyle w:val="20"/>
            <w:tabs>
              <w:tab w:val="right" w:leader="dot" w:pos="8879"/>
              <w:tab w:val="clear" w:pos="8296"/>
            </w:tabs>
          </w:pPr>
          <w:r>
            <w:fldChar w:fldCharType="begin"/>
          </w:r>
          <w:r>
            <w:instrText xml:space="preserve"> HYPERLINK \l _Toc14431 </w:instrText>
          </w:r>
          <w:r>
            <w:fldChar w:fldCharType="separate"/>
          </w:r>
          <w:r>
            <w:rPr>
              <w:rFonts w:hint="eastAsia" w:ascii="宋体" w:hAnsi="宋体" w:cs="宋体"/>
              <w:bCs/>
              <w:szCs w:val="21"/>
              <w:highlight w:val="none"/>
              <w:lang w:bidi="ar"/>
            </w:rPr>
            <w:t>四、商务要求</w:t>
          </w:r>
          <w:r>
            <w:tab/>
          </w:r>
          <w:r>
            <w:fldChar w:fldCharType="begin"/>
          </w:r>
          <w:r>
            <w:instrText xml:space="preserve"> PAGEREF _Toc14431 \h </w:instrText>
          </w:r>
          <w:r>
            <w:fldChar w:fldCharType="separate"/>
          </w:r>
          <w:r>
            <w:t>9</w:t>
          </w:r>
          <w:r>
            <w:fldChar w:fldCharType="end"/>
          </w:r>
          <w:r>
            <w:fldChar w:fldCharType="end"/>
          </w:r>
        </w:p>
        <w:p w14:paraId="4954EA78">
          <w:pPr>
            <w:pStyle w:val="18"/>
            <w:tabs>
              <w:tab w:val="right" w:leader="dot" w:pos="8879"/>
            </w:tabs>
          </w:pPr>
          <w:r>
            <w:fldChar w:fldCharType="begin"/>
          </w:r>
          <w:r>
            <w:instrText xml:space="preserve"> HYPERLINK \l _Toc17103 </w:instrText>
          </w:r>
          <w:r>
            <w:fldChar w:fldCharType="separate"/>
          </w:r>
          <w:r>
            <w:rPr>
              <w:rFonts w:hint="eastAsia"/>
              <w:szCs w:val="28"/>
              <w:highlight w:val="none"/>
            </w:rPr>
            <w:t>第四章  评审办法</w:t>
          </w:r>
          <w:r>
            <w:tab/>
          </w:r>
          <w:r>
            <w:fldChar w:fldCharType="begin"/>
          </w:r>
          <w:r>
            <w:instrText xml:space="preserve"> PAGEREF _Toc17103 \h </w:instrText>
          </w:r>
          <w:r>
            <w:fldChar w:fldCharType="separate"/>
          </w:r>
          <w:r>
            <w:t>12</w:t>
          </w:r>
          <w:r>
            <w:fldChar w:fldCharType="end"/>
          </w:r>
          <w:r>
            <w:fldChar w:fldCharType="end"/>
          </w:r>
        </w:p>
        <w:p w14:paraId="09F13980">
          <w:pPr>
            <w:pStyle w:val="20"/>
            <w:tabs>
              <w:tab w:val="right" w:leader="dot" w:pos="8879"/>
              <w:tab w:val="clear" w:pos="8296"/>
            </w:tabs>
          </w:pPr>
          <w:r>
            <w:fldChar w:fldCharType="begin"/>
          </w:r>
          <w:r>
            <w:instrText xml:space="preserve"> HYPERLINK \l _Toc13494 </w:instrText>
          </w:r>
          <w:r>
            <w:fldChar w:fldCharType="separate"/>
          </w:r>
          <w:r>
            <w:rPr>
              <w:rFonts w:hint="eastAsia" w:ascii="宋体" w:hAnsi="宋体"/>
              <w:highlight w:val="none"/>
            </w:rPr>
            <w:t>第一节  评审程序和评审方法</w:t>
          </w:r>
          <w:r>
            <w:tab/>
          </w:r>
          <w:r>
            <w:fldChar w:fldCharType="begin"/>
          </w:r>
          <w:r>
            <w:instrText xml:space="preserve"> PAGEREF _Toc13494 \h </w:instrText>
          </w:r>
          <w:r>
            <w:fldChar w:fldCharType="separate"/>
          </w:r>
          <w:r>
            <w:t>12</w:t>
          </w:r>
          <w:r>
            <w:fldChar w:fldCharType="end"/>
          </w:r>
          <w:r>
            <w:fldChar w:fldCharType="end"/>
          </w:r>
        </w:p>
        <w:p w14:paraId="546DAD8D">
          <w:pPr>
            <w:pStyle w:val="20"/>
            <w:tabs>
              <w:tab w:val="right" w:leader="dot" w:pos="8879"/>
              <w:tab w:val="clear" w:pos="8296"/>
            </w:tabs>
          </w:pPr>
          <w:r>
            <w:fldChar w:fldCharType="begin"/>
          </w:r>
          <w:r>
            <w:instrText xml:space="preserve"> HYPERLINK \l _Toc9482 </w:instrText>
          </w:r>
          <w:r>
            <w:fldChar w:fldCharType="separate"/>
          </w:r>
          <w:r>
            <w:rPr>
              <w:rFonts w:hint="eastAsia" w:ascii="宋体" w:hAnsi="宋体"/>
              <w:highlight w:val="none"/>
            </w:rPr>
            <w:t>第二节  评审标准</w:t>
          </w:r>
          <w:r>
            <w:tab/>
          </w:r>
          <w:r>
            <w:fldChar w:fldCharType="begin"/>
          </w:r>
          <w:r>
            <w:instrText xml:space="preserve"> PAGEREF _Toc9482 \h </w:instrText>
          </w:r>
          <w:r>
            <w:fldChar w:fldCharType="separate"/>
          </w:r>
          <w:r>
            <w:t>15</w:t>
          </w:r>
          <w:r>
            <w:fldChar w:fldCharType="end"/>
          </w:r>
          <w:r>
            <w:fldChar w:fldCharType="end"/>
          </w:r>
        </w:p>
        <w:p w14:paraId="546F68F3">
          <w:pPr>
            <w:pStyle w:val="18"/>
            <w:tabs>
              <w:tab w:val="right" w:leader="dot" w:pos="8879"/>
            </w:tabs>
          </w:pPr>
          <w:r>
            <w:fldChar w:fldCharType="begin"/>
          </w:r>
          <w:r>
            <w:instrText xml:space="preserve"> HYPERLINK \l _Toc28359 </w:instrText>
          </w:r>
          <w:r>
            <w:fldChar w:fldCharType="separate"/>
          </w:r>
          <w:r>
            <w:rPr>
              <w:rFonts w:hint="eastAsia"/>
              <w:szCs w:val="28"/>
              <w:highlight w:val="none"/>
            </w:rPr>
            <w:t>第五章 响应文件格式</w:t>
          </w:r>
          <w:r>
            <w:tab/>
          </w:r>
          <w:r>
            <w:fldChar w:fldCharType="begin"/>
          </w:r>
          <w:r>
            <w:instrText xml:space="preserve"> PAGEREF _Toc28359 \h </w:instrText>
          </w:r>
          <w:r>
            <w:fldChar w:fldCharType="separate"/>
          </w:r>
          <w:r>
            <w:t>17</w:t>
          </w:r>
          <w:r>
            <w:fldChar w:fldCharType="end"/>
          </w:r>
          <w:r>
            <w:fldChar w:fldCharType="end"/>
          </w:r>
        </w:p>
        <w:p w14:paraId="0D481277">
          <w:pPr>
            <w:pStyle w:val="20"/>
            <w:tabs>
              <w:tab w:val="right" w:leader="dot" w:pos="8879"/>
              <w:tab w:val="clear" w:pos="8296"/>
            </w:tabs>
          </w:pPr>
          <w:r>
            <w:fldChar w:fldCharType="begin"/>
          </w:r>
          <w:r>
            <w:instrText xml:space="preserve"> HYPERLINK \l _Toc2578 </w:instrText>
          </w:r>
          <w:r>
            <w:fldChar w:fldCharType="separate"/>
          </w:r>
          <w:r>
            <w:rPr>
              <w:rFonts w:hint="eastAsia" w:ascii="宋体" w:hAnsi="宋体"/>
              <w:bCs/>
              <w:szCs w:val="36"/>
              <w:highlight w:val="none"/>
            </w:rPr>
            <w:t>目录</w:t>
          </w:r>
          <w:r>
            <w:tab/>
          </w:r>
          <w:r>
            <w:fldChar w:fldCharType="begin"/>
          </w:r>
          <w:r>
            <w:instrText xml:space="preserve"> PAGEREF _Toc2578 \h </w:instrText>
          </w:r>
          <w:r>
            <w:fldChar w:fldCharType="separate"/>
          </w:r>
          <w:r>
            <w:t>19</w:t>
          </w:r>
          <w:r>
            <w:fldChar w:fldCharType="end"/>
          </w:r>
          <w:r>
            <w:fldChar w:fldCharType="end"/>
          </w:r>
        </w:p>
        <w:p w14:paraId="709FE489">
          <w:pPr>
            <w:pStyle w:val="20"/>
            <w:tabs>
              <w:tab w:val="right" w:leader="dot" w:pos="8879"/>
              <w:tab w:val="clear" w:pos="8296"/>
            </w:tabs>
          </w:pPr>
          <w:r>
            <w:fldChar w:fldCharType="begin"/>
          </w:r>
          <w:r>
            <w:instrText xml:space="preserve"> HYPERLINK \l _Toc13469 </w:instrText>
          </w:r>
          <w:r>
            <w:fldChar w:fldCharType="separate"/>
          </w:r>
          <w:r>
            <w:rPr>
              <w:rFonts w:hint="eastAsia" w:ascii="黑体" w:hAnsi="黑体" w:eastAsia="黑体" w:cs="黑体"/>
              <w:szCs w:val="36"/>
              <w:highlight w:val="none"/>
            </w:rPr>
            <w:t>一、投标函</w:t>
          </w:r>
          <w:r>
            <w:tab/>
          </w:r>
          <w:r>
            <w:fldChar w:fldCharType="begin"/>
          </w:r>
          <w:r>
            <w:instrText xml:space="preserve"> PAGEREF _Toc13469 \h </w:instrText>
          </w:r>
          <w:r>
            <w:fldChar w:fldCharType="separate"/>
          </w:r>
          <w:r>
            <w:t>20</w:t>
          </w:r>
          <w:r>
            <w:fldChar w:fldCharType="end"/>
          </w:r>
          <w:r>
            <w:fldChar w:fldCharType="end"/>
          </w:r>
        </w:p>
        <w:p w14:paraId="21BC4CDF">
          <w:pPr>
            <w:pStyle w:val="20"/>
            <w:tabs>
              <w:tab w:val="right" w:leader="dot" w:pos="8879"/>
              <w:tab w:val="clear" w:pos="8296"/>
            </w:tabs>
          </w:pPr>
          <w:r>
            <w:fldChar w:fldCharType="begin"/>
          </w:r>
          <w:r>
            <w:instrText xml:space="preserve"> HYPERLINK \l _Toc19940 </w:instrText>
          </w:r>
          <w:r>
            <w:fldChar w:fldCharType="separate"/>
          </w:r>
          <w:r>
            <w:rPr>
              <w:rFonts w:hint="eastAsia" w:ascii="黑体" w:hAnsi="黑体" w:eastAsia="黑体" w:cs="黑体"/>
              <w:szCs w:val="36"/>
              <w:highlight w:val="none"/>
            </w:rPr>
            <w:t>二、法定代表人身份证明</w:t>
          </w:r>
          <w:r>
            <w:tab/>
          </w:r>
          <w:r>
            <w:fldChar w:fldCharType="begin"/>
          </w:r>
          <w:r>
            <w:instrText xml:space="preserve"> PAGEREF _Toc19940 \h </w:instrText>
          </w:r>
          <w:r>
            <w:fldChar w:fldCharType="separate"/>
          </w:r>
          <w:r>
            <w:t>21</w:t>
          </w:r>
          <w:r>
            <w:fldChar w:fldCharType="end"/>
          </w:r>
          <w:r>
            <w:fldChar w:fldCharType="end"/>
          </w:r>
        </w:p>
        <w:p w14:paraId="13FC7C2B">
          <w:pPr>
            <w:pStyle w:val="20"/>
            <w:tabs>
              <w:tab w:val="right" w:leader="dot" w:pos="8879"/>
              <w:tab w:val="clear" w:pos="8296"/>
            </w:tabs>
          </w:pPr>
          <w:r>
            <w:fldChar w:fldCharType="begin"/>
          </w:r>
          <w:r>
            <w:instrText xml:space="preserve"> HYPERLINK \l _Toc19658 </w:instrText>
          </w:r>
          <w:r>
            <w:fldChar w:fldCharType="separate"/>
          </w:r>
          <w:r>
            <w:rPr>
              <w:rFonts w:hint="eastAsia" w:ascii="黑体" w:hAnsi="黑体" w:eastAsia="黑体" w:cs="黑体"/>
              <w:szCs w:val="36"/>
              <w:highlight w:val="none"/>
            </w:rPr>
            <w:t>二、授权委托书</w:t>
          </w:r>
          <w:r>
            <w:tab/>
          </w:r>
          <w:r>
            <w:fldChar w:fldCharType="begin"/>
          </w:r>
          <w:r>
            <w:instrText xml:space="preserve"> PAGEREF _Toc19658 \h </w:instrText>
          </w:r>
          <w:r>
            <w:fldChar w:fldCharType="separate"/>
          </w:r>
          <w:r>
            <w:t>22</w:t>
          </w:r>
          <w:r>
            <w:fldChar w:fldCharType="end"/>
          </w:r>
          <w:r>
            <w:fldChar w:fldCharType="end"/>
          </w:r>
        </w:p>
        <w:p w14:paraId="35DEF44C">
          <w:pPr>
            <w:pStyle w:val="20"/>
            <w:tabs>
              <w:tab w:val="right" w:leader="dot" w:pos="8879"/>
              <w:tab w:val="clear" w:pos="8296"/>
            </w:tabs>
          </w:pPr>
          <w:r>
            <w:fldChar w:fldCharType="begin"/>
          </w:r>
          <w:r>
            <w:instrText xml:space="preserve"> HYPERLINK \l _Toc28563 </w:instrText>
          </w:r>
          <w:r>
            <w:fldChar w:fldCharType="separate"/>
          </w:r>
          <w:r>
            <w:rPr>
              <w:rFonts w:hint="eastAsia" w:ascii="黑体" w:hAnsi="黑体" w:eastAsia="黑体" w:cs="黑体"/>
              <w:szCs w:val="36"/>
            </w:rPr>
            <w:t>三、</w:t>
          </w:r>
          <w:r>
            <w:rPr>
              <w:rFonts w:ascii="黑体" w:hAnsi="黑体" w:eastAsia="黑体" w:cs="黑体"/>
              <w:szCs w:val="36"/>
            </w:rPr>
            <w:t>联合体协议书</w:t>
          </w:r>
          <w:r>
            <w:rPr>
              <w:rFonts w:hint="eastAsia" w:ascii="黑体" w:hAnsi="黑体" w:eastAsia="黑体" w:cs="黑体"/>
              <w:szCs w:val="36"/>
            </w:rPr>
            <w:t>（</w:t>
          </w:r>
          <w:r>
            <w:rPr>
              <w:rFonts w:hint="eastAsia" w:ascii="黑体" w:hAnsi="黑体" w:eastAsia="黑体" w:cs="黑体"/>
              <w:szCs w:val="36"/>
              <w:lang w:eastAsia="zh-CN"/>
            </w:rPr>
            <w:t>如有</w:t>
          </w:r>
          <w:r>
            <w:rPr>
              <w:rFonts w:hint="eastAsia" w:ascii="黑体" w:hAnsi="黑体" w:eastAsia="黑体" w:cs="黑体"/>
              <w:szCs w:val="36"/>
            </w:rPr>
            <w:t>）</w:t>
          </w:r>
          <w:r>
            <w:tab/>
          </w:r>
          <w:r>
            <w:fldChar w:fldCharType="begin"/>
          </w:r>
          <w:r>
            <w:instrText xml:space="preserve"> PAGEREF _Toc28563 \h </w:instrText>
          </w:r>
          <w:r>
            <w:fldChar w:fldCharType="separate"/>
          </w:r>
          <w:r>
            <w:t>23</w:t>
          </w:r>
          <w:r>
            <w:fldChar w:fldCharType="end"/>
          </w:r>
          <w:r>
            <w:fldChar w:fldCharType="end"/>
          </w:r>
        </w:p>
        <w:p w14:paraId="3803C738">
          <w:pPr>
            <w:pStyle w:val="20"/>
            <w:tabs>
              <w:tab w:val="right" w:leader="dot" w:pos="8879"/>
              <w:tab w:val="clear" w:pos="8296"/>
            </w:tabs>
          </w:pPr>
          <w:r>
            <w:fldChar w:fldCharType="begin"/>
          </w:r>
          <w:r>
            <w:instrText xml:space="preserve"> HYPERLINK \l _Toc27063 </w:instrText>
          </w:r>
          <w:r>
            <w:fldChar w:fldCharType="separate"/>
          </w:r>
          <w:r>
            <w:rPr>
              <w:rFonts w:hint="eastAsia" w:ascii="黑体" w:hAnsi="黑体" w:eastAsia="黑体" w:cs="黑体"/>
              <w:szCs w:val="36"/>
              <w:highlight w:val="none"/>
              <w:lang w:eastAsia="zh-CN"/>
            </w:rPr>
            <w:t>四</w:t>
          </w:r>
          <w:r>
            <w:rPr>
              <w:rFonts w:hint="eastAsia" w:ascii="黑体" w:hAnsi="黑体" w:eastAsia="黑体" w:cs="黑体"/>
              <w:szCs w:val="36"/>
              <w:highlight w:val="none"/>
            </w:rPr>
            <w:t>、报价清单</w:t>
          </w:r>
          <w:r>
            <w:tab/>
          </w:r>
          <w:r>
            <w:fldChar w:fldCharType="begin"/>
          </w:r>
          <w:r>
            <w:instrText xml:space="preserve"> PAGEREF _Toc27063 \h </w:instrText>
          </w:r>
          <w:r>
            <w:fldChar w:fldCharType="separate"/>
          </w:r>
          <w:r>
            <w:t>24</w:t>
          </w:r>
          <w:r>
            <w:fldChar w:fldCharType="end"/>
          </w:r>
          <w:r>
            <w:fldChar w:fldCharType="end"/>
          </w:r>
        </w:p>
        <w:p w14:paraId="0056655C">
          <w:pPr>
            <w:pStyle w:val="20"/>
            <w:tabs>
              <w:tab w:val="right" w:leader="dot" w:pos="8879"/>
              <w:tab w:val="clear" w:pos="8296"/>
            </w:tabs>
          </w:pPr>
          <w:r>
            <w:fldChar w:fldCharType="begin"/>
          </w:r>
          <w:r>
            <w:instrText xml:space="preserve"> HYPERLINK \l _Toc20739 </w:instrText>
          </w:r>
          <w:r>
            <w:fldChar w:fldCharType="separate"/>
          </w:r>
          <w:r>
            <w:rPr>
              <w:rFonts w:hint="eastAsia" w:ascii="黑体" w:hAnsi="黑体" w:eastAsia="黑体" w:cs="黑体"/>
              <w:szCs w:val="36"/>
              <w:highlight w:val="none"/>
              <w:lang w:eastAsia="zh-CN"/>
            </w:rPr>
            <w:t>五</w:t>
          </w:r>
          <w:r>
            <w:rPr>
              <w:rFonts w:hint="eastAsia" w:ascii="黑体" w:hAnsi="黑体" w:eastAsia="黑体" w:cs="黑体"/>
              <w:szCs w:val="36"/>
              <w:highlight w:val="none"/>
            </w:rPr>
            <w:t>、资格审查资料</w:t>
          </w:r>
          <w:r>
            <w:tab/>
          </w:r>
          <w:r>
            <w:fldChar w:fldCharType="begin"/>
          </w:r>
          <w:r>
            <w:instrText xml:space="preserve"> PAGEREF _Toc20739 \h </w:instrText>
          </w:r>
          <w:r>
            <w:fldChar w:fldCharType="separate"/>
          </w:r>
          <w:r>
            <w:t>26</w:t>
          </w:r>
          <w:r>
            <w:fldChar w:fldCharType="end"/>
          </w:r>
          <w:r>
            <w:fldChar w:fldCharType="end"/>
          </w:r>
        </w:p>
        <w:p w14:paraId="3BF717EA">
          <w:pPr>
            <w:pStyle w:val="20"/>
            <w:tabs>
              <w:tab w:val="right" w:leader="dot" w:pos="8879"/>
              <w:tab w:val="clear" w:pos="8296"/>
            </w:tabs>
          </w:pPr>
          <w:r>
            <w:fldChar w:fldCharType="begin"/>
          </w:r>
          <w:r>
            <w:instrText xml:space="preserve"> HYPERLINK \l _Toc25194 </w:instrText>
          </w:r>
          <w:r>
            <w:fldChar w:fldCharType="separate"/>
          </w:r>
          <w:r>
            <w:rPr>
              <w:rFonts w:hint="eastAsia" w:ascii="黑体" w:hAnsi="黑体" w:eastAsia="黑体" w:cs="黑体"/>
              <w:szCs w:val="36"/>
              <w:highlight w:val="none"/>
              <w:lang w:eastAsia="zh-CN"/>
            </w:rPr>
            <w:t>六</w:t>
          </w:r>
          <w:r>
            <w:rPr>
              <w:rFonts w:hint="eastAsia" w:ascii="黑体" w:hAnsi="黑体" w:eastAsia="黑体" w:cs="黑体"/>
              <w:szCs w:val="36"/>
              <w:highlight w:val="none"/>
            </w:rPr>
            <w:t>、</w:t>
          </w:r>
          <w:r>
            <w:rPr>
              <w:rFonts w:hint="eastAsia" w:ascii="黑体" w:hAnsi="黑体" w:eastAsia="黑体" w:cs="黑体"/>
              <w:szCs w:val="36"/>
              <w:highlight w:val="none"/>
              <w:lang w:eastAsia="zh-CN"/>
            </w:rPr>
            <w:t>调查与评价</w:t>
          </w:r>
          <w:r>
            <w:rPr>
              <w:rFonts w:hint="eastAsia" w:ascii="黑体" w:hAnsi="黑体" w:eastAsia="黑体" w:cs="黑体"/>
              <w:szCs w:val="36"/>
              <w:highlight w:val="none"/>
            </w:rPr>
            <w:t>方案</w:t>
          </w:r>
          <w:r>
            <w:tab/>
          </w:r>
          <w:r>
            <w:fldChar w:fldCharType="begin"/>
          </w:r>
          <w:r>
            <w:instrText xml:space="preserve"> PAGEREF _Toc25194 \h </w:instrText>
          </w:r>
          <w:r>
            <w:fldChar w:fldCharType="separate"/>
          </w:r>
          <w:r>
            <w:t>31</w:t>
          </w:r>
          <w:r>
            <w:fldChar w:fldCharType="end"/>
          </w:r>
          <w:r>
            <w:fldChar w:fldCharType="end"/>
          </w:r>
        </w:p>
        <w:p w14:paraId="40CDDFE1">
          <w:pPr>
            <w:pStyle w:val="20"/>
            <w:tabs>
              <w:tab w:val="right" w:leader="dot" w:pos="8879"/>
              <w:tab w:val="clear" w:pos="8296"/>
            </w:tabs>
          </w:pPr>
          <w:r>
            <w:fldChar w:fldCharType="begin"/>
          </w:r>
          <w:r>
            <w:instrText xml:space="preserve"> HYPERLINK \l _Toc16134 </w:instrText>
          </w:r>
          <w:r>
            <w:fldChar w:fldCharType="separate"/>
          </w:r>
          <w:r>
            <w:rPr>
              <w:rFonts w:hint="eastAsia" w:ascii="黑体" w:hAnsi="黑体" w:eastAsia="黑体" w:cs="黑体"/>
              <w:szCs w:val="36"/>
              <w:highlight w:val="none"/>
              <w:lang w:eastAsia="zh-CN"/>
            </w:rPr>
            <w:t>七</w:t>
          </w:r>
          <w:r>
            <w:rPr>
              <w:rFonts w:hint="eastAsia" w:ascii="黑体" w:hAnsi="黑体" w:eastAsia="黑体" w:cs="黑体"/>
              <w:szCs w:val="36"/>
              <w:highlight w:val="none"/>
            </w:rPr>
            <w:t>、其他资料</w:t>
          </w:r>
          <w:r>
            <w:tab/>
          </w:r>
          <w:r>
            <w:fldChar w:fldCharType="begin"/>
          </w:r>
          <w:r>
            <w:instrText xml:space="preserve"> PAGEREF _Toc16134 \h </w:instrText>
          </w:r>
          <w:r>
            <w:fldChar w:fldCharType="separate"/>
          </w:r>
          <w:r>
            <w:t>32</w:t>
          </w:r>
          <w:r>
            <w:fldChar w:fldCharType="end"/>
          </w:r>
          <w:r>
            <w:fldChar w:fldCharType="end"/>
          </w:r>
        </w:p>
        <w:p w14:paraId="5B889D2C">
          <w:pPr>
            <w:pStyle w:val="18"/>
            <w:tabs>
              <w:tab w:val="right" w:leader="dot" w:pos="8879"/>
            </w:tabs>
          </w:pPr>
          <w:r>
            <w:fldChar w:fldCharType="begin"/>
          </w:r>
          <w:r>
            <w:instrText xml:space="preserve"> HYPERLINK \l _Toc682 </w:instrText>
          </w:r>
          <w:r>
            <w:fldChar w:fldCharType="separate"/>
          </w:r>
          <w:r>
            <w:rPr>
              <w:rFonts w:hint="eastAsia"/>
              <w:highlight w:val="none"/>
            </w:rPr>
            <w:t>第六章 合同条款</w:t>
          </w:r>
          <w:r>
            <w:tab/>
          </w:r>
          <w:r>
            <w:fldChar w:fldCharType="begin"/>
          </w:r>
          <w:r>
            <w:instrText xml:space="preserve"> PAGEREF _Toc682 \h </w:instrText>
          </w:r>
          <w:r>
            <w:fldChar w:fldCharType="separate"/>
          </w:r>
          <w:r>
            <w:t>33</w:t>
          </w:r>
          <w:r>
            <w:fldChar w:fldCharType="end"/>
          </w:r>
          <w:r>
            <w:fldChar w:fldCharType="end"/>
          </w:r>
        </w:p>
        <w:p w14:paraId="3734113D">
          <w:pPr>
            <w:pStyle w:val="20"/>
            <w:tabs>
              <w:tab w:val="right" w:leader="dot" w:pos="8879"/>
              <w:tab w:val="clear" w:pos="8296"/>
            </w:tabs>
          </w:pPr>
          <w:r>
            <w:fldChar w:fldCharType="begin"/>
          </w:r>
          <w:r>
            <w:instrText xml:space="preserve"> HYPERLINK \l _Toc18307 </w:instrText>
          </w:r>
          <w:r>
            <w:fldChar w:fldCharType="separate"/>
          </w:r>
          <w:r>
            <w:rPr>
              <w:rFonts w:hint="eastAsia" w:ascii="黑体" w:hAnsi="宋体" w:eastAsia="黑体"/>
              <w:szCs w:val="32"/>
            </w:rPr>
            <w:t>合同协议书</w:t>
          </w:r>
          <w:r>
            <w:tab/>
          </w:r>
          <w:r>
            <w:fldChar w:fldCharType="begin"/>
          </w:r>
          <w:r>
            <w:instrText xml:space="preserve"> PAGEREF _Toc18307 \h </w:instrText>
          </w:r>
          <w:r>
            <w:fldChar w:fldCharType="separate"/>
          </w:r>
          <w:r>
            <w:t>34</w:t>
          </w:r>
          <w:r>
            <w:fldChar w:fldCharType="end"/>
          </w:r>
          <w:r>
            <w:fldChar w:fldCharType="end"/>
          </w:r>
        </w:p>
        <w:p w14:paraId="417C4A26">
          <w:pPr>
            <w:pStyle w:val="20"/>
            <w:tabs>
              <w:tab w:val="right" w:leader="dot" w:pos="8879"/>
              <w:tab w:val="clear" w:pos="8296"/>
            </w:tabs>
          </w:pPr>
          <w:r>
            <w:fldChar w:fldCharType="begin"/>
          </w:r>
          <w:r>
            <w:instrText xml:space="preserve"> HYPERLINK \l _Toc13595 </w:instrText>
          </w:r>
          <w:r>
            <w:fldChar w:fldCharType="separate"/>
          </w:r>
          <w:r>
            <w:rPr>
              <w:rFonts w:hint="eastAsia" w:ascii="宋体" w:hAnsi="宋体" w:eastAsia="宋体" w:cs="宋体"/>
              <w:szCs w:val="24"/>
              <w:lang w:eastAsia="zh-CN"/>
            </w:rPr>
            <w:t>附件</w:t>
          </w:r>
          <w:r>
            <w:rPr>
              <w:rFonts w:hint="eastAsia" w:ascii="宋体" w:hAnsi="宋体" w:eastAsia="宋体" w:cs="宋体"/>
              <w:szCs w:val="24"/>
              <w:lang w:val="en-US" w:eastAsia="zh-CN"/>
            </w:rPr>
            <w:t xml:space="preserve"> </w:t>
          </w:r>
          <w:r>
            <w:rPr>
              <w:rFonts w:hint="eastAsia" w:ascii="宋体" w:hAnsi="宋体" w:eastAsia="宋体" w:cs="宋体"/>
              <w:szCs w:val="24"/>
            </w:rPr>
            <w:t>廉政合同</w:t>
          </w:r>
          <w:r>
            <w:tab/>
          </w:r>
          <w:r>
            <w:fldChar w:fldCharType="begin"/>
          </w:r>
          <w:r>
            <w:instrText xml:space="preserve"> PAGEREF _Toc13595 \h </w:instrText>
          </w:r>
          <w:r>
            <w:fldChar w:fldCharType="separate"/>
          </w:r>
          <w:r>
            <w:t>43</w:t>
          </w:r>
          <w:r>
            <w:fldChar w:fldCharType="end"/>
          </w:r>
          <w:r>
            <w:fldChar w:fldCharType="end"/>
          </w:r>
        </w:p>
        <w:p w14:paraId="02FD6BB1">
          <w:pPr>
            <w:spacing w:line="400" w:lineRule="exact"/>
            <w:rPr>
              <w:rFonts w:ascii="宋体" w:hAnsi="宋体"/>
              <w:color w:val="auto"/>
              <w:szCs w:val="32"/>
              <w:highlight w:val="none"/>
            </w:rPr>
          </w:pPr>
          <w:r>
            <w:fldChar w:fldCharType="end"/>
          </w:r>
        </w:p>
      </w:sdtContent>
    </w:sdt>
    <w:p w14:paraId="138E17D0">
      <w:pPr>
        <w:spacing w:line="400" w:lineRule="exact"/>
        <w:rPr>
          <w:rFonts w:ascii="宋体" w:hAnsi="宋体"/>
          <w:color w:val="auto"/>
          <w:szCs w:val="32"/>
          <w:highlight w:val="none"/>
        </w:rPr>
      </w:pPr>
    </w:p>
    <w:p w14:paraId="7407658C">
      <w:pPr>
        <w:spacing w:line="400" w:lineRule="exact"/>
        <w:rPr>
          <w:rFonts w:ascii="宋体" w:hAnsi="宋体"/>
          <w:b/>
          <w:color w:val="auto"/>
          <w:sz w:val="32"/>
          <w:szCs w:val="32"/>
          <w:highlight w:val="none"/>
        </w:rPr>
      </w:pPr>
    </w:p>
    <w:p w14:paraId="5FD8F8D7">
      <w:pPr>
        <w:spacing w:line="400" w:lineRule="exact"/>
        <w:rPr>
          <w:rFonts w:ascii="宋体" w:hAnsi="宋体"/>
          <w:b/>
          <w:color w:val="auto"/>
          <w:sz w:val="32"/>
          <w:szCs w:val="32"/>
          <w:highlight w:val="none"/>
        </w:rPr>
        <w:sectPr>
          <w:headerReference r:id="rId4" w:type="first"/>
          <w:footerReference r:id="rId6" w:type="first"/>
          <w:headerReference r:id="rId3" w:type="default"/>
          <w:footerReference r:id="rId5" w:type="default"/>
          <w:pgSz w:w="11906" w:h="16838"/>
          <w:pgMar w:top="1440" w:right="1440" w:bottom="1440" w:left="1587" w:header="851" w:footer="992" w:gutter="0"/>
          <w:pgNumType w:start="0"/>
          <w:cols w:space="720" w:num="1"/>
          <w:titlePg/>
          <w:docGrid w:type="lines" w:linePitch="312" w:charSpace="0"/>
        </w:sectPr>
      </w:pPr>
    </w:p>
    <w:p w14:paraId="7EE74ED9">
      <w:pPr>
        <w:pStyle w:val="2"/>
        <w:spacing w:before="0" w:after="0" w:line="360" w:lineRule="auto"/>
        <w:jc w:val="center"/>
        <w:rPr>
          <w:color w:val="auto"/>
          <w:sz w:val="28"/>
          <w:szCs w:val="28"/>
          <w:highlight w:val="none"/>
        </w:rPr>
      </w:pPr>
      <w:bookmarkStart w:id="1" w:name="_Toc25608"/>
      <w:bookmarkStart w:id="2" w:name="_Toc27769"/>
      <w:bookmarkStart w:id="3" w:name="_Toc27074"/>
      <w:bookmarkStart w:id="4" w:name="_Toc31467"/>
      <w:bookmarkStart w:id="5" w:name="_Toc24940"/>
      <w:bookmarkStart w:id="6" w:name="_Toc22363"/>
      <w:bookmarkStart w:id="7" w:name="_Toc29222"/>
      <w:bookmarkStart w:id="8" w:name="_Toc29459"/>
      <w:bookmarkStart w:id="9" w:name="_Toc8362"/>
      <w:bookmarkStart w:id="10" w:name="_Toc23339"/>
      <w:bookmarkStart w:id="11" w:name="_Toc6645"/>
      <w:bookmarkStart w:id="12" w:name="_Toc9882"/>
      <w:bookmarkStart w:id="13" w:name="_Toc21624"/>
      <w:bookmarkStart w:id="14" w:name="_Toc4332"/>
      <w:bookmarkStart w:id="15" w:name="_Toc20493"/>
      <w:r>
        <w:rPr>
          <w:rFonts w:hint="eastAsia"/>
          <w:color w:val="auto"/>
          <w:sz w:val="28"/>
          <w:szCs w:val="28"/>
          <w:highlight w:val="none"/>
        </w:rPr>
        <w:t>第一章 采购</w:t>
      </w:r>
      <w:bookmarkEnd w:id="1"/>
      <w:bookmarkEnd w:id="2"/>
      <w:bookmarkEnd w:id="3"/>
      <w:r>
        <w:rPr>
          <w:rFonts w:hint="eastAsia"/>
          <w:color w:val="auto"/>
          <w:sz w:val="28"/>
          <w:szCs w:val="28"/>
          <w:highlight w:val="none"/>
        </w:rPr>
        <w:t>公告</w:t>
      </w:r>
      <w:bookmarkEnd w:id="4"/>
      <w:bookmarkEnd w:id="5"/>
      <w:bookmarkEnd w:id="6"/>
      <w:bookmarkEnd w:id="7"/>
      <w:bookmarkEnd w:id="8"/>
      <w:bookmarkEnd w:id="9"/>
      <w:bookmarkEnd w:id="10"/>
      <w:bookmarkEnd w:id="11"/>
      <w:bookmarkEnd w:id="12"/>
      <w:bookmarkEnd w:id="13"/>
      <w:bookmarkEnd w:id="14"/>
      <w:bookmarkEnd w:id="15"/>
    </w:p>
    <w:p w14:paraId="5C7C3E83">
      <w:pPr>
        <w:spacing w:line="360" w:lineRule="auto"/>
        <w:ind w:firstLine="354" w:firstLineChars="147"/>
        <w:rPr>
          <w:rFonts w:ascii="黑体" w:hAnsi="黑体" w:eastAsia="黑体"/>
          <w:b/>
          <w:color w:val="auto"/>
          <w:sz w:val="24"/>
          <w:highlight w:val="none"/>
        </w:rPr>
      </w:pPr>
      <w:bookmarkStart w:id="16" w:name="_Toc28359089"/>
      <w:bookmarkStart w:id="17" w:name="_Hlk37430271"/>
      <w:bookmarkStart w:id="18" w:name="_Toc71365905"/>
      <w:bookmarkStart w:id="19" w:name="_Toc35393798"/>
      <w:bookmarkStart w:id="20" w:name="_Toc44229878"/>
      <w:bookmarkStart w:id="21" w:name="_Toc35393629"/>
      <w:bookmarkStart w:id="22" w:name="_Toc28359012"/>
    </w:p>
    <w:bookmarkEnd w:id="16"/>
    <w:bookmarkEnd w:id="17"/>
    <w:bookmarkEnd w:id="18"/>
    <w:bookmarkEnd w:id="19"/>
    <w:bookmarkEnd w:id="20"/>
    <w:bookmarkEnd w:id="21"/>
    <w:bookmarkEnd w:id="22"/>
    <w:p w14:paraId="6BC8BEB5">
      <w:pPr>
        <w:spacing w:line="360" w:lineRule="auto"/>
        <w:ind w:firstLine="310" w:firstLineChars="147"/>
        <w:rPr>
          <w:rFonts w:ascii="黑体" w:hAnsi="黑体" w:eastAsia="黑体"/>
          <w:b/>
          <w:color w:val="auto"/>
          <w:sz w:val="21"/>
          <w:szCs w:val="21"/>
          <w:highlight w:val="none"/>
        </w:rPr>
      </w:pPr>
      <w:r>
        <w:rPr>
          <w:rFonts w:hint="eastAsia" w:ascii="黑体" w:hAnsi="黑体" w:eastAsia="黑体"/>
          <w:b/>
          <w:color w:val="auto"/>
          <w:sz w:val="21"/>
          <w:szCs w:val="21"/>
          <w:highlight w:val="none"/>
        </w:rPr>
        <w:t>一、项目基本情况</w:t>
      </w:r>
    </w:p>
    <w:p w14:paraId="6DA939BB">
      <w:pPr>
        <w:spacing w:line="360" w:lineRule="auto"/>
        <w:ind w:firstLine="420" w:firstLineChars="200"/>
        <w:rPr>
          <w:rFonts w:ascii="宋体" w:hAnsi="宋体" w:cs="宋体"/>
          <w:bCs/>
          <w:color w:val="auto"/>
          <w:sz w:val="21"/>
          <w:szCs w:val="21"/>
          <w:highlight w:val="none"/>
        </w:rPr>
      </w:pPr>
      <w:r>
        <w:rPr>
          <w:rFonts w:hint="eastAsia" w:ascii="宋体" w:hAnsi="宋体" w:cs="宋体"/>
          <w:bCs/>
          <w:color w:val="auto"/>
          <w:sz w:val="21"/>
          <w:szCs w:val="21"/>
          <w:highlight w:val="none"/>
        </w:rPr>
        <w:t>1.采购项目名称：</w:t>
      </w:r>
      <w:r>
        <w:rPr>
          <w:rFonts w:hint="eastAsia" w:ascii="宋体" w:hAnsi="宋体" w:cs="宋体"/>
          <w:bCs/>
          <w:color w:val="auto"/>
          <w:sz w:val="21"/>
          <w:szCs w:val="21"/>
          <w:highlight w:val="none"/>
          <w:lang w:eastAsia="zh-CN"/>
        </w:rPr>
        <w:t>红水河（桥巩至宾港作业区）航道提升工程水生生态环境现状调查与评价服务</w:t>
      </w:r>
    </w:p>
    <w:p w14:paraId="4DC36C8C">
      <w:pPr>
        <w:spacing w:line="360" w:lineRule="auto"/>
        <w:ind w:firstLine="420" w:firstLineChars="200"/>
        <w:rPr>
          <w:rFonts w:hint="eastAsia" w:ascii="宋体" w:hAnsi="宋体" w:eastAsia="宋体" w:cs="宋体"/>
          <w:bCs/>
          <w:color w:val="auto"/>
          <w:sz w:val="21"/>
          <w:szCs w:val="21"/>
          <w:highlight w:val="none"/>
          <w:lang w:eastAsia="zh-CN"/>
        </w:rPr>
      </w:pPr>
      <w:r>
        <w:rPr>
          <w:rFonts w:hint="eastAsia" w:ascii="宋体" w:hAnsi="宋体" w:cs="宋体"/>
          <w:bCs/>
          <w:color w:val="auto"/>
          <w:sz w:val="21"/>
          <w:szCs w:val="21"/>
          <w:highlight w:val="none"/>
        </w:rPr>
        <w:t>2.项目地点：</w:t>
      </w:r>
      <w:r>
        <w:rPr>
          <w:rFonts w:hint="eastAsia" w:ascii="宋体" w:hAnsi="宋体" w:cs="宋体"/>
          <w:bCs/>
          <w:color w:val="auto"/>
          <w:sz w:val="21"/>
          <w:szCs w:val="21"/>
          <w:highlight w:val="none"/>
          <w:lang w:eastAsia="zh-CN"/>
        </w:rPr>
        <w:t>红水河（桥巩至宾港作业区）河段</w:t>
      </w:r>
    </w:p>
    <w:p w14:paraId="133F3696">
      <w:pPr>
        <w:spacing w:line="360" w:lineRule="auto"/>
        <w:ind w:firstLine="420" w:firstLineChars="200"/>
        <w:jc w:val="left"/>
        <w:rPr>
          <w:rFonts w:hint="eastAsia" w:ascii="宋体" w:hAnsi="宋体" w:cs="宋体"/>
          <w:bCs/>
          <w:color w:val="auto"/>
          <w:sz w:val="21"/>
          <w:szCs w:val="21"/>
          <w:highlight w:val="none"/>
        </w:rPr>
      </w:pPr>
      <w:r>
        <w:rPr>
          <w:rFonts w:hint="eastAsia" w:ascii="宋体" w:hAnsi="宋体" w:cs="宋体"/>
          <w:bCs/>
          <w:color w:val="auto"/>
          <w:sz w:val="21"/>
          <w:szCs w:val="21"/>
          <w:highlight w:val="none"/>
        </w:rPr>
        <w:t>3.项目概况：</w:t>
      </w:r>
      <w:r>
        <w:rPr>
          <w:rFonts w:hint="eastAsia" w:ascii="宋体" w:hAnsi="宋体" w:cs="宋体"/>
          <w:bCs/>
          <w:color w:val="auto"/>
          <w:szCs w:val="21"/>
          <w:highlight w:val="none"/>
        </w:rPr>
        <w:t>开展</w:t>
      </w:r>
      <w:r>
        <w:rPr>
          <w:rFonts w:hint="eastAsia" w:ascii="宋体" w:hAnsi="宋体" w:cs="宋体"/>
          <w:bCs/>
          <w:color w:val="auto"/>
          <w:szCs w:val="21"/>
          <w:highlight w:val="none"/>
          <w:lang w:eastAsia="zh-CN"/>
        </w:rPr>
        <w:t>红水河（桥巩至宾港作业区）航道提升工程水生生态环境现状调查与评价</w:t>
      </w:r>
      <w:r>
        <w:rPr>
          <w:rFonts w:hint="eastAsia" w:ascii="宋体" w:hAnsi="宋体" w:cs="宋体"/>
          <w:bCs/>
          <w:color w:val="auto"/>
          <w:szCs w:val="21"/>
          <w:highlight w:val="none"/>
        </w:rPr>
        <w:t>，编制</w:t>
      </w:r>
      <w:r>
        <w:rPr>
          <w:rFonts w:hint="eastAsia" w:ascii="宋体" w:hAnsi="宋体" w:cs="宋体"/>
          <w:bCs/>
          <w:color w:val="auto"/>
          <w:szCs w:val="21"/>
          <w:highlight w:val="none"/>
          <w:lang w:eastAsia="zh-CN"/>
        </w:rPr>
        <w:t>红水河（桥巩至宾港作业区）航道提升工程水生生态环境现状调查与评价报告</w:t>
      </w:r>
      <w:r>
        <w:rPr>
          <w:rFonts w:hint="eastAsia" w:ascii="宋体" w:hAnsi="宋体" w:cs="宋体"/>
          <w:bCs/>
          <w:color w:val="auto"/>
          <w:szCs w:val="21"/>
          <w:highlight w:val="none"/>
        </w:rPr>
        <w:t>。</w:t>
      </w:r>
    </w:p>
    <w:p w14:paraId="1A2D988C">
      <w:pPr>
        <w:spacing w:line="360" w:lineRule="auto"/>
        <w:ind w:firstLine="420" w:firstLineChars="200"/>
        <w:jc w:val="left"/>
        <w:rPr>
          <w:rFonts w:ascii="仿宋_GB2312" w:hAnsi="仿宋" w:eastAsia="仿宋_GB2312" w:cs="宋体"/>
          <w:bCs/>
          <w:color w:val="auto"/>
          <w:kern w:val="0"/>
          <w:sz w:val="21"/>
          <w:szCs w:val="21"/>
          <w:highlight w:val="none"/>
        </w:rPr>
      </w:pPr>
      <w:r>
        <w:rPr>
          <w:rFonts w:hint="eastAsia" w:ascii="宋体" w:hAnsi="宋体" w:cs="宋体"/>
          <w:bCs/>
          <w:color w:val="auto"/>
          <w:sz w:val="21"/>
          <w:szCs w:val="21"/>
          <w:highlight w:val="none"/>
        </w:rPr>
        <w:t>4.采购最高限价：</w:t>
      </w:r>
      <w:r>
        <w:rPr>
          <w:rFonts w:hint="eastAsia" w:ascii="宋体" w:hAnsi="宋体" w:cs="宋体"/>
          <w:bCs/>
          <w:color w:val="auto"/>
          <w:sz w:val="21"/>
          <w:szCs w:val="21"/>
          <w:highlight w:val="none"/>
          <w:lang w:val="en-US" w:eastAsia="zh-CN"/>
        </w:rPr>
        <w:t>95</w:t>
      </w:r>
      <w:r>
        <w:rPr>
          <w:rFonts w:hint="eastAsia" w:ascii="宋体" w:hAnsi="宋体" w:cs="宋体"/>
          <w:bCs/>
          <w:color w:val="auto"/>
          <w:sz w:val="21"/>
          <w:szCs w:val="21"/>
          <w:highlight w:val="none"/>
        </w:rPr>
        <w:t>万元，报价超过</w:t>
      </w:r>
      <w:r>
        <w:rPr>
          <w:rFonts w:hint="eastAsia" w:ascii="宋体" w:hAnsi="宋体" w:cs="宋体"/>
          <w:bCs/>
          <w:color w:val="auto"/>
          <w:sz w:val="21"/>
          <w:szCs w:val="21"/>
          <w:highlight w:val="none"/>
          <w:lang w:eastAsia="zh-CN"/>
        </w:rPr>
        <w:t>最高限价</w:t>
      </w:r>
      <w:r>
        <w:rPr>
          <w:rFonts w:hint="eastAsia" w:ascii="宋体" w:hAnsi="宋体" w:cs="宋体"/>
          <w:bCs/>
          <w:color w:val="auto"/>
          <w:sz w:val="21"/>
          <w:szCs w:val="21"/>
          <w:highlight w:val="none"/>
        </w:rPr>
        <w:t>的响应文件为无效。</w:t>
      </w:r>
    </w:p>
    <w:p w14:paraId="35694049">
      <w:pPr>
        <w:spacing w:line="360" w:lineRule="auto"/>
        <w:ind w:firstLine="420" w:firstLineChars="200"/>
        <w:rPr>
          <w:rFonts w:ascii="宋体" w:hAnsi="宋体" w:cs="宋体"/>
          <w:bCs/>
          <w:color w:val="auto"/>
          <w:sz w:val="21"/>
          <w:szCs w:val="21"/>
          <w:highlight w:val="none"/>
        </w:rPr>
      </w:pPr>
      <w:r>
        <w:rPr>
          <w:rFonts w:hint="eastAsia" w:ascii="宋体" w:hAnsi="宋体" w:cs="宋体"/>
          <w:bCs/>
          <w:color w:val="auto"/>
          <w:sz w:val="21"/>
          <w:szCs w:val="21"/>
          <w:highlight w:val="none"/>
          <w:lang w:val="en-US" w:eastAsia="zh-CN"/>
        </w:rPr>
        <w:t>5</w:t>
      </w:r>
      <w:r>
        <w:rPr>
          <w:rFonts w:hint="eastAsia" w:ascii="宋体" w:hAnsi="宋体" w:cs="宋体"/>
          <w:bCs/>
          <w:color w:val="auto"/>
          <w:sz w:val="21"/>
          <w:szCs w:val="21"/>
          <w:highlight w:val="none"/>
        </w:rPr>
        <w:t>.采购方式：自行采购。</w:t>
      </w:r>
    </w:p>
    <w:p w14:paraId="5BC2BAB2">
      <w:pPr>
        <w:spacing w:line="360" w:lineRule="auto"/>
        <w:ind w:firstLine="420" w:firstLineChars="200"/>
        <w:rPr>
          <w:rFonts w:ascii="宋体" w:hAnsi="宋体" w:cs="宋体"/>
          <w:bCs/>
          <w:color w:val="auto"/>
          <w:sz w:val="21"/>
          <w:szCs w:val="21"/>
          <w:highlight w:val="none"/>
        </w:rPr>
      </w:pPr>
      <w:r>
        <w:rPr>
          <w:rFonts w:hint="eastAsia" w:ascii="宋体" w:hAnsi="宋体" w:cs="宋体"/>
          <w:bCs/>
          <w:color w:val="auto"/>
          <w:sz w:val="21"/>
          <w:szCs w:val="21"/>
          <w:highlight w:val="none"/>
          <w:lang w:val="en-US" w:eastAsia="zh-CN"/>
        </w:rPr>
        <w:t>6</w:t>
      </w:r>
      <w:r>
        <w:rPr>
          <w:rFonts w:hint="eastAsia" w:ascii="宋体" w:hAnsi="宋体" w:cs="宋体"/>
          <w:bCs/>
          <w:color w:val="auto"/>
          <w:sz w:val="21"/>
          <w:szCs w:val="21"/>
          <w:highlight w:val="none"/>
        </w:rPr>
        <w:t xml:space="preserve">.采购需求： </w:t>
      </w:r>
    </w:p>
    <w:tbl>
      <w:tblPr>
        <w:tblStyle w:val="24"/>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57" w:type="dxa"/>
          <w:left w:w="108" w:type="dxa"/>
          <w:bottom w:w="57" w:type="dxa"/>
          <w:right w:w="108" w:type="dxa"/>
        </w:tblCellMar>
      </w:tblPr>
      <w:tblGrid>
        <w:gridCol w:w="776"/>
        <w:gridCol w:w="1746"/>
        <w:gridCol w:w="849"/>
        <w:gridCol w:w="5384"/>
      </w:tblGrid>
      <w:tr w14:paraId="4A0E0A2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57" w:type="dxa"/>
            <w:left w:w="108" w:type="dxa"/>
            <w:bottom w:w="57" w:type="dxa"/>
            <w:right w:w="108" w:type="dxa"/>
          </w:tblCellMar>
        </w:tblPrEx>
        <w:trPr>
          <w:cantSplit/>
          <w:jc w:val="center"/>
        </w:trPr>
        <w:tc>
          <w:tcPr>
            <w:tcW w:w="776" w:type="dxa"/>
            <w:tcBorders>
              <w:top w:val="single" w:color="auto" w:sz="4" w:space="0"/>
              <w:left w:val="single" w:color="auto" w:sz="4" w:space="0"/>
              <w:bottom w:val="single" w:color="auto" w:sz="4" w:space="0"/>
              <w:right w:val="single" w:color="auto" w:sz="4" w:space="0"/>
            </w:tcBorders>
            <w:vAlign w:val="center"/>
          </w:tcPr>
          <w:p w14:paraId="787FAD46">
            <w:pPr>
              <w:adjustRightInd w:val="0"/>
              <w:snapToGrid w:val="0"/>
              <w:jc w:val="center"/>
              <w:rPr>
                <w:rFonts w:ascii="宋体" w:hAnsi="宋体"/>
                <w:color w:val="auto"/>
                <w:sz w:val="21"/>
                <w:szCs w:val="21"/>
                <w:highlight w:val="none"/>
              </w:rPr>
            </w:pPr>
            <w:r>
              <w:rPr>
                <w:rFonts w:hint="eastAsia" w:ascii="宋体" w:hAnsi="宋体"/>
                <w:color w:val="auto"/>
                <w:sz w:val="21"/>
                <w:szCs w:val="21"/>
                <w:highlight w:val="none"/>
              </w:rPr>
              <w:t>序号</w:t>
            </w:r>
          </w:p>
        </w:tc>
        <w:tc>
          <w:tcPr>
            <w:tcW w:w="1746" w:type="dxa"/>
            <w:tcBorders>
              <w:top w:val="single" w:color="auto" w:sz="4" w:space="0"/>
              <w:left w:val="single" w:color="auto" w:sz="4" w:space="0"/>
              <w:bottom w:val="single" w:color="auto" w:sz="4" w:space="0"/>
              <w:right w:val="single" w:color="auto" w:sz="4" w:space="0"/>
            </w:tcBorders>
            <w:vAlign w:val="center"/>
          </w:tcPr>
          <w:p w14:paraId="7476B381">
            <w:pPr>
              <w:adjustRightInd w:val="0"/>
              <w:snapToGrid w:val="0"/>
              <w:jc w:val="center"/>
              <w:rPr>
                <w:rFonts w:ascii="宋体" w:hAnsi="宋体"/>
                <w:color w:val="auto"/>
                <w:sz w:val="21"/>
                <w:szCs w:val="21"/>
                <w:highlight w:val="none"/>
              </w:rPr>
            </w:pPr>
            <w:r>
              <w:rPr>
                <w:rFonts w:hint="eastAsia" w:ascii="宋体" w:hAnsi="宋体"/>
                <w:color w:val="auto"/>
                <w:sz w:val="21"/>
                <w:szCs w:val="21"/>
                <w:highlight w:val="none"/>
              </w:rPr>
              <w:t>标的名称</w:t>
            </w:r>
          </w:p>
        </w:tc>
        <w:tc>
          <w:tcPr>
            <w:tcW w:w="849" w:type="dxa"/>
            <w:tcBorders>
              <w:top w:val="single" w:color="auto" w:sz="4" w:space="0"/>
              <w:left w:val="single" w:color="auto" w:sz="4" w:space="0"/>
              <w:bottom w:val="single" w:color="auto" w:sz="4" w:space="0"/>
              <w:right w:val="single" w:color="auto" w:sz="4" w:space="0"/>
            </w:tcBorders>
            <w:vAlign w:val="center"/>
          </w:tcPr>
          <w:p w14:paraId="064C3ACF">
            <w:pPr>
              <w:adjustRightInd w:val="0"/>
              <w:snapToGrid w:val="0"/>
              <w:jc w:val="center"/>
              <w:rPr>
                <w:rFonts w:ascii="宋体" w:hAnsi="宋体"/>
                <w:color w:val="auto"/>
                <w:sz w:val="21"/>
                <w:szCs w:val="21"/>
                <w:highlight w:val="none"/>
              </w:rPr>
            </w:pPr>
            <w:r>
              <w:rPr>
                <w:rFonts w:hint="eastAsia" w:ascii="宋体" w:hAnsi="宋体"/>
                <w:color w:val="auto"/>
                <w:sz w:val="21"/>
                <w:szCs w:val="21"/>
                <w:highlight w:val="none"/>
              </w:rPr>
              <w:t>数量及</w:t>
            </w:r>
          </w:p>
          <w:p w14:paraId="2046C785">
            <w:pPr>
              <w:adjustRightInd w:val="0"/>
              <w:snapToGrid w:val="0"/>
              <w:jc w:val="center"/>
              <w:rPr>
                <w:rFonts w:ascii="宋体" w:hAnsi="宋体"/>
                <w:color w:val="auto"/>
                <w:sz w:val="21"/>
                <w:szCs w:val="21"/>
                <w:highlight w:val="none"/>
              </w:rPr>
            </w:pPr>
            <w:r>
              <w:rPr>
                <w:rFonts w:hint="eastAsia" w:ascii="宋体" w:hAnsi="宋体"/>
                <w:color w:val="auto"/>
                <w:sz w:val="21"/>
                <w:szCs w:val="21"/>
                <w:highlight w:val="none"/>
              </w:rPr>
              <w:t>单位</w:t>
            </w:r>
          </w:p>
        </w:tc>
        <w:tc>
          <w:tcPr>
            <w:tcW w:w="5384" w:type="dxa"/>
            <w:tcBorders>
              <w:top w:val="single" w:color="auto" w:sz="4" w:space="0"/>
              <w:left w:val="single" w:color="auto" w:sz="4" w:space="0"/>
              <w:bottom w:val="single" w:color="auto" w:sz="4" w:space="0"/>
              <w:right w:val="single" w:color="auto" w:sz="4" w:space="0"/>
            </w:tcBorders>
            <w:vAlign w:val="center"/>
          </w:tcPr>
          <w:p w14:paraId="054D5668">
            <w:pPr>
              <w:adjustRightInd w:val="0"/>
              <w:snapToGrid w:val="0"/>
              <w:jc w:val="center"/>
              <w:rPr>
                <w:rFonts w:ascii="宋体" w:hAnsi="宋体"/>
                <w:color w:val="auto"/>
                <w:sz w:val="21"/>
                <w:szCs w:val="21"/>
                <w:highlight w:val="none"/>
              </w:rPr>
            </w:pPr>
            <w:r>
              <w:rPr>
                <w:rFonts w:hint="eastAsia" w:ascii="宋体" w:hAnsi="宋体"/>
                <w:color w:val="auto"/>
                <w:sz w:val="21"/>
                <w:szCs w:val="21"/>
                <w:highlight w:val="none"/>
              </w:rPr>
              <w:t>简要服务要求或者技术需求</w:t>
            </w:r>
          </w:p>
        </w:tc>
      </w:tr>
      <w:tr w14:paraId="4EFA5E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57" w:type="dxa"/>
            <w:left w:w="108" w:type="dxa"/>
            <w:bottom w:w="57" w:type="dxa"/>
            <w:right w:w="108" w:type="dxa"/>
          </w:tblCellMar>
        </w:tblPrEx>
        <w:trPr>
          <w:cantSplit/>
          <w:jc w:val="center"/>
        </w:trPr>
        <w:tc>
          <w:tcPr>
            <w:tcW w:w="776" w:type="dxa"/>
            <w:tcBorders>
              <w:top w:val="single" w:color="auto" w:sz="4" w:space="0"/>
              <w:left w:val="single" w:color="auto" w:sz="4" w:space="0"/>
              <w:bottom w:val="single" w:color="auto" w:sz="4" w:space="0"/>
              <w:right w:val="single" w:color="auto" w:sz="4" w:space="0"/>
            </w:tcBorders>
            <w:vAlign w:val="center"/>
          </w:tcPr>
          <w:p w14:paraId="0699683B">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1</w:t>
            </w:r>
          </w:p>
        </w:tc>
        <w:tc>
          <w:tcPr>
            <w:tcW w:w="1746" w:type="dxa"/>
            <w:tcBorders>
              <w:top w:val="single" w:color="auto" w:sz="4" w:space="0"/>
              <w:left w:val="single" w:color="auto" w:sz="4" w:space="0"/>
              <w:bottom w:val="single" w:color="auto" w:sz="4" w:space="0"/>
              <w:right w:val="single" w:color="auto" w:sz="4" w:space="0"/>
            </w:tcBorders>
            <w:vAlign w:val="center"/>
          </w:tcPr>
          <w:p w14:paraId="0843B70F">
            <w:pPr>
              <w:spacing w:line="360" w:lineRule="auto"/>
              <w:ind w:firstLine="420" w:firstLineChars="200"/>
              <w:rPr>
                <w:rFonts w:ascii="宋体" w:hAnsi="宋体"/>
                <w:color w:val="auto"/>
                <w:sz w:val="21"/>
                <w:szCs w:val="21"/>
                <w:highlight w:val="none"/>
              </w:rPr>
            </w:pPr>
            <w:r>
              <w:rPr>
                <w:rFonts w:hint="eastAsia" w:ascii="宋体" w:hAnsi="宋体" w:cs="宋体"/>
                <w:bCs/>
                <w:color w:val="auto"/>
                <w:sz w:val="21"/>
                <w:szCs w:val="21"/>
                <w:highlight w:val="none"/>
                <w:lang w:eastAsia="zh-CN"/>
              </w:rPr>
              <w:t>红水河（桥巩至宾港作业区）航道提升工程水生生态环境现状调查与评价服务</w:t>
            </w:r>
          </w:p>
        </w:tc>
        <w:tc>
          <w:tcPr>
            <w:tcW w:w="849" w:type="dxa"/>
            <w:tcBorders>
              <w:top w:val="single" w:color="auto" w:sz="4" w:space="0"/>
              <w:left w:val="single" w:color="auto" w:sz="4" w:space="0"/>
              <w:bottom w:val="single" w:color="auto" w:sz="4" w:space="0"/>
              <w:right w:val="single" w:color="auto" w:sz="4" w:space="0"/>
            </w:tcBorders>
            <w:vAlign w:val="center"/>
          </w:tcPr>
          <w:p w14:paraId="66D2F492">
            <w:pPr>
              <w:keepNext/>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1项</w:t>
            </w:r>
          </w:p>
        </w:tc>
        <w:tc>
          <w:tcPr>
            <w:tcW w:w="5384" w:type="dxa"/>
            <w:tcBorders>
              <w:top w:val="single" w:color="auto" w:sz="4" w:space="0"/>
              <w:left w:val="single" w:color="auto" w:sz="4" w:space="0"/>
              <w:bottom w:val="single" w:color="auto" w:sz="4" w:space="0"/>
              <w:right w:val="single" w:color="auto" w:sz="4" w:space="0"/>
            </w:tcBorders>
            <w:vAlign w:val="center"/>
          </w:tcPr>
          <w:p w14:paraId="314C0392">
            <w:pPr>
              <w:pStyle w:val="6"/>
              <w:ind w:firstLine="420" w:firstLineChars="200"/>
              <w:rPr>
                <w:rFonts w:hint="default" w:ascii="宋体" w:hAnsi="宋体" w:eastAsia="宋体"/>
                <w:b w:val="0"/>
                <w:bCs w:val="0"/>
                <w:color w:val="auto"/>
                <w:sz w:val="21"/>
                <w:szCs w:val="21"/>
                <w:highlight w:val="none"/>
                <w:lang w:val="en-US" w:eastAsia="zh-CN"/>
              </w:rPr>
            </w:pPr>
            <w:r>
              <w:rPr>
                <w:rFonts w:hint="eastAsia" w:ascii="宋体" w:hAnsi="宋体"/>
                <w:b w:val="0"/>
                <w:bCs w:val="0"/>
                <w:color w:val="auto"/>
                <w:sz w:val="21"/>
                <w:szCs w:val="21"/>
                <w:highlight w:val="none"/>
                <w:lang w:val="en-US" w:eastAsia="zh-CN"/>
              </w:rPr>
              <w:t>开展红水河（桥巩至宾港作业区）航道提升工程水生生态环境现状调查与评价，并基于现状调查结果编制水生生态现状调查评价报告，支撑工程对自然保护区影响和生态保护红线不可避让等专题论证报告及环评报批。</w:t>
            </w:r>
            <w:r>
              <w:rPr>
                <w:rFonts w:hint="eastAsia" w:ascii="宋体" w:hAnsi="宋体"/>
                <w:b w:val="0"/>
                <w:bCs w:val="0"/>
                <w:color w:val="auto"/>
                <w:szCs w:val="21"/>
                <w:highlight w:val="none"/>
              </w:rPr>
              <w:t>现状调查与分析评价报告技术成果须满足工程</w:t>
            </w:r>
            <w:r>
              <w:rPr>
                <w:rFonts w:hint="eastAsia" w:ascii="宋体" w:hAnsi="宋体"/>
                <w:b w:val="0"/>
                <w:bCs w:val="0"/>
                <w:color w:val="auto"/>
                <w:szCs w:val="21"/>
                <w:highlight w:val="none"/>
                <w:lang w:eastAsia="zh-CN"/>
              </w:rPr>
              <w:t>对红水河来宾段珍稀鱼类自然保护区影响</w:t>
            </w:r>
            <w:r>
              <w:rPr>
                <w:rFonts w:hint="eastAsia" w:ascii="宋体" w:hAnsi="宋体"/>
                <w:b w:val="0"/>
                <w:bCs w:val="0"/>
                <w:color w:val="auto"/>
                <w:szCs w:val="21"/>
                <w:highlight w:val="none"/>
              </w:rPr>
              <w:t>和生态保护红线不可避让等专题报告及环评报告编制和报批技术要求。</w:t>
            </w:r>
          </w:p>
          <w:p w14:paraId="67B26BCF">
            <w:pPr>
              <w:pStyle w:val="6"/>
              <w:ind w:firstLine="420" w:firstLineChars="200"/>
              <w:rPr>
                <w:color w:val="auto"/>
                <w:sz w:val="21"/>
                <w:szCs w:val="21"/>
                <w:highlight w:val="none"/>
              </w:rPr>
            </w:pPr>
            <w:r>
              <w:rPr>
                <w:rFonts w:hint="eastAsia"/>
                <w:b w:val="0"/>
                <w:bCs w:val="0"/>
                <w:color w:val="auto"/>
                <w:sz w:val="21"/>
                <w:szCs w:val="21"/>
                <w:highlight w:val="none"/>
              </w:rPr>
              <w:t>详见</w:t>
            </w:r>
            <w:r>
              <w:rPr>
                <w:rFonts w:hint="eastAsia"/>
                <w:b w:val="0"/>
                <w:bCs w:val="0"/>
                <w:color w:val="auto"/>
                <w:sz w:val="21"/>
                <w:szCs w:val="21"/>
                <w:highlight w:val="none"/>
                <w:lang w:eastAsia="zh-CN"/>
              </w:rPr>
              <w:t>采购文件第三章</w:t>
            </w:r>
            <w:r>
              <w:rPr>
                <w:rFonts w:hint="eastAsia"/>
                <w:b w:val="0"/>
                <w:bCs w:val="0"/>
                <w:color w:val="auto"/>
                <w:sz w:val="21"/>
                <w:szCs w:val="21"/>
                <w:highlight w:val="none"/>
              </w:rPr>
              <w:t>采购需求</w:t>
            </w:r>
            <w:r>
              <w:rPr>
                <w:rFonts w:hint="eastAsia" w:ascii="宋体" w:hAnsi="宋体"/>
                <w:b w:val="0"/>
                <w:bCs w:val="0"/>
                <w:color w:val="auto"/>
                <w:sz w:val="21"/>
                <w:szCs w:val="21"/>
                <w:highlight w:val="none"/>
              </w:rPr>
              <w:t>。</w:t>
            </w:r>
          </w:p>
        </w:tc>
      </w:tr>
    </w:tbl>
    <w:p w14:paraId="475C4B6F">
      <w:pPr>
        <w:spacing w:line="360" w:lineRule="auto"/>
        <w:ind w:firstLine="420" w:firstLineChars="200"/>
        <w:rPr>
          <w:rFonts w:ascii="宋体" w:hAnsi="宋体" w:cs="宋体"/>
          <w:bCs/>
          <w:color w:val="auto"/>
          <w:sz w:val="21"/>
          <w:szCs w:val="21"/>
          <w:highlight w:val="none"/>
        </w:rPr>
      </w:pPr>
      <w:r>
        <w:rPr>
          <w:rFonts w:hint="eastAsia" w:ascii="宋体" w:hAnsi="宋体" w:cs="宋体"/>
          <w:bCs/>
          <w:color w:val="auto"/>
          <w:sz w:val="21"/>
          <w:szCs w:val="21"/>
          <w:highlight w:val="none"/>
          <w:lang w:val="en-US" w:eastAsia="zh-CN"/>
        </w:rPr>
        <w:t>7</w:t>
      </w:r>
      <w:r>
        <w:rPr>
          <w:rFonts w:hint="eastAsia" w:ascii="宋体" w:hAnsi="宋体" w:cs="宋体"/>
          <w:bCs/>
          <w:color w:val="auto"/>
          <w:sz w:val="21"/>
          <w:szCs w:val="21"/>
          <w:highlight w:val="none"/>
        </w:rPr>
        <w:t>.合同履行期限：</w:t>
      </w:r>
    </w:p>
    <w:p w14:paraId="72308102">
      <w:pPr>
        <w:spacing w:line="360" w:lineRule="auto"/>
        <w:ind w:firstLine="420" w:firstLineChars="200"/>
        <w:rPr>
          <w:rFonts w:hint="eastAsia" w:ascii="宋体" w:hAnsi="宋体" w:eastAsia="宋体" w:cs="宋体"/>
          <w:bCs/>
          <w:color w:val="auto"/>
          <w:sz w:val="21"/>
          <w:szCs w:val="21"/>
          <w:highlight w:val="none"/>
          <w:lang w:eastAsia="zh-CN"/>
        </w:rPr>
      </w:pPr>
      <w:r>
        <w:rPr>
          <w:rFonts w:hint="eastAsia" w:ascii="宋体" w:hAnsi="宋体" w:cs="宋体"/>
          <w:bCs/>
          <w:color w:val="auto"/>
          <w:sz w:val="21"/>
          <w:szCs w:val="21"/>
          <w:highlight w:val="none"/>
        </w:rPr>
        <w:t>工期：</w:t>
      </w:r>
      <w:r>
        <w:rPr>
          <w:rFonts w:hint="eastAsia" w:ascii="宋体" w:hAnsi="宋体" w:cs="宋体"/>
          <w:bCs/>
          <w:color w:val="auto"/>
          <w:sz w:val="21"/>
          <w:szCs w:val="21"/>
          <w:highlight w:val="none"/>
          <w:lang w:val="en-US" w:eastAsia="zh-CN"/>
        </w:rPr>
        <w:t>90日历天</w:t>
      </w:r>
      <w:r>
        <w:rPr>
          <w:rFonts w:hint="eastAsia" w:ascii="宋体" w:hAnsi="宋体" w:cs="宋体"/>
          <w:color w:val="auto"/>
          <w:sz w:val="21"/>
          <w:szCs w:val="21"/>
          <w:highlight w:val="none"/>
          <w:lang w:bidi="ar"/>
        </w:rPr>
        <w:t>。</w:t>
      </w:r>
      <w:r>
        <w:rPr>
          <w:rFonts w:hint="eastAsia" w:ascii="宋体" w:hAnsi="宋体" w:cs="宋体"/>
          <w:color w:val="auto"/>
          <w:sz w:val="21"/>
          <w:szCs w:val="21"/>
          <w:highlight w:val="none"/>
          <w:lang w:eastAsia="zh-CN" w:bidi="ar"/>
        </w:rPr>
        <w:t>具体如下：</w:t>
      </w:r>
    </w:p>
    <w:p w14:paraId="39A1F231">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w:t>
      </w:r>
      <w:r>
        <w:rPr>
          <w:rFonts w:hint="eastAsia" w:ascii="宋体" w:hAnsi="宋体" w:cs="宋体"/>
          <w:bCs/>
          <w:color w:val="auto"/>
          <w:szCs w:val="21"/>
          <w:highlight w:val="none"/>
          <w:lang w:val="en-US" w:eastAsia="zh-CN"/>
        </w:rPr>
        <w:t>1</w:t>
      </w:r>
      <w:r>
        <w:rPr>
          <w:rFonts w:hint="eastAsia" w:ascii="宋体" w:hAnsi="宋体" w:cs="宋体"/>
          <w:bCs/>
          <w:color w:val="auto"/>
          <w:szCs w:val="21"/>
          <w:highlight w:val="none"/>
        </w:rPr>
        <w:t>）中标通知书发出后</w:t>
      </w:r>
      <w:r>
        <w:rPr>
          <w:rFonts w:hint="eastAsia" w:ascii="宋体" w:hAnsi="宋体" w:cs="宋体"/>
          <w:bCs/>
          <w:color w:val="auto"/>
          <w:szCs w:val="21"/>
          <w:highlight w:val="none"/>
          <w:lang w:val="en-US" w:eastAsia="zh-CN"/>
        </w:rPr>
        <w:t>3</w:t>
      </w:r>
      <w:r>
        <w:rPr>
          <w:rFonts w:hint="eastAsia" w:ascii="宋体" w:hAnsi="宋体" w:cs="宋体"/>
          <w:bCs/>
          <w:color w:val="auto"/>
          <w:szCs w:val="21"/>
          <w:highlight w:val="none"/>
        </w:rPr>
        <w:t>0天内，完成枯水期水生生态环境现状调查；</w:t>
      </w:r>
    </w:p>
    <w:p w14:paraId="5AE4FCFD">
      <w:pPr>
        <w:spacing w:line="360" w:lineRule="auto"/>
        <w:ind w:firstLine="420" w:firstLineChars="200"/>
        <w:rPr>
          <w:rFonts w:hint="default" w:ascii="宋体" w:hAnsi="宋体" w:eastAsia="宋体" w:cs="宋体"/>
          <w:bCs/>
          <w:color w:val="auto"/>
          <w:szCs w:val="21"/>
          <w:highlight w:val="none"/>
          <w:lang w:val="en-US" w:eastAsia="zh-CN"/>
        </w:rPr>
      </w:pPr>
      <w:r>
        <w:rPr>
          <w:rFonts w:hint="eastAsia" w:ascii="宋体" w:hAnsi="宋体" w:cs="宋体"/>
          <w:bCs/>
          <w:color w:val="auto"/>
          <w:szCs w:val="21"/>
          <w:highlight w:val="none"/>
          <w:lang w:eastAsia="zh-CN"/>
        </w:rPr>
        <w:t>（</w:t>
      </w:r>
      <w:r>
        <w:rPr>
          <w:rFonts w:hint="eastAsia" w:ascii="宋体" w:hAnsi="宋体" w:cs="宋体"/>
          <w:bCs/>
          <w:color w:val="auto"/>
          <w:szCs w:val="21"/>
          <w:highlight w:val="none"/>
          <w:lang w:val="en-US" w:eastAsia="zh-CN"/>
        </w:rPr>
        <w:t>2</w:t>
      </w:r>
      <w:r>
        <w:rPr>
          <w:rFonts w:hint="eastAsia" w:ascii="宋体" w:hAnsi="宋体" w:cs="宋体"/>
          <w:bCs/>
          <w:color w:val="auto"/>
          <w:szCs w:val="21"/>
          <w:highlight w:val="none"/>
          <w:lang w:eastAsia="zh-CN"/>
        </w:rPr>
        <w:t>）合同签订后</w:t>
      </w:r>
      <w:r>
        <w:rPr>
          <w:rFonts w:hint="eastAsia" w:ascii="宋体" w:hAnsi="宋体" w:cs="宋体"/>
          <w:bCs/>
          <w:color w:val="auto"/>
          <w:szCs w:val="21"/>
          <w:highlight w:val="none"/>
          <w:lang w:val="en-US" w:eastAsia="zh-CN"/>
        </w:rPr>
        <w:t>60天内，提交</w:t>
      </w:r>
      <w:r>
        <w:rPr>
          <w:rFonts w:hint="eastAsia" w:ascii="宋体" w:hAnsi="宋体" w:cs="宋体"/>
          <w:bCs/>
          <w:color w:val="auto"/>
          <w:szCs w:val="21"/>
          <w:highlight w:val="none"/>
        </w:rPr>
        <w:t>《红水河（来宾桥巩至宾港作业区）二级航道工程水生生态环境现状调查评价报告（丰水期）》；</w:t>
      </w:r>
    </w:p>
    <w:p w14:paraId="458AFC49">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w:t>
      </w:r>
      <w:r>
        <w:rPr>
          <w:rFonts w:hint="eastAsia" w:ascii="宋体" w:hAnsi="宋体" w:cs="宋体"/>
          <w:bCs/>
          <w:color w:val="auto"/>
          <w:szCs w:val="21"/>
          <w:highlight w:val="none"/>
          <w:lang w:val="en-US" w:eastAsia="zh-CN"/>
        </w:rPr>
        <w:t>3</w:t>
      </w:r>
      <w:r>
        <w:rPr>
          <w:rFonts w:hint="eastAsia" w:ascii="宋体" w:hAnsi="宋体" w:cs="宋体"/>
          <w:bCs/>
          <w:color w:val="auto"/>
          <w:szCs w:val="21"/>
          <w:highlight w:val="none"/>
        </w:rPr>
        <w:t>）</w:t>
      </w:r>
      <w:r>
        <w:rPr>
          <w:rFonts w:hint="eastAsia" w:ascii="宋体" w:hAnsi="宋体" w:cs="宋体"/>
          <w:bCs/>
          <w:color w:val="auto"/>
          <w:szCs w:val="21"/>
          <w:highlight w:val="none"/>
          <w:lang w:eastAsia="zh-CN"/>
        </w:rPr>
        <w:t>合同签订</w:t>
      </w:r>
      <w:r>
        <w:rPr>
          <w:rFonts w:hint="eastAsia" w:ascii="宋体" w:hAnsi="宋体" w:cs="宋体"/>
          <w:bCs/>
          <w:color w:val="auto"/>
          <w:szCs w:val="21"/>
          <w:highlight w:val="none"/>
        </w:rPr>
        <w:t>后</w:t>
      </w:r>
      <w:r>
        <w:rPr>
          <w:rFonts w:hint="eastAsia" w:ascii="宋体" w:hAnsi="宋体" w:cs="宋体"/>
          <w:bCs/>
          <w:color w:val="auto"/>
          <w:szCs w:val="21"/>
          <w:highlight w:val="none"/>
          <w:lang w:val="en-US" w:eastAsia="zh-CN"/>
        </w:rPr>
        <w:t>8</w:t>
      </w:r>
      <w:r>
        <w:rPr>
          <w:rFonts w:hint="eastAsia" w:ascii="宋体" w:hAnsi="宋体" w:cs="宋体"/>
          <w:bCs/>
          <w:color w:val="auto"/>
          <w:szCs w:val="21"/>
          <w:highlight w:val="none"/>
        </w:rPr>
        <w:t>0天内，完成丰水期水生生态环境现状调查和《红水河（来宾桥巩至宾港作业区）二级航道工程水生生态环境现状调查评价报告（枯水期）》；</w:t>
      </w:r>
    </w:p>
    <w:p w14:paraId="7806DD02">
      <w:pPr>
        <w:spacing w:line="360" w:lineRule="auto"/>
        <w:ind w:firstLine="420" w:firstLineChars="200"/>
        <w:rPr>
          <w:rFonts w:hint="eastAsia" w:ascii="宋体" w:hAnsi="宋体" w:cs="宋体"/>
          <w:bCs/>
          <w:color w:val="auto"/>
          <w:sz w:val="21"/>
          <w:szCs w:val="21"/>
          <w:highlight w:val="yellow"/>
          <w:lang w:eastAsia="zh-CN"/>
        </w:rPr>
      </w:pPr>
      <w:r>
        <w:rPr>
          <w:rFonts w:hint="eastAsia" w:ascii="宋体" w:hAnsi="宋体" w:cs="宋体"/>
          <w:bCs/>
          <w:color w:val="auto"/>
          <w:szCs w:val="21"/>
          <w:highlight w:val="none"/>
        </w:rPr>
        <w:t>（</w:t>
      </w:r>
      <w:r>
        <w:rPr>
          <w:rFonts w:hint="eastAsia" w:ascii="宋体" w:hAnsi="宋体" w:cs="宋体"/>
          <w:bCs/>
          <w:color w:val="auto"/>
          <w:szCs w:val="21"/>
          <w:highlight w:val="none"/>
          <w:lang w:eastAsia="zh-CN"/>
        </w:rPr>
        <w:t>4</w:t>
      </w:r>
      <w:r>
        <w:rPr>
          <w:rFonts w:hint="eastAsia" w:ascii="宋体" w:hAnsi="宋体" w:cs="宋体"/>
          <w:bCs/>
          <w:color w:val="auto"/>
          <w:szCs w:val="21"/>
          <w:highlight w:val="none"/>
        </w:rPr>
        <w:t>）技术成果通过验收后，10天内提交最终成果。</w:t>
      </w:r>
    </w:p>
    <w:p w14:paraId="7DA62F44">
      <w:pPr>
        <w:spacing w:line="360" w:lineRule="auto"/>
        <w:ind w:firstLine="420" w:firstLineChars="200"/>
        <w:rPr>
          <w:rFonts w:hint="default" w:ascii="宋体" w:hAnsi="宋体" w:eastAsia="宋体" w:cs="宋体"/>
          <w:bCs/>
          <w:color w:val="auto"/>
          <w:sz w:val="21"/>
          <w:szCs w:val="21"/>
          <w:highlight w:val="none"/>
          <w:lang w:val="en-US" w:eastAsia="zh-CN"/>
        </w:rPr>
      </w:pPr>
      <w:r>
        <w:rPr>
          <w:rFonts w:hint="eastAsia" w:ascii="宋体" w:hAnsi="宋体" w:cs="宋体"/>
          <w:bCs/>
          <w:color w:val="auto"/>
          <w:sz w:val="21"/>
          <w:szCs w:val="21"/>
          <w:highlight w:val="none"/>
          <w:lang w:eastAsia="zh-CN"/>
        </w:rPr>
        <w:t>成果评审验收时间另行计算，不计入总工期。</w:t>
      </w:r>
    </w:p>
    <w:p w14:paraId="5F624F58">
      <w:pPr>
        <w:spacing w:line="360" w:lineRule="auto"/>
        <w:ind w:firstLine="420" w:firstLineChars="200"/>
        <w:rPr>
          <w:rFonts w:hint="eastAsia" w:ascii="宋体" w:hAnsi="宋体" w:cs="宋体"/>
          <w:bCs/>
          <w:color w:val="auto"/>
          <w:sz w:val="21"/>
          <w:szCs w:val="21"/>
          <w:highlight w:val="none"/>
          <w:lang w:eastAsia="zh-CN"/>
        </w:rPr>
      </w:pPr>
      <w:r>
        <w:rPr>
          <w:rFonts w:hint="eastAsia" w:ascii="宋体" w:hAnsi="宋体" w:cs="宋体"/>
          <w:bCs/>
          <w:color w:val="auto"/>
          <w:sz w:val="21"/>
          <w:szCs w:val="21"/>
          <w:highlight w:val="none"/>
          <w:lang w:val="en-US" w:eastAsia="zh-CN"/>
        </w:rPr>
        <w:t>8</w:t>
      </w:r>
      <w:r>
        <w:rPr>
          <w:rFonts w:hint="eastAsia" w:ascii="宋体" w:hAnsi="宋体" w:cs="宋体"/>
          <w:bCs/>
          <w:color w:val="auto"/>
          <w:sz w:val="21"/>
          <w:szCs w:val="21"/>
          <w:highlight w:val="none"/>
        </w:rPr>
        <w:t>.本次采购</w:t>
      </w:r>
      <w:r>
        <w:rPr>
          <w:rFonts w:hint="eastAsia" w:ascii="宋体" w:hAnsi="宋体" w:cs="宋体"/>
          <w:bCs/>
          <w:color w:val="auto"/>
          <w:sz w:val="21"/>
          <w:szCs w:val="21"/>
          <w:highlight w:val="none"/>
          <w:lang w:eastAsia="zh-CN"/>
        </w:rPr>
        <w:t>接受联合体投标。联合体参加投标时，供应商应提供相应的联合体协议，联合体成员不超过2家。</w:t>
      </w:r>
    </w:p>
    <w:p w14:paraId="1D844222">
      <w:pPr>
        <w:spacing w:line="360" w:lineRule="auto"/>
        <w:ind w:firstLine="420" w:firstLineChars="200"/>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9.本项目不允许分包。</w:t>
      </w:r>
    </w:p>
    <w:p w14:paraId="1305A220">
      <w:pPr>
        <w:spacing w:line="360" w:lineRule="auto"/>
        <w:ind w:firstLine="310" w:firstLineChars="147"/>
        <w:rPr>
          <w:rFonts w:ascii="黑体" w:hAnsi="黑体" w:eastAsia="黑体"/>
          <w:b/>
          <w:color w:val="auto"/>
          <w:sz w:val="21"/>
          <w:szCs w:val="21"/>
          <w:highlight w:val="none"/>
        </w:rPr>
      </w:pPr>
      <w:r>
        <w:rPr>
          <w:rFonts w:hint="eastAsia" w:ascii="黑体" w:hAnsi="黑体" w:eastAsia="黑体"/>
          <w:b/>
          <w:color w:val="auto"/>
          <w:sz w:val="21"/>
          <w:szCs w:val="21"/>
          <w:highlight w:val="none"/>
        </w:rPr>
        <w:t>二、供应商的资格条件</w:t>
      </w:r>
    </w:p>
    <w:p w14:paraId="48187933">
      <w:pPr>
        <w:spacing w:line="360" w:lineRule="auto"/>
        <w:ind w:firstLine="420" w:firstLineChars="200"/>
        <w:rPr>
          <w:rFonts w:ascii="宋体" w:hAnsi="宋体" w:cs="宋体"/>
          <w:bCs/>
          <w:color w:val="auto"/>
          <w:sz w:val="21"/>
          <w:szCs w:val="21"/>
          <w:highlight w:val="none"/>
        </w:rPr>
      </w:pPr>
      <w:r>
        <w:rPr>
          <w:rFonts w:hint="eastAsia" w:ascii="宋体" w:hAnsi="宋体" w:cs="宋体"/>
          <w:color w:val="auto"/>
          <w:sz w:val="21"/>
          <w:szCs w:val="21"/>
          <w:highlight w:val="none"/>
          <w:lang w:bidi="ar"/>
        </w:rPr>
        <w:t>1.具备国内独立法人资格。</w:t>
      </w:r>
    </w:p>
    <w:p w14:paraId="4BF9F12F">
      <w:pPr>
        <w:spacing w:line="360" w:lineRule="auto"/>
        <w:ind w:firstLine="420" w:firstLineChars="200"/>
        <w:rPr>
          <w:rFonts w:hint="eastAsia" w:ascii="宋体" w:hAnsi="宋体" w:cs="宋体"/>
          <w:bCs/>
          <w:color w:val="auto"/>
          <w:sz w:val="21"/>
          <w:szCs w:val="21"/>
          <w:highlight w:val="none"/>
          <w:lang w:eastAsia="zh-CN"/>
        </w:rPr>
      </w:pPr>
      <w:r>
        <w:rPr>
          <w:rFonts w:ascii="宋体" w:hAnsi="宋体" w:cs="宋体"/>
          <w:color w:val="auto"/>
          <w:sz w:val="21"/>
          <w:szCs w:val="21"/>
          <w:highlight w:val="none"/>
          <w:lang w:bidi="ar"/>
        </w:rPr>
        <w:t>2</w:t>
      </w:r>
      <w:r>
        <w:rPr>
          <w:rFonts w:hint="eastAsia" w:ascii="宋体" w:hAnsi="宋体" w:cs="宋体"/>
          <w:color w:val="auto"/>
          <w:sz w:val="21"/>
          <w:szCs w:val="21"/>
          <w:highlight w:val="none"/>
          <w:lang w:bidi="ar"/>
        </w:rPr>
        <w:t>.</w:t>
      </w:r>
      <w:r>
        <w:rPr>
          <w:rFonts w:hint="eastAsia" w:ascii="宋体" w:hAnsi="宋体" w:cs="宋体"/>
          <w:bCs/>
          <w:color w:val="auto"/>
          <w:sz w:val="21"/>
          <w:szCs w:val="21"/>
          <w:highlight w:val="none"/>
          <w:lang w:eastAsia="zh-CN"/>
        </w:rPr>
        <w:t>人员配备要求：</w:t>
      </w:r>
    </w:p>
    <w:p w14:paraId="5D3559DF">
      <w:pPr>
        <w:spacing w:line="360" w:lineRule="auto"/>
        <w:ind w:firstLine="420" w:firstLineChars="200"/>
        <w:rPr>
          <w:rFonts w:ascii="宋体" w:hAnsi="宋体" w:cs="宋体"/>
          <w:color w:val="auto"/>
          <w:sz w:val="21"/>
          <w:szCs w:val="21"/>
          <w:highlight w:val="none"/>
          <w:lang w:bidi="ar"/>
        </w:rPr>
      </w:pPr>
      <w:r>
        <w:rPr>
          <w:rFonts w:hint="eastAsia" w:ascii="宋体" w:hAnsi="宋体" w:cs="宋体"/>
          <w:bCs/>
          <w:color w:val="auto"/>
          <w:sz w:val="21"/>
          <w:szCs w:val="21"/>
          <w:highlight w:val="none"/>
          <w:lang w:eastAsia="zh-CN"/>
        </w:rPr>
        <w:t>项目负责人：自2021年1月1日至投标截止时间，至少有1个主持完成类似项目（码头、航道或锚地工程）环境影响报告书编制业绩和1个主持完成类似项目（码头、航道或锚地工程）对鱼类生态保护红线不可避让论证报告编制或对省级及以上鱼类自然保护区影响评价报告编制业绩。</w:t>
      </w:r>
    </w:p>
    <w:p w14:paraId="61E8BC97">
      <w:pPr>
        <w:spacing w:line="360" w:lineRule="auto"/>
        <w:ind w:firstLine="420" w:firstLineChars="200"/>
        <w:rPr>
          <w:rFonts w:hint="default" w:ascii="宋体" w:hAnsi="宋体" w:cs="宋体"/>
          <w:color w:val="auto"/>
          <w:sz w:val="21"/>
          <w:szCs w:val="21"/>
          <w:highlight w:val="none"/>
          <w:lang w:val="en-US" w:eastAsia="zh-CN" w:bidi="ar"/>
        </w:rPr>
      </w:pPr>
      <w:r>
        <w:rPr>
          <w:rFonts w:hint="eastAsia" w:ascii="宋体" w:hAnsi="宋体" w:cs="宋体"/>
          <w:color w:val="auto"/>
          <w:sz w:val="21"/>
          <w:szCs w:val="21"/>
          <w:highlight w:val="none"/>
          <w:lang w:val="en-US" w:eastAsia="zh-CN" w:bidi="ar"/>
        </w:rPr>
        <w:t>注：1.业绩时间</w:t>
      </w:r>
      <w:r>
        <w:rPr>
          <w:rFonts w:hint="eastAsia" w:ascii="宋体" w:hAnsi="宋体" w:cs="宋体"/>
          <w:bCs/>
          <w:color w:val="auto"/>
          <w:sz w:val="21"/>
          <w:szCs w:val="21"/>
          <w:highlight w:val="none"/>
          <w:lang w:eastAsia="zh-CN"/>
        </w:rPr>
        <w:t>以批复时间为准。</w:t>
      </w:r>
      <w:r>
        <w:rPr>
          <w:rFonts w:hint="eastAsia" w:ascii="宋体" w:hAnsi="宋体" w:cs="宋体"/>
          <w:bCs/>
          <w:color w:val="auto"/>
          <w:sz w:val="21"/>
          <w:szCs w:val="21"/>
          <w:highlight w:val="none"/>
          <w:lang w:val="en-US" w:eastAsia="zh-CN"/>
        </w:rPr>
        <w:t>2.</w:t>
      </w:r>
      <w:r>
        <w:rPr>
          <w:rFonts w:hint="eastAsia" w:ascii="宋体" w:hAnsi="宋体" w:cs="宋体"/>
          <w:bCs/>
          <w:color w:val="auto"/>
          <w:sz w:val="21"/>
          <w:szCs w:val="21"/>
          <w:highlight w:val="none"/>
          <w:lang w:eastAsia="zh-CN"/>
        </w:rPr>
        <w:t>环境影响报告书业绩提供《编制单位和编制人员情况表》和环评批复复印件；生态保护红线不可避让论证报告业绩提供报告著录页和省级人民政府生态保护红线不可避让（或有限人为活动）认定意见复印件；自然保护区影响评价报告业绩提供报告著录页和省级及以上主管部门批复文件复印件。</w:t>
      </w:r>
      <w:r>
        <w:rPr>
          <w:rFonts w:hint="eastAsia" w:ascii="宋体" w:hAnsi="宋体" w:cs="宋体"/>
          <w:bCs/>
          <w:color w:val="auto"/>
          <w:sz w:val="21"/>
          <w:szCs w:val="21"/>
          <w:highlight w:val="none"/>
          <w:lang w:val="en-US" w:eastAsia="zh-CN"/>
        </w:rPr>
        <w:t>3.</w:t>
      </w:r>
      <w:r>
        <w:rPr>
          <w:rFonts w:hint="eastAsia" w:ascii="宋体" w:hAnsi="宋体" w:cs="宋体"/>
          <w:bCs/>
          <w:color w:val="auto"/>
          <w:sz w:val="21"/>
          <w:szCs w:val="21"/>
          <w:highlight w:val="none"/>
          <w:lang w:eastAsia="zh-CN"/>
        </w:rPr>
        <w:t>需提供供应商为其缴纳的投标截止时间前半年内连续3个月的社保缴纳证明。</w:t>
      </w:r>
    </w:p>
    <w:p w14:paraId="57ED7B2C">
      <w:pPr>
        <w:spacing w:line="360" w:lineRule="auto"/>
        <w:ind w:firstLine="420" w:firstLineChars="200"/>
        <w:rPr>
          <w:rFonts w:ascii="宋体" w:hAnsi="宋体" w:cs="宋体"/>
          <w:color w:val="auto"/>
          <w:sz w:val="21"/>
          <w:szCs w:val="21"/>
          <w:highlight w:val="none"/>
          <w:lang w:bidi="ar"/>
        </w:rPr>
      </w:pPr>
      <w:r>
        <w:rPr>
          <w:rFonts w:hint="eastAsia" w:ascii="宋体" w:hAnsi="宋体" w:cs="宋体"/>
          <w:color w:val="auto"/>
          <w:sz w:val="21"/>
          <w:szCs w:val="21"/>
          <w:highlight w:val="none"/>
          <w:lang w:val="en-US" w:eastAsia="zh-CN" w:bidi="ar"/>
        </w:rPr>
        <w:t>3</w:t>
      </w:r>
      <w:r>
        <w:rPr>
          <w:rFonts w:hint="eastAsia" w:ascii="宋体" w:hAnsi="宋体" w:cs="宋体"/>
          <w:color w:val="auto"/>
          <w:sz w:val="21"/>
          <w:szCs w:val="21"/>
          <w:highlight w:val="none"/>
          <w:lang w:bidi="ar"/>
        </w:rPr>
        <w:t>.供应商参加本次采购活动前三年内，在经营活动中没有重大违法记录（重大违法记录，是指供应商因违法经营受到刑事处罚或者责令停产停业、吊销许可证或者执照等行政处罚）。由供应商提供书面声明。</w:t>
      </w:r>
    </w:p>
    <w:p w14:paraId="40E77A25">
      <w:pPr>
        <w:spacing w:line="360" w:lineRule="auto"/>
        <w:ind w:firstLine="420" w:firstLineChars="200"/>
        <w:rPr>
          <w:rFonts w:ascii="宋体" w:hAnsi="宋体" w:cs="宋体"/>
          <w:color w:val="auto"/>
          <w:sz w:val="21"/>
          <w:szCs w:val="21"/>
          <w:highlight w:val="none"/>
          <w:lang w:bidi="ar"/>
        </w:rPr>
      </w:pPr>
      <w:r>
        <w:rPr>
          <w:rFonts w:hint="eastAsia" w:ascii="宋体" w:hAnsi="宋体" w:cs="宋体"/>
          <w:color w:val="auto"/>
          <w:sz w:val="21"/>
          <w:szCs w:val="21"/>
          <w:highlight w:val="none"/>
          <w:lang w:val="en-US" w:eastAsia="zh-CN" w:bidi="ar"/>
        </w:rPr>
        <w:t>4</w:t>
      </w:r>
      <w:r>
        <w:rPr>
          <w:rFonts w:hint="eastAsia" w:ascii="宋体" w:hAnsi="宋体" w:cs="宋体"/>
          <w:color w:val="auto"/>
          <w:sz w:val="21"/>
          <w:szCs w:val="21"/>
          <w:highlight w:val="none"/>
          <w:lang w:bidi="ar"/>
        </w:rPr>
        <w:t>.在“信用中国”网站(www.creditchina.gov.cn)、中国政府采购网(www.ccgp.gov.cn)等渠道未被列入失信被执行人、重大税收违法案件当事人名单、政府采购严重违法失信行为记录名单。由供应商提供</w:t>
      </w:r>
      <w:r>
        <w:rPr>
          <w:rFonts w:hint="eastAsia" w:ascii="宋体" w:hAnsi="宋体" w:cs="宋体"/>
          <w:color w:val="auto"/>
          <w:sz w:val="21"/>
          <w:szCs w:val="21"/>
          <w:highlight w:val="none"/>
          <w:lang w:eastAsia="zh-CN" w:bidi="ar"/>
        </w:rPr>
        <w:t>有关网站查询结果</w:t>
      </w:r>
      <w:r>
        <w:rPr>
          <w:rFonts w:hint="eastAsia" w:ascii="宋体" w:hAnsi="宋体" w:cs="宋体"/>
          <w:color w:val="auto"/>
          <w:sz w:val="21"/>
          <w:szCs w:val="21"/>
          <w:highlight w:val="none"/>
          <w:lang w:bidi="ar"/>
        </w:rPr>
        <w:t>。</w:t>
      </w:r>
    </w:p>
    <w:p w14:paraId="628BFC21">
      <w:pPr>
        <w:spacing w:line="360" w:lineRule="auto"/>
        <w:ind w:firstLine="310" w:firstLineChars="147"/>
        <w:rPr>
          <w:rFonts w:ascii="黑体" w:hAnsi="黑体" w:eastAsia="黑体"/>
          <w:b/>
          <w:color w:val="auto"/>
          <w:sz w:val="21"/>
          <w:szCs w:val="21"/>
          <w:highlight w:val="none"/>
        </w:rPr>
      </w:pPr>
      <w:r>
        <w:rPr>
          <w:rFonts w:hint="eastAsia" w:ascii="黑体" w:hAnsi="黑体" w:eastAsia="黑体"/>
          <w:b/>
          <w:color w:val="auto"/>
          <w:sz w:val="21"/>
          <w:szCs w:val="21"/>
          <w:highlight w:val="none"/>
        </w:rPr>
        <w:t>三、获取采购文件</w:t>
      </w:r>
    </w:p>
    <w:p w14:paraId="6B04FD0D">
      <w:pPr>
        <w:spacing w:line="360" w:lineRule="auto"/>
        <w:ind w:firstLine="420" w:firstLineChars="200"/>
        <w:rPr>
          <w:rFonts w:ascii="宋体" w:hAnsi="宋体" w:cs="宋体"/>
          <w:color w:val="auto"/>
          <w:sz w:val="21"/>
          <w:szCs w:val="21"/>
          <w:highlight w:val="none"/>
          <w:lang w:bidi="ar"/>
        </w:rPr>
      </w:pPr>
      <w:r>
        <w:rPr>
          <w:rFonts w:hint="eastAsia" w:ascii="宋体" w:hAnsi="宋体" w:cs="宋体"/>
          <w:color w:val="auto"/>
          <w:sz w:val="21"/>
          <w:szCs w:val="21"/>
          <w:highlight w:val="none"/>
          <w:lang w:bidi="ar"/>
        </w:rPr>
        <w:t>1.获取时间：自采购公告发布之日起，至响应文件递交截止时间</w:t>
      </w:r>
      <w:r>
        <w:rPr>
          <w:rFonts w:ascii="宋体" w:hAnsi="宋体" w:cs="宋体"/>
          <w:color w:val="auto"/>
          <w:sz w:val="21"/>
          <w:szCs w:val="21"/>
          <w:highlight w:val="none"/>
          <w:lang w:bidi="ar"/>
        </w:rPr>
        <w:t>。</w:t>
      </w:r>
    </w:p>
    <w:p w14:paraId="506DA505">
      <w:pPr>
        <w:spacing w:line="360" w:lineRule="auto"/>
        <w:ind w:firstLine="420" w:firstLineChars="200"/>
        <w:rPr>
          <w:rFonts w:hint="eastAsia" w:ascii="宋体" w:hAnsi="宋体" w:eastAsia="宋体" w:cs="宋体"/>
          <w:color w:val="auto"/>
          <w:sz w:val="21"/>
          <w:szCs w:val="21"/>
          <w:highlight w:val="none"/>
          <w:lang w:eastAsia="zh-CN" w:bidi="ar"/>
        </w:rPr>
      </w:pPr>
      <w:r>
        <w:rPr>
          <w:rFonts w:hint="eastAsia" w:ascii="宋体" w:hAnsi="宋体" w:cs="宋体"/>
          <w:color w:val="auto"/>
          <w:sz w:val="21"/>
          <w:szCs w:val="21"/>
          <w:highlight w:val="none"/>
          <w:lang w:bidi="ar"/>
        </w:rPr>
        <w:t>2.获取地点：广西壮族自治区水运发展中心网站(http://www.gxghj.cn/)</w:t>
      </w:r>
      <w:r>
        <w:rPr>
          <w:rFonts w:hint="eastAsia" w:ascii="宋体" w:hAnsi="宋体" w:cs="宋体"/>
          <w:color w:val="auto"/>
          <w:sz w:val="21"/>
          <w:szCs w:val="21"/>
          <w:highlight w:val="none"/>
          <w:lang w:eastAsia="zh-CN" w:bidi="ar"/>
        </w:rPr>
        <w:t>。</w:t>
      </w:r>
    </w:p>
    <w:p w14:paraId="410342BD">
      <w:pPr>
        <w:spacing w:line="360" w:lineRule="auto"/>
        <w:ind w:firstLine="420" w:firstLineChars="200"/>
        <w:rPr>
          <w:rFonts w:ascii="宋体" w:hAnsi="宋体" w:cs="宋体"/>
          <w:color w:val="auto"/>
          <w:sz w:val="21"/>
          <w:szCs w:val="21"/>
          <w:highlight w:val="none"/>
          <w:lang w:bidi="ar"/>
        </w:rPr>
      </w:pPr>
      <w:r>
        <w:rPr>
          <w:rFonts w:hint="eastAsia" w:ascii="宋体" w:hAnsi="宋体" w:cs="宋体"/>
          <w:color w:val="auto"/>
          <w:sz w:val="21"/>
          <w:szCs w:val="21"/>
          <w:highlight w:val="none"/>
          <w:lang w:bidi="ar"/>
        </w:rPr>
        <w:t>3.获取方式：网上下载。本项目不提供纸质文件，潜在供应商登录</w:t>
      </w:r>
      <w:r>
        <w:rPr>
          <w:rFonts w:hint="eastAsia" w:ascii="宋体" w:hAnsi="宋体" w:cs="宋体"/>
          <w:color w:val="auto"/>
          <w:sz w:val="21"/>
          <w:szCs w:val="21"/>
          <w:highlight w:val="none"/>
          <w:lang w:eastAsia="zh-CN" w:bidi="ar"/>
        </w:rPr>
        <w:t>广西壮族自治区水运发展中心</w:t>
      </w:r>
      <w:r>
        <w:rPr>
          <w:rFonts w:hint="eastAsia" w:ascii="宋体" w:hAnsi="宋体" w:cs="宋体"/>
          <w:color w:val="auto"/>
          <w:sz w:val="21"/>
          <w:szCs w:val="21"/>
          <w:highlight w:val="none"/>
          <w:lang w:bidi="ar"/>
        </w:rPr>
        <w:t>网站</w:t>
      </w:r>
      <w:r>
        <w:rPr>
          <w:rFonts w:ascii="宋体" w:hAnsi="宋体" w:cs="宋体"/>
          <w:color w:val="auto"/>
          <w:sz w:val="21"/>
          <w:szCs w:val="21"/>
          <w:highlight w:val="none"/>
          <w:lang w:bidi="ar"/>
        </w:rPr>
        <w:t>-进入“通知公告”应用，点击采购公告获取采购文件（采购方案）。</w:t>
      </w:r>
    </w:p>
    <w:p w14:paraId="6543276C">
      <w:pPr>
        <w:spacing w:line="360" w:lineRule="auto"/>
        <w:ind w:firstLine="310" w:firstLineChars="147"/>
        <w:rPr>
          <w:rFonts w:ascii="黑体" w:hAnsi="黑体" w:eastAsia="黑体"/>
          <w:b/>
          <w:color w:val="auto"/>
          <w:sz w:val="21"/>
          <w:szCs w:val="21"/>
          <w:highlight w:val="none"/>
        </w:rPr>
      </w:pPr>
      <w:r>
        <w:rPr>
          <w:rFonts w:hint="eastAsia" w:ascii="黑体" w:hAnsi="黑体" w:eastAsia="黑体"/>
          <w:b/>
          <w:color w:val="auto"/>
          <w:sz w:val="21"/>
          <w:szCs w:val="21"/>
          <w:highlight w:val="none"/>
        </w:rPr>
        <w:t>四、响应文件递交</w:t>
      </w:r>
    </w:p>
    <w:p w14:paraId="54F98CD3">
      <w:pPr>
        <w:spacing w:line="360" w:lineRule="auto"/>
        <w:ind w:firstLine="420" w:firstLineChars="200"/>
        <w:rPr>
          <w:rFonts w:ascii="宋体" w:hAnsi="宋体" w:cs="宋体"/>
          <w:color w:val="auto"/>
          <w:sz w:val="21"/>
          <w:szCs w:val="21"/>
          <w:highlight w:val="none"/>
          <w:lang w:bidi="ar"/>
        </w:rPr>
      </w:pPr>
      <w:r>
        <w:rPr>
          <w:rFonts w:hint="eastAsia" w:ascii="宋体" w:hAnsi="宋体" w:cs="宋体"/>
          <w:color w:val="auto"/>
          <w:sz w:val="21"/>
          <w:szCs w:val="21"/>
          <w:highlight w:val="none"/>
          <w:lang w:bidi="ar"/>
        </w:rPr>
        <w:t>1.响应文件形式及份数：纸质文件，一正一副共两份文件。</w:t>
      </w:r>
    </w:p>
    <w:p w14:paraId="1C2E7257">
      <w:pPr>
        <w:spacing w:line="360" w:lineRule="auto"/>
        <w:ind w:firstLine="420" w:firstLineChars="200"/>
        <w:rPr>
          <w:rFonts w:ascii="宋体" w:hAnsi="宋体" w:cs="宋体"/>
          <w:color w:val="auto"/>
          <w:sz w:val="21"/>
          <w:szCs w:val="21"/>
          <w:highlight w:val="none"/>
          <w:lang w:bidi="ar"/>
        </w:rPr>
      </w:pPr>
      <w:r>
        <w:rPr>
          <w:rFonts w:hint="eastAsia" w:ascii="宋体" w:hAnsi="宋体" w:cs="宋体"/>
          <w:color w:val="auto"/>
          <w:sz w:val="21"/>
          <w:szCs w:val="21"/>
          <w:highlight w:val="none"/>
          <w:lang w:bidi="ar"/>
        </w:rPr>
        <w:t>2.响应文件递交地址：南宁市青秀区百花岭路6号</w:t>
      </w:r>
      <w:r>
        <w:rPr>
          <w:rFonts w:hint="eastAsia" w:ascii="宋体" w:hAnsi="宋体" w:cs="宋体"/>
          <w:color w:val="auto"/>
          <w:sz w:val="21"/>
          <w:szCs w:val="21"/>
          <w:highlight w:val="none"/>
          <w:lang w:eastAsia="zh-CN" w:bidi="ar"/>
        </w:rPr>
        <w:t>广西壮族自治区水运发展中心</w:t>
      </w:r>
      <w:r>
        <w:rPr>
          <w:rFonts w:hint="eastAsia" w:ascii="宋体" w:hAnsi="宋体" w:cs="宋体"/>
          <w:color w:val="auto"/>
          <w:sz w:val="21"/>
          <w:szCs w:val="21"/>
          <w:highlight w:val="none"/>
          <w:lang w:bidi="ar"/>
        </w:rPr>
        <w:t>425室。</w:t>
      </w:r>
    </w:p>
    <w:p w14:paraId="6D1B6036">
      <w:pPr>
        <w:spacing w:line="360" w:lineRule="auto"/>
        <w:ind w:firstLine="420" w:firstLineChars="200"/>
        <w:rPr>
          <w:rFonts w:ascii="宋体" w:hAnsi="宋体" w:cs="宋体"/>
          <w:color w:val="auto"/>
          <w:sz w:val="21"/>
          <w:szCs w:val="21"/>
          <w:highlight w:val="none"/>
          <w:lang w:bidi="ar"/>
        </w:rPr>
      </w:pPr>
      <w:r>
        <w:rPr>
          <w:rFonts w:hint="eastAsia" w:ascii="宋体" w:hAnsi="宋体" w:cs="宋体"/>
          <w:color w:val="auto"/>
          <w:sz w:val="21"/>
          <w:szCs w:val="21"/>
          <w:highlight w:val="none"/>
          <w:lang w:bidi="ar"/>
        </w:rPr>
        <w:t>3.响应文件递交截止时间：</w:t>
      </w:r>
      <w:r>
        <w:rPr>
          <w:rFonts w:ascii="宋体" w:hAnsi="宋体" w:cs="宋体"/>
          <w:color w:val="auto"/>
          <w:sz w:val="21"/>
          <w:szCs w:val="21"/>
          <w:highlight w:val="none"/>
          <w:lang w:bidi="ar"/>
        </w:rPr>
        <w:t>202</w:t>
      </w:r>
      <w:r>
        <w:rPr>
          <w:rFonts w:hint="eastAsia" w:ascii="宋体" w:hAnsi="宋体" w:cs="宋体"/>
          <w:color w:val="auto"/>
          <w:sz w:val="21"/>
          <w:szCs w:val="21"/>
          <w:highlight w:val="none"/>
          <w:lang w:bidi="ar"/>
        </w:rPr>
        <w:t>6</w:t>
      </w:r>
      <w:r>
        <w:rPr>
          <w:rFonts w:ascii="宋体" w:hAnsi="宋体" w:cs="宋体"/>
          <w:color w:val="auto"/>
          <w:sz w:val="21"/>
          <w:szCs w:val="21"/>
          <w:highlight w:val="none"/>
          <w:lang w:bidi="ar"/>
        </w:rPr>
        <w:t>年</w:t>
      </w:r>
      <w:r>
        <w:rPr>
          <w:rFonts w:hint="eastAsia" w:ascii="宋体" w:hAnsi="宋体" w:cs="宋体"/>
          <w:color w:val="auto"/>
          <w:sz w:val="21"/>
          <w:szCs w:val="21"/>
          <w:highlight w:val="none"/>
          <w:lang w:val="en-US" w:eastAsia="zh-CN" w:bidi="ar"/>
        </w:rPr>
        <w:t>9</w:t>
      </w:r>
      <w:r>
        <w:rPr>
          <w:rFonts w:ascii="宋体" w:hAnsi="宋体" w:cs="宋体"/>
          <w:color w:val="auto"/>
          <w:sz w:val="21"/>
          <w:szCs w:val="21"/>
          <w:highlight w:val="none"/>
          <w:lang w:bidi="ar"/>
        </w:rPr>
        <w:t>月</w:t>
      </w:r>
      <w:r>
        <w:rPr>
          <w:rFonts w:hint="eastAsia" w:ascii="宋体" w:hAnsi="宋体" w:cs="宋体"/>
          <w:color w:val="auto"/>
          <w:sz w:val="21"/>
          <w:szCs w:val="21"/>
          <w:highlight w:val="none"/>
          <w:lang w:val="en-US" w:eastAsia="zh-CN" w:bidi="ar"/>
        </w:rPr>
        <w:t>3</w:t>
      </w:r>
      <w:r>
        <w:rPr>
          <w:rFonts w:ascii="宋体" w:hAnsi="宋体" w:cs="宋体"/>
          <w:color w:val="auto"/>
          <w:sz w:val="21"/>
          <w:szCs w:val="21"/>
          <w:highlight w:val="none"/>
          <w:lang w:bidi="ar"/>
        </w:rPr>
        <w:t>日1</w:t>
      </w:r>
      <w:r>
        <w:rPr>
          <w:rFonts w:hint="eastAsia" w:ascii="宋体" w:hAnsi="宋体" w:cs="宋体"/>
          <w:color w:val="auto"/>
          <w:sz w:val="21"/>
          <w:szCs w:val="21"/>
          <w:highlight w:val="none"/>
          <w:lang w:bidi="ar"/>
        </w:rPr>
        <w:t>0</w:t>
      </w:r>
      <w:r>
        <w:rPr>
          <w:rFonts w:ascii="宋体" w:hAnsi="宋体" w:cs="宋体"/>
          <w:color w:val="auto"/>
          <w:sz w:val="21"/>
          <w:szCs w:val="21"/>
          <w:highlight w:val="none"/>
          <w:lang w:bidi="ar"/>
        </w:rPr>
        <w:t>时00分</w:t>
      </w:r>
      <w:r>
        <w:rPr>
          <w:rFonts w:hint="eastAsia" w:ascii="宋体" w:hAnsi="宋体" w:cs="宋体"/>
          <w:color w:val="auto"/>
          <w:sz w:val="21"/>
          <w:szCs w:val="21"/>
          <w:highlight w:val="none"/>
          <w:lang w:bidi="ar"/>
        </w:rPr>
        <w:t>。</w:t>
      </w:r>
    </w:p>
    <w:p w14:paraId="0F83328E">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lang w:bidi="ar"/>
        </w:rPr>
        <w:t>至响应文件截止时间时，投标供应商不足三家的，另行发布延期公告；发布延期公告后，如投标供应商仍不足三家的，在已递交响应文件的供应商中按照评审规则评选。</w:t>
      </w:r>
    </w:p>
    <w:p w14:paraId="2AE5155A">
      <w:pPr>
        <w:spacing w:line="360" w:lineRule="auto"/>
        <w:ind w:firstLine="420" w:firstLineChars="200"/>
        <w:rPr>
          <w:rFonts w:ascii="宋体" w:hAnsi="宋体" w:cs="宋体"/>
          <w:color w:val="auto"/>
          <w:sz w:val="21"/>
          <w:szCs w:val="21"/>
          <w:highlight w:val="none"/>
          <w:lang w:bidi="ar"/>
        </w:rPr>
      </w:pPr>
      <w:r>
        <w:rPr>
          <w:rFonts w:hint="eastAsia" w:ascii="宋体" w:hAnsi="宋体" w:cs="宋体"/>
          <w:color w:val="auto"/>
          <w:sz w:val="21"/>
          <w:szCs w:val="21"/>
          <w:highlight w:val="none"/>
        </w:rPr>
        <w:t>4.</w:t>
      </w:r>
      <w:r>
        <w:rPr>
          <w:rFonts w:hint="eastAsia" w:ascii="宋体" w:hAnsi="宋体" w:cs="宋体"/>
          <w:color w:val="auto"/>
          <w:sz w:val="21"/>
          <w:szCs w:val="21"/>
          <w:highlight w:val="none"/>
          <w:lang w:bidi="ar"/>
        </w:rPr>
        <w:t>响应文件</w:t>
      </w:r>
      <w:r>
        <w:rPr>
          <w:rFonts w:ascii="宋体" w:hAnsi="宋体" w:cs="宋体"/>
          <w:color w:val="auto"/>
          <w:sz w:val="21"/>
          <w:szCs w:val="21"/>
          <w:highlight w:val="none"/>
        </w:rPr>
        <w:t>必须密封，否则</w:t>
      </w:r>
      <w:r>
        <w:rPr>
          <w:rFonts w:hint="eastAsia" w:ascii="宋体" w:hAnsi="宋体" w:cs="宋体"/>
          <w:color w:val="auto"/>
          <w:sz w:val="21"/>
          <w:szCs w:val="21"/>
          <w:highlight w:val="none"/>
        </w:rPr>
        <w:t>采购人予以拒收</w:t>
      </w:r>
      <w:r>
        <w:rPr>
          <w:rFonts w:ascii="宋体" w:hAnsi="宋体" w:cs="宋体"/>
          <w:color w:val="auto"/>
          <w:sz w:val="21"/>
          <w:szCs w:val="21"/>
          <w:highlight w:val="none"/>
        </w:rPr>
        <w:t>。</w:t>
      </w:r>
    </w:p>
    <w:p w14:paraId="38B5F9CA">
      <w:pPr>
        <w:spacing w:line="360" w:lineRule="auto"/>
        <w:ind w:firstLine="310" w:firstLineChars="147"/>
        <w:rPr>
          <w:rFonts w:ascii="黑体" w:hAnsi="黑体" w:eastAsia="黑体"/>
          <w:b/>
          <w:color w:val="auto"/>
          <w:sz w:val="21"/>
          <w:szCs w:val="21"/>
          <w:highlight w:val="none"/>
        </w:rPr>
      </w:pPr>
      <w:r>
        <w:rPr>
          <w:rFonts w:hint="eastAsia" w:ascii="黑体" w:hAnsi="黑体" w:eastAsia="黑体"/>
          <w:b/>
          <w:color w:val="auto"/>
          <w:sz w:val="21"/>
          <w:szCs w:val="21"/>
          <w:highlight w:val="none"/>
        </w:rPr>
        <w:t xml:space="preserve">五、响应文件开启与评审 </w:t>
      </w:r>
    </w:p>
    <w:p w14:paraId="02DCF28E">
      <w:pPr>
        <w:spacing w:line="360" w:lineRule="auto"/>
        <w:ind w:firstLine="420" w:firstLineChars="200"/>
        <w:rPr>
          <w:rFonts w:ascii="宋体" w:hAnsi="宋体" w:cs="宋体"/>
          <w:color w:val="auto"/>
          <w:sz w:val="21"/>
          <w:szCs w:val="21"/>
          <w:highlight w:val="none"/>
        </w:rPr>
      </w:pPr>
      <w:r>
        <w:rPr>
          <w:rFonts w:ascii="宋体" w:hAnsi="宋体" w:cs="宋体"/>
          <w:color w:val="auto"/>
          <w:sz w:val="21"/>
          <w:szCs w:val="21"/>
          <w:highlight w:val="none"/>
        </w:rPr>
        <w:t>1.时间：</w:t>
      </w:r>
      <w:r>
        <w:rPr>
          <w:rFonts w:hint="eastAsia" w:ascii="宋体" w:hAnsi="宋体" w:cs="宋体"/>
          <w:color w:val="auto"/>
          <w:sz w:val="21"/>
          <w:szCs w:val="21"/>
          <w:highlight w:val="none"/>
        </w:rPr>
        <w:t>响应文件递交截止后的5个工作日内完成</w:t>
      </w:r>
    </w:p>
    <w:p w14:paraId="6C9FCD9C">
      <w:pPr>
        <w:spacing w:line="360" w:lineRule="auto"/>
        <w:ind w:firstLine="420" w:firstLineChars="200"/>
        <w:rPr>
          <w:rFonts w:hint="eastAsia" w:ascii="宋体" w:hAnsi="宋体" w:eastAsia="宋体" w:cs="宋体"/>
          <w:color w:val="auto"/>
          <w:sz w:val="21"/>
          <w:szCs w:val="21"/>
          <w:highlight w:val="none"/>
          <w:lang w:eastAsia="zh-CN" w:bidi="ar"/>
        </w:rPr>
      </w:pPr>
      <w:r>
        <w:rPr>
          <w:rFonts w:ascii="宋体" w:hAnsi="宋体" w:cs="宋体"/>
          <w:color w:val="auto"/>
          <w:sz w:val="21"/>
          <w:szCs w:val="21"/>
          <w:highlight w:val="none"/>
        </w:rPr>
        <w:t>2.地点：</w:t>
      </w:r>
      <w:r>
        <w:rPr>
          <w:rFonts w:hint="eastAsia" w:ascii="宋体" w:hAnsi="宋体" w:cs="宋体"/>
          <w:color w:val="auto"/>
          <w:sz w:val="21"/>
          <w:szCs w:val="21"/>
          <w:highlight w:val="none"/>
          <w:lang w:eastAsia="zh-CN" w:bidi="ar"/>
        </w:rPr>
        <w:t>广西壮族自治区水运发展中心</w:t>
      </w:r>
    </w:p>
    <w:p w14:paraId="59B95D8E">
      <w:pPr>
        <w:spacing w:line="360" w:lineRule="auto"/>
        <w:ind w:firstLine="420" w:firstLineChars="200"/>
        <w:rPr>
          <w:rFonts w:ascii="宋体" w:hAnsi="宋体" w:cs="宋体"/>
          <w:color w:val="auto"/>
          <w:sz w:val="21"/>
          <w:szCs w:val="21"/>
          <w:highlight w:val="none"/>
          <w:lang w:bidi="ar"/>
        </w:rPr>
      </w:pPr>
      <w:r>
        <w:rPr>
          <w:rFonts w:hint="eastAsia" w:ascii="宋体" w:hAnsi="宋体" w:cs="宋体"/>
          <w:color w:val="auto"/>
          <w:sz w:val="21"/>
          <w:szCs w:val="21"/>
          <w:highlight w:val="none"/>
          <w:lang w:bidi="ar"/>
        </w:rPr>
        <w:t>3.不邀请供应商参加响应文件开启。</w:t>
      </w:r>
    </w:p>
    <w:p w14:paraId="5FE6BD03">
      <w:pPr>
        <w:spacing w:line="360" w:lineRule="auto"/>
        <w:ind w:firstLine="310" w:firstLineChars="147"/>
        <w:rPr>
          <w:rFonts w:ascii="黑体" w:hAnsi="黑体" w:eastAsia="黑体"/>
          <w:b/>
          <w:color w:val="auto"/>
          <w:sz w:val="21"/>
          <w:szCs w:val="21"/>
          <w:highlight w:val="none"/>
        </w:rPr>
      </w:pPr>
      <w:r>
        <w:rPr>
          <w:rFonts w:hint="eastAsia" w:ascii="黑体" w:hAnsi="黑体" w:eastAsia="黑体"/>
          <w:b/>
          <w:color w:val="auto"/>
          <w:sz w:val="21"/>
          <w:szCs w:val="21"/>
          <w:highlight w:val="none"/>
        </w:rPr>
        <w:t>六、联系</w:t>
      </w:r>
      <w:r>
        <w:rPr>
          <w:rFonts w:ascii="黑体" w:hAnsi="黑体" w:eastAsia="黑体"/>
          <w:b/>
          <w:color w:val="auto"/>
          <w:sz w:val="21"/>
          <w:szCs w:val="21"/>
          <w:highlight w:val="none"/>
        </w:rPr>
        <w:t>方式</w:t>
      </w:r>
    </w:p>
    <w:p w14:paraId="546F92BE">
      <w:pPr>
        <w:widowControl/>
        <w:spacing w:line="360" w:lineRule="auto"/>
        <w:ind w:firstLine="420" w:firstLineChars="200"/>
        <w:rPr>
          <w:rFonts w:ascii="宋体" w:hAnsi="宋体" w:cs="宋体"/>
          <w:color w:val="auto"/>
          <w:sz w:val="21"/>
          <w:szCs w:val="21"/>
          <w:highlight w:val="none"/>
          <w:lang w:bidi="ar"/>
        </w:rPr>
      </w:pPr>
      <w:r>
        <w:rPr>
          <w:rFonts w:hint="eastAsia" w:ascii="宋体" w:hAnsi="宋体" w:cs="宋体"/>
          <w:color w:val="auto"/>
          <w:sz w:val="21"/>
          <w:szCs w:val="21"/>
          <w:highlight w:val="none"/>
          <w:lang w:bidi="ar"/>
        </w:rPr>
        <w:t>联系人：苏工 联系电话：0771-2841511。</w:t>
      </w:r>
    </w:p>
    <w:p w14:paraId="60EE3B3C">
      <w:pPr>
        <w:spacing w:line="360" w:lineRule="auto"/>
        <w:ind w:firstLine="310" w:firstLineChars="147"/>
        <w:rPr>
          <w:rFonts w:ascii="黑体" w:hAnsi="黑体" w:eastAsia="黑体"/>
          <w:b/>
          <w:color w:val="auto"/>
          <w:sz w:val="21"/>
          <w:szCs w:val="21"/>
          <w:highlight w:val="none"/>
        </w:rPr>
      </w:pPr>
    </w:p>
    <w:p w14:paraId="585AA13B">
      <w:pPr>
        <w:widowControl/>
        <w:spacing w:line="360" w:lineRule="auto"/>
        <w:ind w:firstLine="2100" w:firstLineChars="1000"/>
        <w:jc w:val="right"/>
        <w:rPr>
          <w:rFonts w:hint="eastAsia" w:ascii="宋体" w:hAnsi="宋体" w:eastAsia="宋体" w:cs="宋体"/>
          <w:color w:val="auto"/>
          <w:sz w:val="21"/>
          <w:szCs w:val="21"/>
          <w:highlight w:val="none"/>
          <w:lang w:eastAsia="zh-CN" w:bidi="ar"/>
        </w:rPr>
      </w:pPr>
      <w:r>
        <w:rPr>
          <w:rFonts w:hint="eastAsia" w:ascii="宋体" w:hAnsi="宋体" w:cs="宋体"/>
          <w:color w:val="auto"/>
          <w:sz w:val="21"/>
          <w:szCs w:val="21"/>
          <w:highlight w:val="none"/>
          <w:lang w:bidi="ar"/>
        </w:rPr>
        <w:t>采购人：</w:t>
      </w:r>
      <w:r>
        <w:rPr>
          <w:rFonts w:hint="eastAsia" w:ascii="宋体" w:hAnsi="宋体" w:cs="宋体"/>
          <w:color w:val="auto"/>
          <w:sz w:val="21"/>
          <w:szCs w:val="21"/>
          <w:highlight w:val="none"/>
          <w:lang w:eastAsia="zh-CN" w:bidi="ar"/>
        </w:rPr>
        <w:t>广西壮族自治区水运发展中心</w:t>
      </w:r>
    </w:p>
    <w:p w14:paraId="79A6A0C9">
      <w:pPr>
        <w:spacing w:line="360" w:lineRule="auto"/>
        <w:ind w:firstLine="420" w:firstLineChars="200"/>
        <w:jc w:val="right"/>
        <w:rPr>
          <w:rFonts w:ascii="宋体" w:hAnsi="宋体"/>
          <w:b/>
          <w:bCs/>
          <w:color w:val="auto"/>
          <w:sz w:val="32"/>
          <w:szCs w:val="32"/>
          <w:highlight w:val="none"/>
        </w:rPr>
      </w:pPr>
      <w:r>
        <w:rPr>
          <w:rFonts w:hint="eastAsia" w:ascii="宋体" w:hAnsi="宋体" w:cs="宋体"/>
          <w:color w:val="auto"/>
          <w:sz w:val="21"/>
          <w:szCs w:val="21"/>
          <w:highlight w:val="none"/>
          <w:lang w:bidi="ar"/>
        </w:rPr>
        <w:t xml:space="preserve">                            2026年</w:t>
      </w:r>
      <w:r>
        <w:rPr>
          <w:rFonts w:hint="eastAsia" w:ascii="宋体" w:hAnsi="宋体" w:cs="宋体"/>
          <w:color w:val="auto"/>
          <w:sz w:val="21"/>
          <w:szCs w:val="21"/>
          <w:highlight w:val="none"/>
          <w:lang w:val="en-US" w:eastAsia="zh-CN" w:bidi="ar"/>
        </w:rPr>
        <w:t>8</w:t>
      </w:r>
      <w:r>
        <w:rPr>
          <w:rFonts w:hint="eastAsia" w:ascii="宋体" w:hAnsi="宋体" w:cs="宋体"/>
          <w:color w:val="auto"/>
          <w:sz w:val="21"/>
          <w:szCs w:val="21"/>
          <w:highlight w:val="none"/>
          <w:lang w:bidi="ar"/>
        </w:rPr>
        <w:t>月</w:t>
      </w:r>
      <w:r>
        <w:rPr>
          <w:rFonts w:hint="eastAsia" w:ascii="宋体" w:hAnsi="宋体" w:cs="宋体"/>
          <w:color w:val="auto"/>
          <w:sz w:val="21"/>
          <w:szCs w:val="21"/>
          <w:highlight w:val="none"/>
          <w:lang w:val="en-US" w:eastAsia="zh-CN" w:bidi="ar"/>
        </w:rPr>
        <w:t>26</w:t>
      </w:r>
      <w:bookmarkStart w:id="334" w:name="_GoBack"/>
      <w:bookmarkEnd w:id="334"/>
      <w:r>
        <w:rPr>
          <w:rFonts w:hint="eastAsia" w:ascii="宋体" w:hAnsi="宋体" w:cs="宋体"/>
          <w:color w:val="auto"/>
          <w:sz w:val="21"/>
          <w:szCs w:val="21"/>
          <w:highlight w:val="none"/>
          <w:lang w:bidi="ar"/>
        </w:rPr>
        <w:t>日</w:t>
      </w:r>
    </w:p>
    <w:p w14:paraId="12ED6FA2">
      <w:pPr>
        <w:pStyle w:val="2"/>
        <w:spacing w:before="0" w:after="0" w:line="460" w:lineRule="exact"/>
        <w:jc w:val="center"/>
        <w:rPr>
          <w:color w:val="auto"/>
          <w:sz w:val="28"/>
          <w:szCs w:val="28"/>
          <w:highlight w:val="none"/>
        </w:rPr>
      </w:pPr>
      <w:r>
        <w:rPr>
          <w:rFonts w:hint="eastAsia"/>
          <w:color w:val="auto"/>
          <w:highlight w:val="none"/>
        </w:rPr>
        <w:br w:type="page"/>
      </w:r>
      <w:bookmarkStart w:id="23" w:name="_Toc16740"/>
      <w:bookmarkStart w:id="24" w:name="_Toc796"/>
      <w:bookmarkStart w:id="25" w:name="_Toc3780"/>
      <w:bookmarkStart w:id="26" w:name="_Toc12041"/>
      <w:bookmarkStart w:id="27" w:name="_Toc151"/>
      <w:bookmarkStart w:id="28" w:name="_Toc2392"/>
      <w:bookmarkStart w:id="29" w:name="_Toc18967"/>
      <w:bookmarkStart w:id="30" w:name="_Toc22711"/>
      <w:bookmarkStart w:id="31" w:name="_Toc1323"/>
      <w:bookmarkStart w:id="32" w:name="_Toc13302"/>
      <w:bookmarkStart w:id="33" w:name="_Toc15557"/>
      <w:bookmarkStart w:id="34" w:name="_Toc173"/>
      <w:bookmarkStart w:id="35" w:name="_Toc6811"/>
      <w:bookmarkStart w:id="36" w:name="_Toc31261"/>
      <w:bookmarkStart w:id="37" w:name="_Toc18654"/>
      <w:r>
        <w:rPr>
          <w:rFonts w:hint="eastAsia"/>
          <w:color w:val="auto"/>
          <w:sz w:val="28"/>
          <w:szCs w:val="28"/>
          <w:highlight w:val="none"/>
        </w:rPr>
        <w:t>第二章 供应商须知</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p>
    <w:p w14:paraId="6738722A">
      <w:pPr>
        <w:spacing w:line="400" w:lineRule="exact"/>
        <w:jc w:val="center"/>
        <w:rPr>
          <w:rFonts w:ascii="宋体" w:hAnsi="宋体"/>
          <w:b/>
          <w:color w:val="auto"/>
          <w:sz w:val="32"/>
          <w:szCs w:val="32"/>
          <w:highlight w:val="none"/>
        </w:rPr>
      </w:pPr>
    </w:p>
    <w:p w14:paraId="12BCFD6A">
      <w:pPr>
        <w:widowControl/>
        <w:spacing w:line="360" w:lineRule="auto"/>
        <w:ind w:firstLine="480" w:firstLineChars="200"/>
        <w:rPr>
          <w:rFonts w:ascii="宋体" w:hAnsi="宋体" w:cs="宋体"/>
          <w:color w:val="auto"/>
          <w:sz w:val="24"/>
          <w:highlight w:val="none"/>
          <w:lang w:bidi="ar"/>
        </w:rPr>
      </w:pPr>
      <w:r>
        <w:rPr>
          <w:rFonts w:hint="eastAsia" w:ascii="宋体" w:hAnsi="宋体" w:cs="宋体"/>
          <w:color w:val="auto"/>
          <w:sz w:val="24"/>
          <w:highlight w:val="none"/>
          <w:lang w:bidi="ar"/>
        </w:rPr>
        <w:t>一、本次采购采用总价包干，</w:t>
      </w:r>
      <w:r>
        <w:rPr>
          <w:rFonts w:hint="eastAsia" w:ascii="宋体" w:hAnsi="宋体" w:cs="宋体"/>
          <w:color w:val="auto"/>
          <w:sz w:val="24"/>
          <w:highlight w:val="none"/>
          <w:lang w:eastAsia="zh-CN" w:bidi="ar"/>
        </w:rPr>
        <w:t>投标报价</w:t>
      </w:r>
      <w:r>
        <w:rPr>
          <w:rFonts w:hint="eastAsia" w:ascii="宋体" w:hAnsi="宋体" w:cs="宋体"/>
          <w:color w:val="auto"/>
          <w:sz w:val="24"/>
          <w:highlight w:val="none"/>
          <w:lang w:bidi="ar"/>
        </w:rPr>
        <w:t>包含为完成</w:t>
      </w:r>
      <w:r>
        <w:rPr>
          <w:rFonts w:hint="eastAsia" w:ascii="宋体" w:hAnsi="宋体" w:cs="宋体"/>
          <w:color w:val="auto"/>
          <w:sz w:val="24"/>
          <w:highlight w:val="none"/>
          <w:u w:val="single"/>
          <w:lang w:val="en-US" w:eastAsia="zh-CN" w:bidi="ar"/>
        </w:rPr>
        <w:t xml:space="preserve"> 红水河（桥巩至宾港作业区）航道提升工程水生生态环境现状调查与评价服务 </w:t>
      </w:r>
      <w:r>
        <w:rPr>
          <w:rFonts w:hint="eastAsia" w:ascii="宋体" w:hAnsi="宋体" w:cs="宋体"/>
          <w:color w:val="auto"/>
          <w:sz w:val="24"/>
          <w:highlight w:val="none"/>
          <w:lang w:bidi="ar"/>
        </w:rPr>
        <w:t>项目的全部工作以及</w:t>
      </w:r>
      <w:r>
        <w:rPr>
          <w:rFonts w:hint="eastAsia" w:ascii="宋体" w:hAnsi="宋体" w:cs="宋体"/>
          <w:color w:val="auto"/>
          <w:sz w:val="24"/>
          <w:highlight w:val="none"/>
          <w:lang w:eastAsia="zh-CN" w:bidi="ar"/>
        </w:rPr>
        <w:t>全过程</w:t>
      </w:r>
      <w:r>
        <w:rPr>
          <w:rFonts w:hint="eastAsia" w:ascii="宋体" w:hAnsi="宋体" w:cs="宋体"/>
          <w:color w:val="auto"/>
          <w:sz w:val="24"/>
          <w:highlight w:val="none"/>
          <w:lang w:bidi="ar"/>
        </w:rPr>
        <w:t>可能发生的各种费用，</w:t>
      </w:r>
      <w:r>
        <w:rPr>
          <w:rFonts w:hint="eastAsia" w:ascii="宋体" w:hAnsi="宋体" w:cs="宋体"/>
          <w:sz w:val="24"/>
          <w:lang w:bidi="ar"/>
        </w:rPr>
        <w:t>包含但不限于从前期踏勘、资料收集、报告编制费、现场管理费、会议、专家咨询费、调研差旅费、管理费、文印费、设备耗材费、税费及合同包含的所有风险、责任及措施等费用</w:t>
      </w:r>
      <w:r>
        <w:rPr>
          <w:rFonts w:hint="eastAsia" w:ascii="宋体" w:hAnsi="宋体" w:cs="宋体"/>
          <w:color w:val="auto"/>
          <w:sz w:val="24"/>
          <w:highlight w:val="none"/>
          <w:lang w:bidi="ar"/>
        </w:rPr>
        <w:t>。本项目合同总价在合同执行过程中是固定的，不因情况变化而调整。</w:t>
      </w:r>
    </w:p>
    <w:p w14:paraId="0BDCB630">
      <w:pPr>
        <w:widowControl/>
        <w:spacing w:line="360" w:lineRule="auto"/>
        <w:ind w:firstLine="480" w:firstLineChars="200"/>
        <w:rPr>
          <w:rFonts w:ascii="宋体" w:hAnsi="宋体" w:cs="宋体"/>
          <w:color w:val="auto"/>
          <w:sz w:val="24"/>
          <w:highlight w:val="none"/>
          <w:lang w:bidi="ar"/>
        </w:rPr>
      </w:pPr>
      <w:r>
        <w:rPr>
          <w:rFonts w:hint="eastAsia" w:ascii="宋体" w:hAnsi="宋体" w:cs="宋体"/>
          <w:color w:val="auto"/>
          <w:sz w:val="24"/>
          <w:highlight w:val="none"/>
          <w:lang w:bidi="ar"/>
        </w:rPr>
        <w:t>二、投标报价为一次报价，此次报价即最终报价，不再就价格问题另行协商。</w:t>
      </w:r>
    </w:p>
    <w:p w14:paraId="4FFAACD4">
      <w:pPr>
        <w:widowControl/>
        <w:spacing w:line="360" w:lineRule="auto"/>
        <w:ind w:firstLine="480" w:firstLineChars="200"/>
        <w:rPr>
          <w:rFonts w:ascii="宋体" w:hAnsi="宋体" w:cs="宋体"/>
          <w:color w:val="auto"/>
          <w:sz w:val="24"/>
          <w:highlight w:val="none"/>
          <w:lang w:bidi="ar"/>
        </w:rPr>
      </w:pPr>
      <w:r>
        <w:rPr>
          <w:rFonts w:hint="eastAsia" w:ascii="宋体" w:hAnsi="宋体" w:cs="宋体"/>
          <w:color w:val="auto"/>
          <w:sz w:val="24"/>
          <w:highlight w:val="none"/>
          <w:lang w:bidi="ar"/>
        </w:rPr>
        <w:t>三、投标报价不能超过采购公告规定的最高限价，超过最高限价作投标无效处理。</w:t>
      </w:r>
    </w:p>
    <w:p w14:paraId="1BD7D74A">
      <w:pPr>
        <w:widowControl/>
        <w:spacing w:line="360" w:lineRule="auto"/>
        <w:ind w:firstLine="480" w:firstLineChars="200"/>
        <w:rPr>
          <w:rFonts w:ascii="宋体" w:hAnsi="宋体" w:cs="宋体"/>
          <w:color w:val="auto"/>
          <w:sz w:val="24"/>
          <w:highlight w:val="none"/>
          <w:lang w:bidi="ar"/>
        </w:rPr>
      </w:pPr>
      <w:r>
        <w:rPr>
          <w:rFonts w:hint="eastAsia" w:ascii="宋体" w:hAnsi="宋体" w:cs="宋体"/>
          <w:color w:val="auto"/>
          <w:sz w:val="24"/>
          <w:highlight w:val="none"/>
          <w:lang w:bidi="ar"/>
        </w:rPr>
        <w:t>四、报价应为含税价格，并且能够提供增值税发票。</w:t>
      </w:r>
    </w:p>
    <w:p w14:paraId="585AEF06">
      <w:pPr>
        <w:widowControl/>
        <w:spacing w:line="360" w:lineRule="auto"/>
        <w:ind w:firstLine="480" w:firstLineChars="200"/>
        <w:rPr>
          <w:rFonts w:ascii="宋体" w:hAnsi="宋体" w:cs="宋体"/>
          <w:color w:val="auto"/>
          <w:sz w:val="24"/>
          <w:highlight w:val="none"/>
          <w:lang w:bidi="ar"/>
        </w:rPr>
      </w:pPr>
      <w:r>
        <w:rPr>
          <w:rFonts w:hint="eastAsia" w:ascii="宋体" w:hAnsi="宋体" w:cs="宋体"/>
          <w:color w:val="auto"/>
          <w:sz w:val="24"/>
          <w:highlight w:val="none"/>
          <w:lang w:bidi="ar"/>
        </w:rPr>
        <w:t>五、供应商如需现场考察，可自行前往，费用自理。</w:t>
      </w:r>
    </w:p>
    <w:p w14:paraId="1CD332D4">
      <w:pPr>
        <w:widowControl/>
        <w:spacing w:line="360" w:lineRule="auto"/>
        <w:ind w:firstLine="480" w:firstLineChars="200"/>
        <w:rPr>
          <w:rFonts w:ascii="宋体" w:hAnsi="宋体" w:cs="宋体"/>
          <w:color w:val="auto"/>
          <w:sz w:val="24"/>
          <w:highlight w:val="none"/>
          <w:lang w:bidi="ar"/>
        </w:rPr>
      </w:pPr>
      <w:r>
        <w:rPr>
          <w:rFonts w:hint="eastAsia" w:ascii="宋体" w:hAnsi="宋体" w:cs="宋体"/>
          <w:color w:val="auto"/>
          <w:sz w:val="24"/>
          <w:highlight w:val="none"/>
          <w:lang w:bidi="ar"/>
        </w:rPr>
        <w:t>六、供应商应针对本项目的特殊性和项目所在地的地理、人文、环境进行综合的评估，谨慎报价，合理安排各项工作。</w:t>
      </w:r>
    </w:p>
    <w:p w14:paraId="26563613">
      <w:pPr>
        <w:spacing w:line="360" w:lineRule="auto"/>
        <w:ind w:firstLine="480" w:firstLineChars="200"/>
        <w:rPr>
          <w:rFonts w:ascii="宋体" w:hAnsi="宋体" w:cs="宋体"/>
          <w:color w:val="auto"/>
          <w:sz w:val="24"/>
          <w:highlight w:val="none"/>
          <w:lang w:bidi="ar"/>
        </w:rPr>
      </w:pPr>
      <w:r>
        <w:rPr>
          <w:rFonts w:hint="eastAsia" w:ascii="宋体" w:hAnsi="宋体" w:cs="宋体"/>
          <w:color w:val="auto"/>
          <w:sz w:val="24"/>
          <w:highlight w:val="none"/>
          <w:lang w:bidi="ar"/>
        </w:rPr>
        <w:t>七、响应文件应于采购公告规定的响应文件递交截止时间前递交，密封邮寄或亲自递交到采购公告指定的响应文件递交地点，逾期送达的，采购人将予以拒收。</w:t>
      </w:r>
    </w:p>
    <w:p w14:paraId="48014872">
      <w:pPr>
        <w:widowControl/>
        <w:spacing w:line="360" w:lineRule="auto"/>
        <w:ind w:firstLine="480" w:firstLineChars="200"/>
        <w:rPr>
          <w:rFonts w:ascii="宋体" w:hAnsi="宋体" w:cs="宋体"/>
          <w:color w:val="auto"/>
          <w:sz w:val="24"/>
          <w:highlight w:val="none"/>
          <w:lang w:bidi="ar"/>
        </w:rPr>
      </w:pPr>
      <w:r>
        <w:rPr>
          <w:rFonts w:hint="eastAsia" w:ascii="宋体" w:hAnsi="宋体" w:cs="宋体"/>
          <w:color w:val="auto"/>
          <w:sz w:val="24"/>
          <w:highlight w:val="none"/>
          <w:lang w:bidi="ar"/>
        </w:rPr>
        <w:t>八、响应文件应按第五章响应文件格式要求编制。响应文件正本壹份、副本壹份。</w:t>
      </w:r>
    </w:p>
    <w:p w14:paraId="23134C23">
      <w:pPr>
        <w:widowControl/>
        <w:spacing w:line="360" w:lineRule="auto"/>
        <w:ind w:firstLine="480" w:firstLineChars="200"/>
        <w:rPr>
          <w:rFonts w:ascii="宋体" w:hAnsi="宋体" w:cs="宋体"/>
          <w:color w:val="auto"/>
          <w:sz w:val="24"/>
          <w:highlight w:val="none"/>
          <w:lang w:bidi="ar"/>
        </w:rPr>
      </w:pPr>
      <w:r>
        <w:rPr>
          <w:rFonts w:hint="eastAsia" w:ascii="宋体" w:hAnsi="宋体" w:cs="宋体"/>
          <w:color w:val="auto"/>
          <w:sz w:val="24"/>
          <w:highlight w:val="none"/>
          <w:lang w:bidi="ar"/>
        </w:rPr>
        <w:t>九、本项目</w:t>
      </w:r>
      <w:r>
        <w:rPr>
          <w:rFonts w:hint="eastAsia" w:ascii="宋体" w:hAnsi="宋体" w:cs="宋体"/>
          <w:color w:val="auto"/>
          <w:sz w:val="24"/>
          <w:highlight w:val="none"/>
          <w:lang w:eastAsia="zh-CN" w:bidi="ar"/>
        </w:rPr>
        <w:t>不</w:t>
      </w:r>
      <w:r>
        <w:rPr>
          <w:rFonts w:hint="eastAsia" w:ascii="宋体" w:hAnsi="宋体" w:cs="宋体"/>
          <w:color w:val="auto"/>
          <w:sz w:val="24"/>
          <w:highlight w:val="none"/>
          <w:lang w:bidi="ar"/>
        </w:rPr>
        <w:t>允许分包。</w:t>
      </w:r>
    </w:p>
    <w:p w14:paraId="5872A47A">
      <w:pPr>
        <w:widowControl/>
        <w:spacing w:line="360" w:lineRule="auto"/>
        <w:ind w:firstLine="480" w:firstLineChars="200"/>
        <w:rPr>
          <w:rFonts w:ascii="宋体" w:hAnsi="宋体" w:cs="宋体"/>
          <w:color w:val="auto"/>
          <w:sz w:val="24"/>
          <w:highlight w:val="none"/>
          <w:lang w:bidi="ar"/>
        </w:rPr>
      </w:pPr>
      <w:r>
        <w:rPr>
          <w:rFonts w:hint="eastAsia" w:ascii="宋体" w:hAnsi="宋体" w:cs="宋体"/>
          <w:color w:val="auto"/>
          <w:sz w:val="24"/>
          <w:highlight w:val="none"/>
          <w:lang w:bidi="ar"/>
        </w:rPr>
        <w:t>十、投标有效期为</w:t>
      </w:r>
      <w:r>
        <w:rPr>
          <w:rFonts w:ascii="宋体" w:hAnsi="宋体" w:cs="宋体"/>
          <w:color w:val="auto"/>
          <w:sz w:val="24"/>
          <w:highlight w:val="none"/>
          <w:lang w:bidi="ar"/>
        </w:rPr>
        <w:t>60</w:t>
      </w:r>
      <w:r>
        <w:rPr>
          <w:rFonts w:hint="eastAsia" w:ascii="宋体" w:hAnsi="宋体" w:cs="宋体"/>
          <w:color w:val="auto"/>
          <w:sz w:val="24"/>
          <w:highlight w:val="none"/>
          <w:lang w:bidi="ar"/>
        </w:rPr>
        <w:t>日历天。</w:t>
      </w:r>
    </w:p>
    <w:p w14:paraId="399ABD3E">
      <w:pPr>
        <w:spacing w:line="360" w:lineRule="auto"/>
        <w:ind w:firstLine="480" w:firstLineChars="200"/>
        <w:rPr>
          <w:rFonts w:ascii="宋体" w:hAnsi="宋体" w:cs="宋体"/>
          <w:color w:val="auto"/>
          <w:sz w:val="24"/>
          <w:highlight w:val="none"/>
          <w:lang w:bidi="ar"/>
        </w:rPr>
      </w:pPr>
    </w:p>
    <w:p w14:paraId="19259358">
      <w:pPr>
        <w:pStyle w:val="10"/>
        <w:rPr>
          <w:rFonts w:ascii="宋体"/>
          <w:bCs/>
          <w:color w:val="auto"/>
          <w:kern w:val="0"/>
          <w:szCs w:val="21"/>
          <w:highlight w:val="none"/>
        </w:rPr>
      </w:pPr>
    </w:p>
    <w:p w14:paraId="474B4D8D">
      <w:pPr>
        <w:pStyle w:val="10"/>
        <w:rPr>
          <w:rFonts w:ascii="宋体"/>
          <w:bCs/>
          <w:color w:val="auto"/>
          <w:kern w:val="0"/>
          <w:szCs w:val="21"/>
          <w:highlight w:val="none"/>
        </w:rPr>
      </w:pPr>
    </w:p>
    <w:p w14:paraId="2330C8D1">
      <w:pPr>
        <w:pStyle w:val="14"/>
        <w:spacing w:line="360" w:lineRule="auto"/>
        <w:ind w:firstLine="643" w:firstLineChars="200"/>
        <w:textAlignment w:val="center"/>
        <w:rPr>
          <w:rFonts w:hAnsi="宋体" w:cs="宋体"/>
          <w:color w:val="auto"/>
          <w:kern w:val="2"/>
          <w:sz w:val="21"/>
          <w:highlight w:val="none"/>
        </w:rPr>
      </w:pPr>
      <w:r>
        <w:rPr>
          <w:rFonts w:hAnsi="宋体"/>
          <w:b/>
          <w:color w:val="auto"/>
          <w:sz w:val="32"/>
          <w:szCs w:val="32"/>
          <w:highlight w:val="none"/>
        </w:rPr>
        <w:br w:type="page"/>
      </w:r>
    </w:p>
    <w:p w14:paraId="468DC33C">
      <w:pPr>
        <w:pStyle w:val="2"/>
        <w:spacing w:before="0" w:after="0" w:line="360" w:lineRule="auto"/>
        <w:jc w:val="center"/>
        <w:rPr>
          <w:color w:val="auto"/>
          <w:sz w:val="28"/>
          <w:szCs w:val="28"/>
          <w:highlight w:val="none"/>
        </w:rPr>
      </w:pPr>
      <w:bookmarkStart w:id="38" w:name="_Toc31960"/>
      <w:bookmarkStart w:id="39" w:name="_Toc18037"/>
      <w:bookmarkStart w:id="40" w:name="_Toc1143"/>
      <w:bookmarkStart w:id="41" w:name="_Toc29660"/>
      <w:bookmarkStart w:id="42" w:name="_Toc14791"/>
      <w:bookmarkStart w:id="43" w:name="_Toc14466"/>
      <w:bookmarkStart w:id="44" w:name="_Toc20395"/>
      <w:bookmarkStart w:id="45" w:name="_Toc6699"/>
      <w:bookmarkStart w:id="46" w:name="_Toc14941"/>
      <w:bookmarkStart w:id="47" w:name="_Toc14696"/>
      <w:bookmarkStart w:id="48" w:name="_Toc1475"/>
      <w:bookmarkStart w:id="49" w:name="_Toc22466"/>
      <w:bookmarkStart w:id="50" w:name="_Toc2534"/>
      <w:bookmarkStart w:id="51" w:name="_Toc16526"/>
      <w:bookmarkStart w:id="52" w:name="_Toc24077"/>
      <w:r>
        <w:rPr>
          <w:rFonts w:hint="eastAsia"/>
          <w:color w:val="auto"/>
          <w:sz w:val="28"/>
          <w:szCs w:val="28"/>
          <w:highlight w:val="none"/>
        </w:rPr>
        <w:t>第三章 采购需求</w:t>
      </w:r>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p>
    <w:p w14:paraId="41A02338">
      <w:pPr>
        <w:widowControl/>
        <w:spacing w:line="360" w:lineRule="auto"/>
        <w:ind w:firstLine="422" w:firstLineChars="200"/>
        <w:rPr>
          <w:rFonts w:hint="eastAsia" w:ascii="宋体" w:hAnsi="宋体" w:cs="宋体"/>
          <w:b/>
          <w:bCs/>
          <w:color w:val="auto"/>
          <w:sz w:val="21"/>
          <w:szCs w:val="21"/>
          <w:highlight w:val="none"/>
          <w:lang w:bidi="ar"/>
        </w:rPr>
      </w:pPr>
    </w:p>
    <w:p w14:paraId="363B7EF9">
      <w:pPr>
        <w:widowControl/>
        <w:spacing w:line="360" w:lineRule="auto"/>
        <w:ind w:firstLine="422" w:firstLineChars="200"/>
        <w:outlineLvl w:val="1"/>
        <w:rPr>
          <w:rFonts w:ascii="宋体" w:hAnsi="宋体" w:cs="宋体"/>
          <w:b/>
          <w:bCs/>
          <w:color w:val="auto"/>
          <w:sz w:val="21"/>
          <w:szCs w:val="21"/>
          <w:highlight w:val="none"/>
          <w:lang w:bidi="ar"/>
        </w:rPr>
      </w:pPr>
      <w:bookmarkStart w:id="53" w:name="_Toc10859"/>
      <w:bookmarkStart w:id="54" w:name="_Toc21169"/>
      <w:bookmarkStart w:id="55" w:name="_Toc7438"/>
      <w:bookmarkStart w:id="56" w:name="_Toc24504"/>
      <w:bookmarkStart w:id="57" w:name="_Toc30777"/>
      <w:r>
        <w:rPr>
          <w:rFonts w:hint="eastAsia" w:ascii="宋体" w:hAnsi="宋体" w:cs="宋体"/>
          <w:b/>
          <w:bCs/>
          <w:color w:val="auto"/>
          <w:sz w:val="21"/>
          <w:szCs w:val="21"/>
          <w:highlight w:val="none"/>
          <w:lang w:bidi="ar"/>
        </w:rPr>
        <w:t>一、项目概况</w:t>
      </w:r>
      <w:bookmarkEnd w:id="53"/>
      <w:bookmarkEnd w:id="54"/>
      <w:bookmarkEnd w:id="55"/>
      <w:bookmarkEnd w:id="56"/>
      <w:bookmarkEnd w:id="57"/>
    </w:p>
    <w:p w14:paraId="7AD6DAB4">
      <w:pPr>
        <w:spacing w:line="360" w:lineRule="auto"/>
        <w:ind w:firstLine="420" w:firstLineChars="200"/>
        <w:rPr>
          <w:rFonts w:hint="eastAsia" w:ascii="宋体" w:hAnsi="宋体" w:cs="宋体"/>
          <w:bCs/>
          <w:color w:val="auto"/>
          <w:sz w:val="21"/>
          <w:szCs w:val="21"/>
          <w:highlight w:val="none"/>
        </w:rPr>
      </w:pPr>
      <w:r>
        <w:rPr>
          <w:rFonts w:hint="eastAsia" w:ascii="宋体" w:hAnsi="宋体" w:cs="宋体"/>
          <w:bCs/>
          <w:color w:val="auto"/>
          <w:sz w:val="21"/>
          <w:szCs w:val="21"/>
          <w:highlight w:val="none"/>
          <w:lang w:eastAsia="zh-CN"/>
        </w:rPr>
        <w:t>红水河（桥巩至宾港作业区）航道提升工程</w:t>
      </w:r>
      <w:r>
        <w:rPr>
          <w:rFonts w:hint="eastAsia" w:ascii="宋体" w:hAnsi="宋体" w:cs="宋体"/>
          <w:bCs/>
          <w:color w:val="auto"/>
          <w:sz w:val="21"/>
          <w:szCs w:val="21"/>
          <w:highlight w:val="none"/>
        </w:rPr>
        <w:t>，全长约</w:t>
      </w:r>
      <w:r>
        <w:rPr>
          <w:rFonts w:hint="eastAsia" w:ascii="宋体" w:hAnsi="宋体" w:cs="宋体"/>
          <w:bCs/>
          <w:color w:val="auto"/>
          <w:sz w:val="21"/>
          <w:szCs w:val="21"/>
          <w:highlight w:val="none"/>
          <w:lang w:val="en-US" w:eastAsia="zh-CN"/>
        </w:rPr>
        <w:t>26</w:t>
      </w:r>
      <w:r>
        <w:rPr>
          <w:rFonts w:hint="eastAsia" w:ascii="宋体" w:hAnsi="宋体" w:cs="宋体"/>
          <w:bCs/>
          <w:color w:val="auto"/>
          <w:sz w:val="21"/>
          <w:szCs w:val="21"/>
          <w:highlight w:val="none"/>
        </w:rPr>
        <w:t>km，按内河</w:t>
      </w:r>
      <w:r>
        <w:rPr>
          <w:rFonts w:hint="eastAsia" w:ascii="宋体" w:hAnsi="宋体" w:cs="宋体"/>
          <w:bCs/>
          <w:color w:val="auto"/>
          <w:sz w:val="21"/>
          <w:szCs w:val="21"/>
          <w:highlight w:val="none"/>
          <w:lang w:eastAsia="zh-CN"/>
        </w:rPr>
        <w:t>二级</w:t>
      </w:r>
      <w:r>
        <w:rPr>
          <w:rFonts w:hint="eastAsia" w:ascii="宋体" w:hAnsi="宋体" w:cs="宋体"/>
          <w:bCs/>
          <w:color w:val="auto"/>
          <w:sz w:val="21"/>
          <w:szCs w:val="21"/>
          <w:highlight w:val="none"/>
        </w:rPr>
        <w:t>级</w:t>
      </w:r>
      <w:r>
        <w:rPr>
          <w:rFonts w:hint="eastAsia" w:ascii="宋体" w:hAnsi="宋体" w:cs="宋体"/>
          <w:bCs/>
          <w:color w:val="auto"/>
          <w:sz w:val="21"/>
          <w:szCs w:val="21"/>
          <w:highlight w:val="none"/>
          <w:lang w:eastAsia="zh-CN"/>
        </w:rPr>
        <w:t>双线</w:t>
      </w:r>
      <w:r>
        <w:rPr>
          <w:rFonts w:hint="eastAsia" w:ascii="宋体" w:hAnsi="宋体" w:cs="宋体"/>
          <w:bCs/>
          <w:color w:val="auto"/>
          <w:sz w:val="21"/>
          <w:szCs w:val="21"/>
          <w:highlight w:val="none"/>
        </w:rPr>
        <w:t>航道标准建设，穿越红水河来宾段珍稀鱼类自治区级自然保护区、广西来宾红水河珍稀鱼类自治区级自然保护区生态保护红线等环境敏感区。</w:t>
      </w:r>
    </w:p>
    <w:p w14:paraId="15E913BE">
      <w:pPr>
        <w:spacing w:line="360" w:lineRule="auto"/>
        <w:ind w:firstLine="420" w:firstLineChars="200"/>
        <w:rPr>
          <w:rFonts w:hint="eastAsia" w:ascii="宋体" w:hAnsi="宋体" w:cs="宋体"/>
          <w:bCs/>
          <w:color w:val="auto"/>
          <w:sz w:val="21"/>
          <w:szCs w:val="21"/>
          <w:highlight w:val="none"/>
        </w:rPr>
      </w:pPr>
      <w:r>
        <w:rPr>
          <w:rFonts w:hint="eastAsia" w:ascii="宋体" w:hAnsi="宋体" w:cs="宋体"/>
          <w:bCs/>
          <w:color w:val="auto"/>
          <w:sz w:val="21"/>
          <w:szCs w:val="21"/>
          <w:highlight w:val="none"/>
          <w:lang w:eastAsia="zh-CN"/>
        </w:rPr>
        <w:t>本项目</w:t>
      </w:r>
      <w:r>
        <w:rPr>
          <w:rFonts w:hint="eastAsia" w:ascii="宋体" w:hAnsi="宋体" w:cs="宋体"/>
          <w:bCs/>
          <w:color w:val="auto"/>
          <w:sz w:val="21"/>
          <w:szCs w:val="21"/>
          <w:highlight w:val="none"/>
        </w:rPr>
        <w:t>开展</w:t>
      </w:r>
      <w:r>
        <w:rPr>
          <w:rFonts w:hint="eastAsia" w:ascii="宋体" w:hAnsi="宋体" w:cs="宋体"/>
          <w:bCs/>
          <w:color w:val="auto"/>
          <w:sz w:val="21"/>
          <w:szCs w:val="21"/>
          <w:highlight w:val="none"/>
          <w:lang w:eastAsia="zh-CN"/>
        </w:rPr>
        <w:t>红水河（桥巩至宾港作业区）航道提升工程水生生态环境现状调查与评价</w:t>
      </w:r>
      <w:r>
        <w:rPr>
          <w:rFonts w:hint="eastAsia" w:ascii="宋体" w:hAnsi="宋体" w:cs="宋体"/>
          <w:bCs/>
          <w:color w:val="auto"/>
          <w:sz w:val="21"/>
          <w:szCs w:val="21"/>
          <w:highlight w:val="none"/>
        </w:rPr>
        <w:t>，</w:t>
      </w:r>
      <w:r>
        <w:rPr>
          <w:rFonts w:hint="eastAsia" w:ascii="宋体" w:hAnsi="宋体" w:cs="宋体"/>
          <w:bCs/>
          <w:color w:val="auto"/>
          <w:sz w:val="21"/>
          <w:szCs w:val="21"/>
          <w:highlight w:val="none"/>
          <w:lang w:val="zh-CN"/>
        </w:rPr>
        <w:t>编制水生生态现状调查评价报告</w:t>
      </w:r>
      <w:r>
        <w:rPr>
          <w:rFonts w:hint="eastAsia" w:ascii="宋体" w:hAnsi="宋体" w:cs="宋体"/>
          <w:bCs/>
          <w:color w:val="auto"/>
          <w:sz w:val="21"/>
          <w:szCs w:val="21"/>
          <w:highlight w:val="none"/>
          <w:lang w:eastAsia="zh-CN"/>
        </w:rPr>
        <w:t>。</w:t>
      </w:r>
    </w:p>
    <w:p w14:paraId="535FF123">
      <w:pPr>
        <w:spacing w:line="360" w:lineRule="auto"/>
        <w:ind w:firstLine="420" w:firstLineChars="200"/>
        <w:rPr>
          <w:rFonts w:ascii="宋体" w:hAnsi="宋体" w:cs="宋体"/>
          <w:bCs/>
          <w:color w:val="auto"/>
          <w:sz w:val="21"/>
          <w:szCs w:val="21"/>
          <w:highlight w:val="none"/>
        </w:rPr>
      </w:pPr>
      <w:r>
        <w:rPr>
          <w:rFonts w:hint="eastAsia" w:ascii="宋体" w:hAnsi="宋体" w:cs="宋体"/>
          <w:bCs/>
          <w:color w:val="auto"/>
          <w:sz w:val="21"/>
          <w:szCs w:val="21"/>
          <w:highlight w:val="none"/>
        </w:rPr>
        <w:t>采购预算金额：95万元。</w:t>
      </w:r>
    </w:p>
    <w:p w14:paraId="252E7E50">
      <w:pPr>
        <w:spacing w:line="360" w:lineRule="auto"/>
        <w:ind w:firstLine="422" w:firstLineChars="200"/>
        <w:outlineLvl w:val="1"/>
        <w:rPr>
          <w:rFonts w:ascii="宋体" w:hAnsi="宋体" w:cs="宋体"/>
          <w:b/>
          <w:bCs/>
          <w:color w:val="auto"/>
          <w:sz w:val="21"/>
          <w:szCs w:val="21"/>
          <w:highlight w:val="none"/>
          <w:lang w:bidi="ar"/>
        </w:rPr>
      </w:pPr>
      <w:bookmarkStart w:id="58" w:name="_Toc19067"/>
      <w:bookmarkStart w:id="59" w:name="_Toc15282"/>
      <w:bookmarkStart w:id="60" w:name="_Toc20215"/>
      <w:bookmarkStart w:id="61" w:name="_Toc27968"/>
      <w:bookmarkStart w:id="62" w:name="_Toc6653"/>
      <w:r>
        <w:rPr>
          <w:rFonts w:hint="eastAsia" w:ascii="宋体" w:hAnsi="宋体" w:cs="宋体"/>
          <w:b/>
          <w:bCs/>
          <w:color w:val="auto"/>
          <w:sz w:val="21"/>
          <w:szCs w:val="21"/>
          <w:highlight w:val="none"/>
          <w:lang w:bidi="ar"/>
        </w:rPr>
        <w:t>二、采购内容</w:t>
      </w:r>
      <w:bookmarkEnd w:id="58"/>
      <w:bookmarkEnd w:id="59"/>
      <w:bookmarkEnd w:id="60"/>
      <w:bookmarkEnd w:id="61"/>
      <w:bookmarkEnd w:id="62"/>
    </w:p>
    <w:p w14:paraId="152F368F">
      <w:pPr>
        <w:widowControl/>
        <w:spacing w:line="360" w:lineRule="auto"/>
        <w:ind w:firstLine="420" w:firstLineChars="200"/>
        <w:rPr>
          <w:rFonts w:hint="default" w:ascii="宋体" w:hAnsi="宋体" w:eastAsia="宋体" w:cs="宋体"/>
          <w:color w:val="auto"/>
          <w:sz w:val="21"/>
          <w:szCs w:val="21"/>
          <w:highlight w:val="none"/>
          <w:lang w:val="en-US" w:eastAsia="zh-CN" w:bidi="ar"/>
        </w:rPr>
      </w:pPr>
      <w:r>
        <w:rPr>
          <w:rFonts w:hint="eastAsia" w:ascii="宋体" w:hAnsi="宋体" w:cs="宋体"/>
          <w:color w:val="auto"/>
          <w:sz w:val="21"/>
          <w:szCs w:val="21"/>
          <w:highlight w:val="none"/>
          <w:lang w:val="zh-CN" w:bidi="ar"/>
        </w:rPr>
        <w:t>红水河（桥巩至宾港作业区）航道提升工程水生生态环境现状调查与评价服务，开展</w:t>
      </w:r>
      <w:r>
        <w:rPr>
          <w:rFonts w:hint="eastAsia" w:ascii="宋体" w:hAnsi="宋体" w:cs="宋体"/>
          <w:color w:val="auto"/>
          <w:sz w:val="21"/>
          <w:szCs w:val="21"/>
          <w:highlight w:val="none"/>
          <w:lang w:val="zh-CN" w:eastAsia="zh-CN" w:bidi="ar"/>
        </w:rPr>
        <w:t>红水河（桥巩至宾港作业区）航道提升工程水生生态环境现状调查与评价</w:t>
      </w:r>
      <w:r>
        <w:rPr>
          <w:rFonts w:hint="eastAsia" w:ascii="宋体" w:hAnsi="宋体" w:cs="宋体"/>
          <w:color w:val="auto"/>
          <w:sz w:val="21"/>
          <w:szCs w:val="21"/>
          <w:highlight w:val="none"/>
          <w:lang w:val="zh-CN" w:bidi="ar"/>
        </w:rPr>
        <w:t>，编制水生生态现状调查评价报告，支撑工程对自然保护区影响和生态保护红线不可避让等专题论证报告及环评报批。</w:t>
      </w:r>
    </w:p>
    <w:p w14:paraId="443A297C">
      <w:pPr>
        <w:widowControl/>
        <w:spacing w:line="360" w:lineRule="auto"/>
        <w:ind w:firstLine="422" w:firstLineChars="200"/>
        <w:outlineLvl w:val="1"/>
        <w:rPr>
          <w:rFonts w:ascii="宋体" w:hAnsi="宋体" w:cs="宋体"/>
          <w:b/>
          <w:bCs/>
          <w:color w:val="auto"/>
          <w:sz w:val="21"/>
          <w:szCs w:val="21"/>
          <w:highlight w:val="none"/>
          <w:lang w:bidi="ar"/>
        </w:rPr>
      </w:pPr>
      <w:bookmarkStart w:id="63" w:name="_Toc7146"/>
      <w:bookmarkStart w:id="64" w:name="_Toc27232"/>
      <w:bookmarkStart w:id="65" w:name="_Toc26968"/>
      <w:bookmarkStart w:id="66" w:name="_Toc24731"/>
      <w:bookmarkStart w:id="67" w:name="_Toc3523"/>
      <w:r>
        <w:rPr>
          <w:rFonts w:hint="eastAsia" w:ascii="宋体" w:hAnsi="宋体" w:cs="宋体"/>
          <w:b/>
          <w:bCs/>
          <w:color w:val="auto"/>
          <w:sz w:val="21"/>
          <w:szCs w:val="21"/>
          <w:highlight w:val="none"/>
          <w:lang w:bidi="ar"/>
        </w:rPr>
        <w:t>三、技术要求</w:t>
      </w:r>
      <w:bookmarkEnd w:id="63"/>
      <w:bookmarkEnd w:id="64"/>
      <w:bookmarkEnd w:id="65"/>
      <w:bookmarkEnd w:id="66"/>
      <w:bookmarkEnd w:id="67"/>
    </w:p>
    <w:p w14:paraId="76F1DC12">
      <w:pPr>
        <w:widowControl/>
        <w:spacing w:line="360" w:lineRule="auto"/>
        <w:ind w:firstLine="422" w:firstLineChars="200"/>
        <w:outlineLvl w:val="2"/>
        <w:rPr>
          <w:rFonts w:ascii="宋体" w:hAnsi="宋体" w:cs="宋体"/>
          <w:b/>
          <w:bCs/>
          <w:color w:val="auto"/>
          <w:sz w:val="21"/>
          <w:szCs w:val="21"/>
          <w:highlight w:val="none"/>
          <w:lang w:bidi="ar"/>
        </w:rPr>
      </w:pPr>
      <w:r>
        <w:rPr>
          <w:rFonts w:hint="eastAsia" w:ascii="宋体" w:hAnsi="宋体" w:cs="宋体"/>
          <w:b/>
          <w:bCs/>
          <w:color w:val="auto"/>
          <w:sz w:val="21"/>
          <w:szCs w:val="21"/>
          <w:highlight w:val="none"/>
          <w:lang w:bidi="ar"/>
        </w:rPr>
        <w:t>（一）技术标准</w:t>
      </w:r>
    </w:p>
    <w:p w14:paraId="7986AB82">
      <w:pPr>
        <w:widowControl/>
        <w:spacing w:line="360" w:lineRule="auto"/>
        <w:ind w:firstLine="420" w:firstLineChars="200"/>
        <w:rPr>
          <w:rFonts w:hint="eastAsia" w:ascii="宋体" w:hAnsi="宋体" w:cs="宋体"/>
          <w:color w:val="auto"/>
          <w:sz w:val="21"/>
          <w:szCs w:val="21"/>
          <w:highlight w:val="none"/>
          <w:lang w:bidi="ar"/>
        </w:rPr>
      </w:pPr>
      <w:r>
        <w:rPr>
          <w:rFonts w:hint="eastAsia" w:ascii="宋体" w:hAnsi="宋体" w:cs="宋体"/>
          <w:color w:val="auto"/>
          <w:sz w:val="21"/>
          <w:szCs w:val="21"/>
          <w:highlight w:val="none"/>
          <w:lang w:bidi="ar"/>
        </w:rPr>
        <w:t>执行</w:t>
      </w:r>
      <w:bookmarkStart w:id="68" w:name="OLE_LINK11"/>
      <w:r>
        <w:rPr>
          <w:rFonts w:hint="eastAsia" w:ascii="宋体" w:hAnsi="宋体" w:cs="宋体"/>
          <w:color w:val="auto"/>
          <w:sz w:val="21"/>
          <w:szCs w:val="21"/>
          <w:highlight w:val="none"/>
          <w:lang w:bidi="ar"/>
        </w:rPr>
        <w:t>国家和行业现行相关的技术标准、规范和规程</w:t>
      </w:r>
      <w:bookmarkEnd w:id="68"/>
      <w:r>
        <w:rPr>
          <w:rFonts w:hint="eastAsia" w:ascii="宋体" w:hAnsi="宋体" w:cs="宋体"/>
          <w:color w:val="auto"/>
          <w:sz w:val="21"/>
          <w:szCs w:val="21"/>
          <w:highlight w:val="none"/>
          <w:lang w:bidi="ar"/>
        </w:rPr>
        <w:t>。在项目实施过程中，如国家或有关部门颁布了新的技术标准，则供应商应采用新的标准。</w:t>
      </w:r>
    </w:p>
    <w:p w14:paraId="7F8D4517">
      <w:pPr>
        <w:widowControl/>
        <w:spacing w:line="360" w:lineRule="auto"/>
        <w:ind w:firstLine="420" w:firstLineChars="200"/>
        <w:rPr>
          <w:rFonts w:hint="eastAsia" w:ascii="宋体" w:hAnsi="宋体" w:cs="宋体"/>
          <w:color w:val="auto"/>
          <w:sz w:val="21"/>
          <w:szCs w:val="21"/>
          <w:highlight w:val="none"/>
          <w:lang w:bidi="ar"/>
        </w:rPr>
      </w:pPr>
      <w:r>
        <w:rPr>
          <w:rFonts w:hint="eastAsia" w:ascii="宋体" w:hAnsi="宋体" w:cs="宋体"/>
          <w:color w:val="auto"/>
          <w:sz w:val="21"/>
          <w:szCs w:val="21"/>
          <w:highlight w:val="none"/>
          <w:lang w:eastAsia="zh-CN" w:bidi="ar"/>
        </w:rPr>
        <w:t>技术标准书目索引（包括但不限于）：</w:t>
      </w:r>
    </w:p>
    <w:p w14:paraId="2D378BCE">
      <w:pPr>
        <w:widowControl/>
        <w:spacing w:line="360" w:lineRule="auto"/>
        <w:ind w:firstLine="420" w:firstLineChars="200"/>
        <w:rPr>
          <w:rFonts w:hint="eastAsia" w:ascii="宋体" w:hAnsi="宋体" w:cs="宋体"/>
          <w:color w:val="auto"/>
          <w:sz w:val="21"/>
          <w:szCs w:val="21"/>
          <w:highlight w:val="none"/>
          <w:lang w:bidi="ar"/>
        </w:rPr>
      </w:pPr>
      <w:r>
        <w:rPr>
          <w:rFonts w:hint="eastAsia" w:ascii="宋体" w:hAnsi="宋体" w:cs="宋体"/>
          <w:color w:val="auto"/>
          <w:sz w:val="21"/>
          <w:szCs w:val="21"/>
          <w:highlight w:val="none"/>
          <w:lang w:bidi="ar"/>
        </w:rPr>
        <w:t>1.《中华人民共和国生态环境法典》（2026年3月12日第十四届全国人民代表大会第四次会议通过）；</w:t>
      </w:r>
    </w:p>
    <w:p w14:paraId="456C54C6">
      <w:pPr>
        <w:widowControl/>
        <w:spacing w:line="360" w:lineRule="auto"/>
        <w:ind w:firstLine="420" w:firstLineChars="200"/>
        <w:rPr>
          <w:rFonts w:hint="eastAsia" w:ascii="宋体" w:hAnsi="宋体" w:cs="宋体"/>
          <w:color w:val="auto"/>
          <w:sz w:val="21"/>
          <w:szCs w:val="21"/>
          <w:highlight w:val="none"/>
          <w:lang w:bidi="ar"/>
        </w:rPr>
      </w:pPr>
      <w:r>
        <w:rPr>
          <w:rFonts w:hint="eastAsia" w:ascii="宋体" w:hAnsi="宋体" w:cs="宋体"/>
          <w:color w:val="auto"/>
          <w:sz w:val="21"/>
          <w:szCs w:val="21"/>
          <w:highlight w:val="none"/>
          <w:lang w:bidi="ar"/>
        </w:rPr>
        <w:t>2.《中华人民共和国自然保护区条例》（中华人民共和国国务院令第830号）；</w:t>
      </w:r>
    </w:p>
    <w:p w14:paraId="2DB42E6B">
      <w:pPr>
        <w:widowControl/>
        <w:spacing w:line="360" w:lineRule="auto"/>
        <w:ind w:firstLine="420" w:firstLineChars="200"/>
        <w:rPr>
          <w:rFonts w:hint="eastAsia" w:ascii="宋体" w:hAnsi="宋体" w:cs="宋体"/>
          <w:color w:val="auto"/>
          <w:sz w:val="21"/>
          <w:szCs w:val="21"/>
          <w:highlight w:val="none"/>
          <w:lang w:bidi="ar"/>
        </w:rPr>
      </w:pPr>
      <w:r>
        <w:rPr>
          <w:rFonts w:hint="eastAsia" w:ascii="宋体" w:hAnsi="宋体" w:cs="宋体"/>
          <w:color w:val="auto"/>
          <w:sz w:val="21"/>
          <w:szCs w:val="21"/>
          <w:highlight w:val="none"/>
          <w:lang w:bidi="ar"/>
        </w:rPr>
        <w:t>3.《环境影响评价技术导则 生态环境》（HJ 19-2022）；</w:t>
      </w:r>
    </w:p>
    <w:p w14:paraId="09797639">
      <w:pPr>
        <w:widowControl/>
        <w:spacing w:line="360" w:lineRule="auto"/>
        <w:ind w:firstLine="420" w:firstLineChars="200"/>
        <w:rPr>
          <w:rFonts w:hint="eastAsia" w:ascii="宋体" w:hAnsi="宋体" w:cs="宋体"/>
          <w:color w:val="auto"/>
          <w:sz w:val="21"/>
          <w:szCs w:val="21"/>
          <w:highlight w:val="none"/>
          <w:lang w:bidi="ar"/>
        </w:rPr>
      </w:pPr>
      <w:r>
        <w:rPr>
          <w:rFonts w:hint="eastAsia" w:ascii="宋体" w:hAnsi="宋体" w:cs="宋体"/>
          <w:color w:val="auto"/>
          <w:sz w:val="21"/>
          <w:szCs w:val="21"/>
          <w:highlight w:val="none"/>
          <w:lang w:bidi="ar"/>
        </w:rPr>
        <w:t>4.《涉及国家级自然保护区建设项目生态影响专题报告编制指南（试行）》，（环办函〔2014〕1419号）；</w:t>
      </w:r>
    </w:p>
    <w:p w14:paraId="4B642597">
      <w:pPr>
        <w:widowControl/>
        <w:spacing w:line="360" w:lineRule="auto"/>
        <w:ind w:firstLine="420" w:firstLineChars="200"/>
        <w:rPr>
          <w:rFonts w:hint="eastAsia" w:ascii="宋体" w:hAnsi="宋体" w:cs="宋体"/>
          <w:color w:val="auto"/>
          <w:sz w:val="21"/>
          <w:szCs w:val="21"/>
          <w:highlight w:val="none"/>
          <w:lang w:bidi="ar"/>
        </w:rPr>
      </w:pPr>
      <w:r>
        <w:rPr>
          <w:rFonts w:hint="eastAsia" w:ascii="宋体" w:hAnsi="宋体" w:cs="宋体"/>
          <w:color w:val="auto"/>
          <w:sz w:val="21"/>
          <w:szCs w:val="21"/>
          <w:highlight w:val="none"/>
          <w:lang w:bidi="ar"/>
        </w:rPr>
        <w:t>5.《建设项目对自然保护区影响评价技术导则》（DB45/T 1113-2014）；</w:t>
      </w:r>
    </w:p>
    <w:p w14:paraId="68A83235">
      <w:pPr>
        <w:widowControl/>
        <w:spacing w:line="360" w:lineRule="auto"/>
        <w:ind w:firstLine="420" w:firstLineChars="200"/>
        <w:rPr>
          <w:rFonts w:hint="eastAsia" w:ascii="宋体" w:hAnsi="宋体" w:cs="宋体"/>
          <w:color w:val="auto"/>
          <w:sz w:val="21"/>
          <w:szCs w:val="21"/>
          <w:highlight w:val="none"/>
          <w:lang w:bidi="ar"/>
        </w:rPr>
      </w:pPr>
      <w:r>
        <w:rPr>
          <w:rFonts w:hint="eastAsia" w:ascii="宋体" w:hAnsi="宋体" w:cs="宋体"/>
          <w:color w:val="auto"/>
          <w:sz w:val="21"/>
          <w:szCs w:val="21"/>
          <w:highlight w:val="none"/>
          <w:lang w:bidi="ar"/>
        </w:rPr>
        <w:t>6.《环境影响评价技术导则 生物多样性影响》（DB45/T 1577-2017）;</w:t>
      </w:r>
    </w:p>
    <w:p w14:paraId="2612246F">
      <w:pPr>
        <w:widowControl/>
        <w:spacing w:line="360" w:lineRule="auto"/>
        <w:ind w:firstLine="420" w:firstLineChars="200"/>
        <w:rPr>
          <w:rFonts w:hint="eastAsia" w:ascii="宋体" w:hAnsi="宋体" w:cs="宋体"/>
          <w:color w:val="auto"/>
          <w:sz w:val="21"/>
          <w:szCs w:val="21"/>
          <w:highlight w:val="none"/>
          <w:lang w:bidi="ar"/>
        </w:rPr>
      </w:pPr>
      <w:r>
        <w:rPr>
          <w:rFonts w:hint="eastAsia" w:ascii="宋体" w:hAnsi="宋体" w:cs="宋体"/>
          <w:color w:val="auto"/>
          <w:sz w:val="21"/>
          <w:szCs w:val="21"/>
          <w:highlight w:val="none"/>
          <w:lang w:bidi="ar"/>
        </w:rPr>
        <w:t>7.《淡水渔业资源调查规范 河流》（SC/T9429-2019）；</w:t>
      </w:r>
    </w:p>
    <w:p w14:paraId="3EBE4821">
      <w:pPr>
        <w:widowControl/>
        <w:spacing w:line="360" w:lineRule="auto"/>
        <w:ind w:firstLine="420" w:firstLineChars="200"/>
        <w:rPr>
          <w:rFonts w:hint="eastAsia" w:ascii="宋体" w:hAnsi="宋体" w:cs="宋体"/>
          <w:color w:val="auto"/>
          <w:sz w:val="21"/>
          <w:szCs w:val="21"/>
          <w:highlight w:val="none"/>
          <w:lang w:bidi="ar"/>
        </w:rPr>
      </w:pPr>
      <w:r>
        <w:rPr>
          <w:rFonts w:hint="eastAsia" w:ascii="宋体" w:hAnsi="宋体" w:cs="宋体"/>
          <w:color w:val="auto"/>
          <w:sz w:val="21"/>
          <w:szCs w:val="21"/>
          <w:highlight w:val="none"/>
          <w:lang w:bidi="ar"/>
        </w:rPr>
        <w:t>8.《淡水浮游生物调查技术规范》（SC/T 9402-2010）；</w:t>
      </w:r>
    </w:p>
    <w:p w14:paraId="485C79E3">
      <w:pPr>
        <w:widowControl/>
        <w:spacing w:line="360" w:lineRule="auto"/>
        <w:ind w:firstLine="420" w:firstLineChars="200"/>
        <w:rPr>
          <w:rFonts w:hint="eastAsia" w:ascii="宋体" w:hAnsi="宋体" w:cs="宋体"/>
          <w:color w:val="auto"/>
          <w:sz w:val="21"/>
          <w:szCs w:val="21"/>
          <w:highlight w:val="none"/>
          <w:lang w:bidi="ar"/>
        </w:rPr>
      </w:pPr>
      <w:r>
        <w:rPr>
          <w:rFonts w:hint="eastAsia" w:ascii="宋体" w:hAnsi="宋体" w:cs="宋体"/>
          <w:color w:val="auto"/>
          <w:sz w:val="21"/>
          <w:szCs w:val="21"/>
          <w:highlight w:val="none"/>
          <w:lang w:bidi="ar"/>
        </w:rPr>
        <w:t>9.《内陆鱼类多样性调查与评估技术规定》（环境保护部公告 2017年 第84号）；</w:t>
      </w:r>
    </w:p>
    <w:p w14:paraId="718CCFD6">
      <w:pPr>
        <w:widowControl/>
        <w:spacing w:line="360" w:lineRule="auto"/>
        <w:ind w:firstLine="420" w:firstLineChars="200"/>
        <w:rPr>
          <w:rFonts w:hint="eastAsia" w:ascii="宋体" w:hAnsi="宋体" w:cs="宋体"/>
          <w:color w:val="auto"/>
          <w:sz w:val="21"/>
          <w:szCs w:val="21"/>
          <w:highlight w:val="none"/>
          <w:lang w:bidi="ar"/>
        </w:rPr>
      </w:pPr>
      <w:r>
        <w:rPr>
          <w:rFonts w:hint="eastAsia" w:ascii="宋体" w:hAnsi="宋体" w:cs="宋体"/>
          <w:color w:val="auto"/>
          <w:sz w:val="21"/>
          <w:szCs w:val="21"/>
          <w:highlight w:val="none"/>
          <w:lang w:bidi="ar"/>
        </w:rPr>
        <w:t>10.《生物多样性观测技术导则 内陆水域鱼类》（HJ710.7-2014）；</w:t>
      </w:r>
    </w:p>
    <w:p w14:paraId="72721D59">
      <w:pPr>
        <w:widowControl/>
        <w:spacing w:line="360" w:lineRule="auto"/>
        <w:ind w:firstLine="420" w:firstLineChars="200"/>
        <w:rPr>
          <w:rFonts w:hint="eastAsia" w:ascii="宋体" w:hAnsi="宋体" w:cs="宋体"/>
          <w:color w:val="auto"/>
          <w:sz w:val="21"/>
          <w:szCs w:val="21"/>
          <w:highlight w:val="none"/>
          <w:lang w:bidi="ar"/>
        </w:rPr>
      </w:pPr>
      <w:r>
        <w:rPr>
          <w:rFonts w:hint="eastAsia" w:ascii="宋体" w:hAnsi="宋体" w:cs="宋体"/>
          <w:color w:val="auto"/>
          <w:sz w:val="21"/>
          <w:szCs w:val="21"/>
          <w:highlight w:val="none"/>
          <w:lang w:bidi="ar"/>
        </w:rPr>
        <w:t>11.《河流漂流性鱼卵、仔稚鱼采样技术规范》（SC/T9407-2012）；</w:t>
      </w:r>
    </w:p>
    <w:p w14:paraId="23D7ADCA">
      <w:pPr>
        <w:widowControl/>
        <w:spacing w:line="360" w:lineRule="auto"/>
        <w:ind w:firstLine="420" w:firstLineChars="200"/>
        <w:rPr>
          <w:rFonts w:hint="eastAsia" w:ascii="宋体" w:hAnsi="宋体" w:cs="宋体"/>
          <w:color w:val="auto"/>
          <w:sz w:val="21"/>
          <w:szCs w:val="21"/>
          <w:highlight w:val="none"/>
          <w:lang w:bidi="ar"/>
        </w:rPr>
      </w:pPr>
      <w:r>
        <w:rPr>
          <w:rFonts w:hint="eastAsia" w:ascii="宋体" w:hAnsi="宋体" w:cs="宋体"/>
          <w:color w:val="auto"/>
          <w:sz w:val="21"/>
          <w:szCs w:val="21"/>
          <w:highlight w:val="none"/>
          <w:lang w:bidi="ar"/>
        </w:rPr>
        <w:t>12.《生物多样性观测技术导则 陆生维管植物》（HJ710.1-2014）;</w:t>
      </w:r>
    </w:p>
    <w:p w14:paraId="4B81E927">
      <w:pPr>
        <w:widowControl/>
        <w:spacing w:line="360" w:lineRule="auto"/>
        <w:ind w:firstLine="420" w:firstLineChars="200"/>
        <w:rPr>
          <w:rFonts w:hint="eastAsia" w:ascii="宋体" w:hAnsi="宋体" w:cs="宋体"/>
          <w:color w:val="auto"/>
          <w:sz w:val="21"/>
          <w:szCs w:val="21"/>
          <w:highlight w:val="none"/>
          <w:lang w:bidi="ar"/>
        </w:rPr>
      </w:pPr>
      <w:r>
        <w:rPr>
          <w:rFonts w:hint="eastAsia" w:ascii="宋体" w:hAnsi="宋体" w:cs="宋体"/>
          <w:color w:val="auto"/>
          <w:sz w:val="21"/>
          <w:szCs w:val="21"/>
          <w:highlight w:val="none"/>
          <w:lang w:bidi="ar"/>
        </w:rPr>
        <w:t>13.《生物多样性观测技术导则 鸟类》（HJ710.4-2014）；</w:t>
      </w:r>
    </w:p>
    <w:p w14:paraId="0730C890">
      <w:pPr>
        <w:widowControl/>
        <w:spacing w:line="360" w:lineRule="auto"/>
        <w:ind w:firstLine="420" w:firstLineChars="200"/>
        <w:rPr>
          <w:rFonts w:hint="eastAsia" w:ascii="宋体" w:hAnsi="宋体" w:cs="宋体"/>
          <w:color w:val="auto"/>
          <w:sz w:val="21"/>
          <w:szCs w:val="21"/>
          <w:highlight w:val="none"/>
          <w:lang w:bidi="ar"/>
        </w:rPr>
      </w:pPr>
      <w:r>
        <w:rPr>
          <w:rFonts w:hint="eastAsia" w:ascii="宋体" w:hAnsi="宋体" w:cs="宋体"/>
          <w:color w:val="auto"/>
          <w:sz w:val="21"/>
          <w:szCs w:val="21"/>
          <w:highlight w:val="none"/>
          <w:lang w:bidi="ar"/>
        </w:rPr>
        <w:t>14.《生物多样性观测技术导则 两栖动物》（HJ710.6-2014）；</w:t>
      </w:r>
    </w:p>
    <w:p w14:paraId="38907039">
      <w:pPr>
        <w:widowControl/>
        <w:spacing w:line="360" w:lineRule="auto"/>
        <w:ind w:firstLine="420" w:firstLineChars="200"/>
        <w:rPr>
          <w:rFonts w:hint="eastAsia" w:ascii="宋体" w:hAnsi="宋体" w:cs="宋体"/>
          <w:color w:val="auto"/>
          <w:sz w:val="21"/>
          <w:szCs w:val="21"/>
          <w:highlight w:val="none"/>
          <w:lang w:bidi="ar"/>
        </w:rPr>
      </w:pPr>
      <w:r>
        <w:rPr>
          <w:rFonts w:hint="eastAsia" w:ascii="宋体" w:hAnsi="宋体" w:cs="宋体"/>
          <w:color w:val="auto"/>
          <w:sz w:val="21"/>
          <w:szCs w:val="21"/>
          <w:highlight w:val="none"/>
          <w:lang w:bidi="ar"/>
        </w:rPr>
        <w:t>15.《生物多样性观测技术导则 淡水底栖大型无脊椎动物》（HJ710.8-2014）；</w:t>
      </w:r>
    </w:p>
    <w:p w14:paraId="2D8850FA">
      <w:pPr>
        <w:widowControl/>
        <w:spacing w:line="360" w:lineRule="auto"/>
        <w:ind w:firstLine="420" w:firstLineChars="200"/>
        <w:rPr>
          <w:rFonts w:hint="eastAsia" w:ascii="宋体" w:hAnsi="宋体" w:cs="宋体"/>
          <w:color w:val="auto"/>
          <w:sz w:val="21"/>
          <w:szCs w:val="21"/>
          <w:highlight w:val="none"/>
          <w:lang w:bidi="ar"/>
        </w:rPr>
      </w:pPr>
      <w:r>
        <w:rPr>
          <w:rFonts w:hint="eastAsia" w:ascii="宋体" w:hAnsi="宋体" w:cs="宋体"/>
          <w:color w:val="auto"/>
          <w:sz w:val="21"/>
          <w:szCs w:val="21"/>
          <w:highlight w:val="none"/>
          <w:lang w:bidi="ar"/>
        </w:rPr>
        <w:t>16.《生物多样性观测技术导则 水生维管植物》（HJ710.12-2014）；</w:t>
      </w:r>
    </w:p>
    <w:p w14:paraId="286F06AF">
      <w:pPr>
        <w:widowControl/>
        <w:spacing w:line="360" w:lineRule="auto"/>
        <w:ind w:firstLine="420" w:firstLineChars="200"/>
        <w:rPr>
          <w:rFonts w:hint="eastAsia" w:ascii="宋体" w:hAnsi="宋体" w:cs="宋体"/>
          <w:color w:val="auto"/>
          <w:sz w:val="21"/>
          <w:szCs w:val="21"/>
          <w:highlight w:val="none"/>
          <w:lang w:bidi="ar"/>
        </w:rPr>
      </w:pPr>
      <w:r>
        <w:rPr>
          <w:rFonts w:hint="eastAsia" w:ascii="宋体" w:hAnsi="宋体" w:cs="宋体"/>
          <w:color w:val="auto"/>
          <w:sz w:val="21"/>
          <w:szCs w:val="21"/>
          <w:highlight w:val="none"/>
          <w:lang w:bidi="ar"/>
        </w:rPr>
        <w:t>17.《内陆水域渔业自然资源调查手册》。</w:t>
      </w:r>
    </w:p>
    <w:p w14:paraId="325F43AF">
      <w:pPr>
        <w:widowControl/>
        <w:spacing w:line="360" w:lineRule="auto"/>
        <w:ind w:firstLine="422" w:firstLineChars="200"/>
        <w:outlineLvl w:val="2"/>
        <w:rPr>
          <w:rFonts w:ascii="宋体" w:hAnsi="宋体" w:cs="宋体"/>
          <w:b/>
          <w:bCs/>
          <w:color w:val="auto"/>
          <w:sz w:val="21"/>
          <w:szCs w:val="21"/>
          <w:highlight w:val="none"/>
          <w:lang w:bidi="ar"/>
        </w:rPr>
      </w:pPr>
      <w:r>
        <w:rPr>
          <w:rFonts w:hint="eastAsia" w:ascii="宋体" w:hAnsi="宋体" w:cs="宋体"/>
          <w:b/>
          <w:bCs/>
          <w:color w:val="auto"/>
          <w:sz w:val="21"/>
          <w:szCs w:val="21"/>
          <w:highlight w:val="none"/>
          <w:lang w:bidi="ar"/>
        </w:rPr>
        <w:t>（二）质量要求</w:t>
      </w:r>
    </w:p>
    <w:p w14:paraId="42841439">
      <w:pPr>
        <w:widowControl/>
        <w:spacing w:line="360" w:lineRule="auto"/>
        <w:ind w:firstLine="420" w:firstLineChars="200"/>
        <w:rPr>
          <w:rFonts w:hint="eastAsia" w:ascii="宋体" w:hAnsi="宋体" w:cs="宋体"/>
          <w:color w:val="auto"/>
          <w:sz w:val="21"/>
          <w:szCs w:val="21"/>
          <w:highlight w:val="none"/>
          <w:lang w:bidi="ar"/>
        </w:rPr>
      </w:pPr>
      <w:r>
        <w:rPr>
          <w:rFonts w:hint="eastAsia" w:ascii="宋体" w:hAnsi="宋体" w:cs="宋体"/>
          <w:color w:val="auto"/>
          <w:sz w:val="21"/>
          <w:szCs w:val="21"/>
          <w:highlight w:val="none"/>
          <w:lang w:bidi="ar"/>
        </w:rPr>
        <w:t>现状调查与分析评价报告技术成果须满足工程对红水河来宾段珍稀鱼类自治区级自然保护区、广西来宾红水河珍稀鱼类自治区级自然保护区生态保护红线、环境影响报告书等专题报告编制和报批技术要求。成果通过专家评审</w:t>
      </w:r>
      <w:r>
        <w:rPr>
          <w:rFonts w:hint="eastAsia" w:ascii="宋体" w:hAnsi="宋体" w:cs="宋体"/>
          <w:color w:val="auto"/>
          <w:sz w:val="21"/>
          <w:szCs w:val="21"/>
          <w:highlight w:val="none"/>
          <w:lang w:eastAsia="zh-CN" w:bidi="ar"/>
        </w:rPr>
        <w:t>、</w:t>
      </w:r>
      <w:r>
        <w:rPr>
          <w:rFonts w:hint="eastAsia" w:ascii="宋体" w:hAnsi="宋体" w:cs="宋体"/>
          <w:color w:val="auto"/>
          <w:sz w:val="21"/>
          <w:szCs w:val="21"/>
          <w:highlight w:val="none"/>
          <w:lang w:bidi="ar"/>
        </w:rPr>
        <w:t>验收合格。</w:t>
      </w:r>
    </w:p>
    <w:p w14:paraId="09633D9D">
      <w:pPr>
        <w:widowControl/>
        <w:spacing w:line="360" w:lineRule="auto"/>
        <w:ind w:firstLine="422" w:firstLineChars="200"/>
        <w:outlineLvl w:val="2"/>
        <w:rPr>
          <w:rFonts w:hint="eastAsia" w:ascii="宋体" w:hAnsi="宋体" w:cs="宋体"/>
          <w:b/>
          <w:bCs/>
          <w:color w:val="auto"/>
          <w:szCs w:val="21"/>
          <w:highlight w:val="none"/>
          <w:lang w:bidi="ar"/>
        </w:rPr>
      </w:pPr>
      <w:r>
        <w:rPr>
          <w:rFonts w:hint="eastAsia" w:ascii="宋体" w:hAnsi="宋体" w:cs="宋体"/>
          <w:b/>
          <w:bCs/>
          <w:color w:val="auto"/>
          <w:szCs w:val="21"/>
          <w:highlight w:val="none"/>
          <w:lang w:eastAsia="zh-CN" w:bidi="ar"/>
        </w:rPr>
        <w:t>（三）</w:t>
      </w:r>
      <w:r>
        <w:rPr>
          <w:rFonts w:hint="eastAsia" w:ascii="宋体" w:hAnsi="宋体" w:cs="宋体"/>
          <w:b/>
          <w:bCs/>
          <w:color w:val="auto"/>
          <w:szCs w:val="21"/>
          <w:highlight w:val="none"/>
          <w:lang w:bidi="ar"/>
        </w:rPr>
        <w:t>水生生态现状调查方案</w:t>
      </w:r>
    </w:p>
    <w:p w14:paraId="0AF31A16">
      <w:pPr>
        <w:widowControl/>
        <w:spacing w:line="360" w:lineRule="auto"/>
        <w:ind w:firstLine="420" w:firstLineChars="200"/>
        <w:rPr>
          <w:rFonts w:hint="eastAsia" w:ascii="宋体" w:hAnsi="宋体" w:cs="宋体"/>
          <w:color w:val="auto"/>
          <w:szCs w:val="21"/>
          <w:highlight w:val="none"/>
          <w:lang w:bidi="ar"/>
        </w:rPr>
      </w:pPr>
      <w:r>
        <w:rPr>
          <w:rFonts w:hint="eastAsia" w:ascii="宋体" w:hAnsi="宋体" w:cs="宋体"/>
          <w:color w:val="auto"/>
          <w:szCs w:val="21"/>
          <w:highlight w:val="none"/>
          <w:lang w:eastAsia="zh-CN" w:bidi="ar"/>
        </w:rPr>
        <w:t>1</w:t>
      </w:r>
      <w:r>
        <w:rPr>
          <w:rFonts w:hint="eastAsia" w:ascii="宋体" w:hAnsi="宋体" w:cs="宋体"/>
          <w:color w:val="auto"/>
          <w:szCs w:val="21"/>
          <w:highlight w:val="none"/>
          <w:lang w:val="en-US" w:eastAsia="zh-CN" w:bidi="ar"/>
        </w:rPr>
        <w:t>.</w:t>
      </w:r>
      <w:r>
        <w:rPr>
          <w:rFonts w:hint="eastAsia" w:ascii="宋体" w:hAnsi="宋体" w:cs="宋体"/>
          <w:color w:val="auto"/>
          <w:szCs w:val="21"/>
          <w:highlight w:val="none"/>
          <w:lang w:bidi="ar"/>
        </w:rPr>
        <w:t>调查站位</w:t>
      </w:r>
    </w:p>
    <w:p w14:paraId="61F28453">
      <w:pPr>
        <w:widowControl/>
        <w:spacing w:line="360" w:lineRule="auto"/>
        <w:ind w:firstLine="420" w:firstLineChars="200"/>
        <w:rPr>
          <w:rFonts w:hint="eastAsia" w:ascii="宋体" w:hAnsi="宋体" w:cs="宋体"/>
          <w:color w:val="auto"/>
          <w:szCs w:val="21"/>
          <w:highlight w:val="none"/>
          <w:lang w:bidi="ar"/>
        </w:rPr>
      </w:pPr>
      <w:r>
        <w:rPr>
          <w:rFonts w:hint="eastAsia" w:ascii="宋体" w:hAnsi="宋体" w:cs="宋体"/>
          <w:color w:val="auto"/>
          <w:szCs w:val="21"/>
          <w:highlight w:val="none"/>
          <w:lang w:bidi="ar"/>
        </w:rPr>
        <w:t>本项目水生生态共设置 12个断面，见表1和图1。</w:t>
      </w:r>
    </w:p>
    <w:p w14:paraId="43E61F6C">
      <w:pPr>
        <w:autoSpaceDE/>
        <w:autoSpaceDN/>
        <w:spacing w:before="0" w:beforeLines="0" w:line="240" w:lineRule="auto"/>
        <w:jc w:val="center"/>
        <w:rPr>
          <w:rFonts w:ascii="Times New Roman" w:hAnsi="Times New Roman" w:eastAsia="宋体" w:cs="Times New Roman"/>
          <w:b/>
          <w:bCs/>
          <w:szCs w:val="21"/>
          <w14:ligatures w14:val="none"/>
        </w:rPr>
      </w:pPr>
      <w:r>
        <w:rPr>
          <w:rFonts w:ascii="Times New Roman" w:hAnsi="Times New Roman" w:eastAsia="宋体" w:cs="Times New Roman"/>
          <w:b/>
          <w:bCs/>
          <w:szCs w:val="21"/>
          <w14:ligatures w14:val="none"/>
        </w:rPr>
        <w:t>表</w:t>
      </w:r>
      <w:r>
        <w:rPr>
          <w:rFonts w:hint="eastAsia" w:ascii="Times New Roman" w:hAnsi="Times New Roman" w:eastAsia="宋体" w:cs="Times New Roman"/>
          <w:b/>
          <w:bCs/>
          <w:szCs w:val="21"/>
          <w14:ligatures w14:val="none"/>
        </w:rPr>
        <w:t>1</w:t>
      </w:r>
      <w:r>
        <w:rPr>
          <w:rFonts w:ascii="Times New Roman" w:hAnsi="Times New Roman" w:eastAsia="宋体" w:cs="Times New Roman"/>
          <w:b/>
          <w:bCs/>
          <w:szCs w:val="21"/>
          <w14:ligatures w14:val="none"/>
        </w:rPr>
        <w:t xml:space="preserve">       </w:t>
      </w:r>
      <w:r>
        <w:rPr>
          <w:rFonts w:hint="eastAsia" w:ascii="Times New Roman" w:hAnsi="Times New Roman" w:eastAsia="宋体" w:cs="Times New Roman"/>
          <w:b/>
          <w:bCs/>
          <w:szCs w:val="21"/>
          <w14:ligatures w14:val="none"/>
        </w:rPr>
        <w:t xml:space="preserve">  </w:t>
      </w:r>
      <w:r>
        <w:rPr>
          <w:rFonts w:ascii="Times New Roman" w:hAnsi="Times New Roman" w:eastAsia="宋体" w:cs="Times New Roman"/>
          <w:b/>
          <w:bCs/>
          <w:szCs w:val="21"/>
          <w14:ligatures w14:val="none"/>
        </w:rPr>
        <w:t xml:space="preserve">  </w:t>
      </w:r>
      <w:r>
        <w:rPr>
          <w:rFonts w:hint="eastAsia" w:ascii="Times New Roman" w:hAnsi="Times New Roman" w:eastAsia="宋体" w:cs="Times New Roman"/>
          <w:b/>
          <w:bCs/>
          <w:szCs w:val="21"/>
          <w14:ligatures w14:val="none"/>
        </w:rPr>
        <w:t xml:space="preserve">   水生</w:t>
      </w:r>
      <w:r>
        <w:rPr>
          <w:rFonts w:ascii="Times New Roman" w:hAnsi="Times New Roman" w:eastAsia="宋体" w:cs="Times New Roman"/>
          <w:b/>
          <w:bCs/>
          <w:szCs w:val="21"/>
          <w14:ligatures w14:val="none"/>
        </w:rPr>
        <w:t>生态环境调查站位一览表</w:t>
      </w:r>
    </w:p>
    <w:tbl>
      <w:tblPr>
        <w:tblStyle w:val="24"/>
        <w:tblW w:w="4997"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798"/>
        <w:gridCol w:w="2786"/>
        <w:gridCol w:w="1616"/>
        <w:gridCol w:w="1196"/>
        <w:gridCol w:w="717"/>
        <w:gridCol w:w="1112"/>
        <w:gridCol w:w="941"/>
      </w:tblGrid>
      <w:tr w14:paraId="75CB47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7" w:hRule="atLeast"/>
          <w:tblHeader/>
        </w:trPr>
        <w:tc>
          <w:tcPr>
            <w:tcW w:w="435" w:type="pct"/>
            <w:vAlign w:val="center"/>
          </w:tcPr>
          <w:p w14:paraId="6E5050B7">
            <w:pPr>
              <w:widowControl/>
              <w:spacing w:line="360" w:lineRule="exact"/>
              <w:jc w:val="center"/>
              <w:textAlignment w:val="baseline"/>
              <w:rPr>
                <w:rFonts w:ascii="Times New Roman" w:hAnsi="Times New Roman" w:eastAsia="宋体" w:cs="Times New Roman"/>
                <w:b/>
                <w:bCs/>
                <w:kern w:val="0"/>
                <w:szCs w:val="21"/>
                <w14:ligatures w14:val="none"/>
              </w:rPr>
            </w:pPr>
            <w:bookmarkStart w:id="69" w:name="_Hlk37146816"/>
            <w:r>
              <w:rPr>
                <w:rFonts w:ascii="Times New Roman" w:hAnsi="Times New Roman" w:eastAsia="宋体" w:cs="Times New Roman"/>
                <w:b/>
                <w:bCs/>
                <w:kern w:val="0"/>
                <w:szCs w:val="21"/>
                <w14:ligatures w14:val="none"/>
              </w:rPr>
              <w:t>编号</w:t>
            </w:r>
          </w:p>
        </w:tc>
        <w:tc>
          <w:tcPr>
            <w:tcW w:w="1519" w:type="pct"/>
            <w:vAlign w:val="center"/>
          </w:tcPr>
          <w:p w14:paraId="1A357E8F">
            <w:pPr>
              <w:widowControl/>
              <w:spacing w:line="360" w:lineRule="exact"/>
              <w:jc w:val="center"/>
              <w:textAlignment w:val="baseline"/>
              <w:rPr>
                <w:rFonts w:ascii="Times New Roman" w:hAnsi="Times New Roman" w:eastAsia="宋体" w:cs="Times New Roman"/>
                <w:b/>
                <w:bCs/>
                <w:kern w:val="0"/>
                <w:szCs w:val="21"/>
                <w14:ligatures w14:val="none"/>
              </w:rPr>
            </w:pPr>
            <w:r>
              <w:rPr>
                <w:rFonts w:ascii="Times New Roman" w:hAnsi="Times New Roman" w:eastAsia="宋体" w:cs="Times New Roman"/>
                <w:b/>
                <w:bCs/>
                <w:kern w:val="0"/>
                <w:szCs w:val="21"/>
                <w14:ligatures w14:val="none"/>
              </w:rPr>
              <w:t>经纬度</w:t>
            </w:r>
          </w:p>
        </w:tc>
        <w:tc>
          <w:tcPr>
            <w:tcW w:w="881" w:type="pct"/>
            <w:vAlign w:val="center"/>
          </w:tcPr>
          <w:p w14:paraId="1144F404">
            <w:pPr>
              <w:widowControl/>
              <w:spacing w:line="360" w:lineRule="exact"/>
              <w:jc w:val="center"/>
              <w:textAlignment w:val="baseline"/>
              <w:rPr>
                <w:rFonts w:ascii="Times New Roman" w:hAnsi="Times New Roman" w:eastAsia="宋体" w:cs="Times New Roman"/>
                <w:b/>
                <w:bCs/>
                <w:kern w:val="0"/>
                <w:szCs w:val="21"/>
                <w14:ligatures w14:val="none"/>
              </w:rPr>
            </w:pPr>
            <w:r>
              <w:rPr>
                <w:rFonts w:ascii="Times New Roman" w:hAnsi="Times New Roman" w:eastAsia="宋体" w:cs="Times New Roman"/>
                <w:b/>
                <w:bCs/>
                <w:kern w:val="0"/>
                <w:szCs w:val="21"/>
                <w14:ligatures w14:val="none"/>
              </w:rPr>
              <w:t>浮游动植物、底栖动物</w:t>
            </w:r>
          </w:p>
        </w:tc>
        <w:tc>
          <w:tcPr>
            <w:tcW w:w="652" w:type="pct"/>
            <w:vAlign w:val="center"/>
          </w:tcPr>
          <w:p w14:paraId="1D51FC8C">
            <w:pPr>
              <w:widowControl/>
              <w:spacing w:line="360" w:lineRule="exact"/>
              <w:jc w:val="center"/>
              <w:textAlignment w:val="baseline"/>
              <w:rPr>
                <w:rFonts w:ascii="Times New Roman" w:hAnsi="Times New Roman" w:eastAsia="宋体" w:cs="Times New Roman"/>
                <w:b/>
                <w:bCs/>
                <w:kern w:val="0"/>
                <w:szCs w:val="21"/>
                <w14:ligatures w14:val="none"/>
              </w:rPr>
            </w:pPr>
            <w:r>
              <w:rPr>
                <w:rFonts w:ascii="Times New Roman" w:hAnsi="Times New Roman" w:eastAsia="宋体" w:cs="Times New Roman"/>
                <w:b/>
                <w:bCs/>
                <w:kern w:val="0"/>
                <w:szCs w:val="21"/>
                <w14:ligatures w14:val="none"/>
              </w:rPr>
              <w:t>水生维管束植物</w:t>
            </w:r>
          </w:p>
        </w:tc>
        <w:tc>
          <w:tcPr>
            <w:tcW w:w="391" w:type="pct"/>
            <w:vAlign w:val="center"/>
          </w:tcPr>
          <w:p w14:paraId="6D523816">
            <w:pPr>
              <w:widowControl/>
              <w:spacing w:line="360" w:lineRule="exact"/>
              <w:jc w:val="center"/>
              <w:textAlignment w:val="baseline"/>
              <w:rPr>
                <w:rFonts w:ascii="Times New Roman" w:hAnsi="Times New Roman" w:eastAsia="宋体" w:cs="Times New Roman"/>
                <w:b/>
                <w:bCs/>
                <w:kern w:val="0"/>
                <w:szCs w:val="21"/>
                <w14:ligatures w14:val="none"/>
              </w:rPr>
            </w:pPr>
            <w:r>
              <w:rPr>
                <w:rFonts w:ascii="Times New Roman" w:hAnsi="Times New Roman" w:eastAsia="宋体" w:cs="Times New Roman"/>
                <w:b/>
                <w:bCs/>
                <w:kern w:val="0"/>
                <w:szCs w:val="21"/>
                <w14:ligatures w14:val="none"/>
              </w:rPr>
              <w:t>鱼类</w:t>
            </w:r>
          </w:p>
        </w:tc>
        <w:tc>
          <w:tcPr>
            <w:tcW w:w="606" w:type="pct"/>
            <w:vAlign w:val="center"/>
          </w:tcPr>
          <w:p w14:paraId="063E8ACC">
            <w:pPr>
              <w:widowControl/>
              <w:spacing w:line="360" w:lineRule="exact"/>
              <w:jc w:val="center"/>
              <w:textAlignment w:val="baseline"/>
              <w:rPr>
                <w:rFonts w:ascii="Times New Roman" w:hAnsi="Times New Roman" w:eastAsia="宋体" w:cs="Times New Roman"/>
                <w:b/>
                <w:bCs/>
                <w:kern w:val="0"/>
                <w:szCs w:val="21"/>
                <w14:ligatures w14:val="none"/>
              </w:rPr>
            </w:pPr>
            <w:r>
              <w:rPr>
                <w:rFonts w:ascii="Times New Roman" w:hAnsi="Times New Roman" w:eastAsia="宋体" w:cs="Times New Roman"/>
                <w:b/>
                <w:bCs/>
                <w:kern w:val="0"/>
                <w:szCs w:val="21"/>
                <w14:ligatures w14:val="none"/>
              </w:rPr>
              <w:t>鱼类早期</w:t>
            </w:r>
          </w:p>
          <w:p w14:paraId="285F6FAE">
            <w:pPr>
              <w:widowControl/>
              <w:spacing w:line="360" w:lineRule="exact"/>
              <w:jc w:val="center"/>
              <w:textAlignment w:val="baseline"/>
              <w:rPr>
                <w:rFonts w:ascii="Times New Roman" w:hAnsi="Times New Roman" w:eastAsia="宋体" w:cs="Times New Roman"/>
                <w:b/>
                <w:bCs/>
                <w:kern w:val="0"/>
                <w:szCs w:val="21"/>
                <w14:ligatures w14:val="none"/>
              </w:rPr>
            </w:pPr>
            <w:r>
              <w:rPr>
                <w:rFonts w:ascii="Times New Roman" w:hAnsi="Times New Roman" w:eastAsia="宋体" w:cs="Times New Roman"/>
                <w:b/>
                <w:bCs/>
                <w:kern w:val="0"/>
                <w:szCs w:val="21"/>
                <w14:ligatures w14:val="none"/>
              </w:rPr>
              <w:t>资源</w:t>
            </w:r>
          </w:p>
        </w:tc>
        <w:tc>
          <w:tcPr>
            <w:tcW w:w="513" w:type="pct"/>
            <w:vAlign w:val="center"/>
          </w:tcPr>
          <w:p w14:paraId="704C2932">
            <w:pPr>
              <w:widowControl/>
              <w:spacing w:line="360" w:lineRule="exact"/>
              <w:jc w:val="center"/>
              <w:textAlignment w:val="baseline"/>
              <w:rPr>
                <w:rFonts w:ascii="Times New Roman" w:hAnsi="Times New Roman" w:eastAsia="宋体" w:cs="Times New Roman"/>
                <w:b/>
                <w:bCs/>
                <w:kern w:val="0"/>
                <w:szCs w:val="21"/>
                <w14:ligatures w14:val="none"/>
              </w:rPr>
            </w:pPr>
            <w:r>
              <w:rPr>
                <w:rFonts w:ascii="Times New Roman" w:hAnsi="Times New Roman" w:eastAsia="宋体" w:cs="Times New Roman"/>
                <w:b/>
                <w:bCs/>
                <w:kern w:val="0"/>
                <w:szCs w:val="21"/>
                <w14:ligatures w14:val="none"/>
              </w:rPr>
              <w:t>三场</w:t>
            </w:r>
          </w:p>
          <w:p w14:paraId="34D54BD7">
            <w:pPr>
              <w:widowControl/>
              <w:spacing w:line="360" w:lineRule="exact"/>
              <w:jc w:val="center"/>
              <w:textAlignment w:val="baseline"/>
              <w:rPr>
                <w:rFonts w:ascii="Times New Roman" w:hAnsi="Times New Roman" w:eastAsia="宋体" w:cs="Times New Roman"/>
                <w:b/>
                <w:bCs/>
                <w:kern w:val="0"/>
                <w:szCs w:val="21"/>
                <w14:ligatures w14:val="none"/>
              </w:rPr>
            </w:pPr>
            <w:r>
              <w:rPr>
                <w:rFonts w:ascii="Times New Roman" w:hAnsi="Times New Roman" w:eastAsia="宋体" w:cs="Times New Roman"/>
                <w:b/>
                <w:bCs/>
                <w:kern w:val="0"/>
                <w:szCs w:val="21"/>
                <w14:ligatures w14:val="none"/>
              </w:rPr>
              <w:t>一通道</w:t>
            </w:r>
          </w:p>
        </w:tc>
      </w:tr>
      <w:bookmarkEnd w:id="69"/>
      <w:tr w14:paraId="039DC2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35" w:type="pct"/>
            <w:vAlign w:val="center"/>
          </w:tcPr>
          <w:p w14:paraId="1282F5E2">
            <w:pPr>
              <w:widowControl/>
              <w:spacing w:line="360" w:lineRule="exact"/>
              <w:jc w:val="center"/>
              <w:textAlignment w:val="baseline"/>
              <w:rPr>
                <w:rFonts w:ascii="Times New Roman" w:hAnsi="Times New Roman" w:eastAsia="宋体" w:cs="Times New Roman"/>
                <w:kern w:val="0"/>
                <w:szCs w:val="21"/>
                <w14:ligatures w14:val="none"/>
              </w:rPr>
            </w:pPr>
            <w:r>
              <w:rPr>
                <w:rFonts w:ascii="Times New Roman" w:hAnsi="Times New Roman" w:eastAsia="宋体" w:cs="Times New Roman"/>
                <w:kern w:val="0"/>
                <w:szCs w:val="21"/>
                <w14:ligatures w14:val="none"/>
              </w:rPr>
              <w:t>1#</w:t>
            </w:r>
          </w:p>
        </w:tc>
        <w:tc>
          <w:tcPr>
            <w:tcW w:w="1519" w:type="pct"/>
            <w:noWrap/>
            <w:vAlign w:val="center"/>
          </w:tcPr>
          <w:p w14:paraId="451FA6A8">
            <w:pPr>
              <w:widowControl/>
              <w:spacing w:line="360" w:lineRule="exact"/>
              <w:jc w:val="center"/>
              <w:textAlignment w:val="baseline"/>
              <w:rPr>
                <w:rFonts w:ascii="Times New Roman" w:hAnsi="Times New Roman" w:eastAsia="宋体" w:cs="Times New Roman"/>
                <w:kern w:val="0"/>
                <w:szCs w:val="21"/>
                <w14:ligatures w14:val="none"/>
              </w:rPr>
            </w:pPr>
            <w:r>
              <w:rPr>
                <w:rFonts w:ascii="Times New Roman" w:hAnsi="Times New Roman" w:eastAsia="宋体" w:cs="Times New Roman"/>
                <w:kern w:val="0"/>
                <w:szCs w:val="21"/>
                <w14:ligatures w14:val="none"/>
              </w:rPr>
              <w:t>108°58′31.00″,23°37′45.70″</w:t>
            </w:r>
          </w:p>
        </w:tc>
        <w:tc>
          <w:tcPr>
            <w:tcW w:w="881" w:type="pct"/>
            <w:noWrap/>
            <w:vAlign w:val="center"/>
          </w:tcPr>
          <w:p w14:paraId="6A4966C7">
            <w:pPr>
              <w:widowControl/>
              <w:spacing w:line="360" w:lineRule="exact"/>
              <w:jc w:val="center"/>
              <w:textAlignment w:val="baseline"/>
              <w:rPr>
                <w:rFonts w:ascii="Times New Roman" w:hAnsi="Times New Roman" w:eastAsia="宋体" w:cs="Times New Roman"/>
                <w:b/>
                <w:bCs/>
                <w:kern w:val="0"/>
                <w:szCs w:val="21"/>
                <w14:ligatures w14:val="none"/>
              </w:rPr>
            </w:pPr>
          </w:p>
        </w:tc>
        <w:tc>
          <w:tcPr>
            <w:tcW w:w="652" w:type="pct"/>
            <w:noWrap/>
            <w:vAlign w:val="center"/>
          </w:tcPr>
          <w:p w14:paraId="1CF8C1C7">
            <w:pPr>
              <w:widowControl/>
              <w:spacing w:line="360" w:lineRule="exact"/>
              <w:jc w:val="center"/>
              <w:textAlignment w:val="baseline"/>
              <w:rPr>
                <w:rFonts w:ascii="Times New Roman" w:hAnsi="Times New Roman" w:eastAsia="宋体" w:cs="Times New Roman"/>
                <w:b/>
                <w:bCs/>
                <w:kern w:val="0"/>
                <w:szCs w:val="21"/>
                <w14:ligatures w14:val="none"/>
              </w:rPr>
            </w:pPr>
          </w:p>
        </w:tc>
        <w:tc>
          <w:tcPr>
            <w:tcW w:w="391" w:type="pct"/>
            <w:noWrap/>
          </w:tcPr>
          <w:p w14:paraId="0E2EAED6">
            <w:pPr>
              <w:widowControl/>
              <w:spacing w:line="360" w:lineRule="exact"/>
              <w:jc w:val="center"/>
              <w:textAlignment w:val="baseline"/>
              <w:rPr>
                <w:rFonts w:ascii="Times New Roman" w:hAnsi="Times New Roman" w:eastAsia="宋体" w:cs="Times New Roman"/>
                <w:b/>
                <w:bCs/>
                <w:kern w:val="0"/>
                <w:szCs w:val="21"/>
                <w14:ligatures w14:val="none"/>
              </w:rPr>
            </w:pPr>
          </w:p>
        </w:tc>
        <w:tc>
          <w:tcPr>
            <w:tcW w:w="606" w:type="pct"/>
            <w:noWrap/>
            <w:vAlign w:val="center"/>
          </w:tcPr>
          <w:p w14:paraId="2FF5FC6B">
            <w:pPr>
              <w:autoSpaceDE w:val="0"/>
              <w:autoSpaceDN w:val="0"/>
              <w:spacing w:line="320" w:lineRule="exact"/>
              <w:jc w:val="center"/>
              <w:rPr>
                <w:rFonts w:ascii="Times New Roman" w:hAnsi="Times New Roman" w:eastAsia="宋体" w:cs="Times New Roman"/>
                <w:szCs w:val="21"/>
                <w14:ligatures w14:val="none"/>
              </w:rPr>
            </w:pPr>
          </w:p>
        </w:tc>
        <w:tc>
          <w:tcPr>
            <w:tcW w:w="513" w:type="pct"/>
            <w:noWrap/>
            <w:vAlign w:val="center"/>
          </w:tcPr>
          <w:p w14:paraId="0AE162F3">
            <w:pPr>
              <w:autoSpaceDE w:val="0"/>
              <w:autoSpaceDN w:val="0"/>
              <w:spacing w:line="320" w:lineRule="exact"/>
              <w:jc w:val="center"/>
              <w:rPr>
                <w:rFonts w:ascii="Times New Roman" w:hAnsi="Times New Roman" w:eastAsia="宋体" w:cs="Times New Roman"/>
                <w:szCs w:val="21"/>
                <w14:ligatures w14:val="none"/>
              </w:rPr>
            </w:pPr>
            <w:r>
              <w:rPr>
                <w:rFonts w:ascii="Times New Roman" w:hAnsi="Times New Roman" w:eastAsia="宋体" w:cs="Times New Roman"/>
                <w:szCs w:val="21"/>
                <w14:ligatures w14:val="none"/>
              </w:rPr>
              <w:t>√</w:t>
            </w:r>
          </w:p>
        </w:tc>
      </w:tr>
      <w:tr w14:paraId="37B79B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35" w:type="pct"/>
            <w:vAlign w:val="center"/>
          </w:tcPr>
          <w:p w14:paraId="562BE6F0">
            <w:pPr>
              <w:widowControl/>
              <w:spacing w:line="360" w:lineRule="exact"/>
              <w:jc w:val="center"/>
              <w:textAlignment w:val="baseline"/>
              <w:rPr>
                <w:rFonts w:ascii="Times New Roman" w:hAnsi="Times New Roman" w:eastAsia="宋体" w:cs="Times New Roman"/>
                <w:kern w:val="0"/>
                <w:szCs w:val="21"/>
                <w14:ligatures w14:val="none"/>
              </w:rPr>
            </w:pPr>
            <w:r>
              <w:rPr>
                <w:rFonts w:ascii="Times New Roman" w:hAnsi="Times New Roman" w:eastAsia="宋体" w:cs="Times New Roman"/>
                <w:kern w:val="0"/>
                <w:szCs w:val="21"/>
                <w14:ligatures w14:val="none"/>
              </w:rPr>
              <w:t>2#</w:t>
            </w:r>
          </w:p>
        </w:tc>
        <w:tc>
          <w:tcPr>
            <w:tcW w:w="1519" w:type="pct"/>
            <w:noWrap/>
            <w:vAlign w:val="center"/>
          </w:tcPr>
          <w:p w14:paraId="6D476551">
            <w:pPr>
              <w:widowControl/>
              <w:spacing w:line="360" w:lineRule="exact"/>
              <w:jc w:val="center"/>
              <w:textAlignment w:val="baseline"/>
              <w:rPr>
                <w:rFonts w:ascii="Times New Roman" w:hAnsi="Times New Roman" w:eastAsia="宋体" w:cs="Times New Roman"/>
                <w:kern w:val="0"/>
                <w:szCs w:val="21"/>
                <w14:ligatures w14:val="none"/>
              </w:rPr>
            </w:pPr>
            <w:r>
              <w:rPr>
                <w:rFonts w:ascii="Times New Roman" w:hAnsi="Times New Roman" w:eastAsia="宋体" w:cs="Times New Roman"/>
                <w:kern w:val="0"/>
                <w:szCs w:val="21"/>
                <w14:ligatures w14:val="none"/>
              </w:rPr>
              <w:t>108°59′42.39″,23°39′12.26″</w:t>
            </w:r>
          </w:p>
        </w:tc>
        <w:tc>
          <w:tcPr>
            <w:tcW w:w="881" w:type="pct"/>
            <w:noWrap/>
            <w:vAlign w:val="center"/>
          </w:tcPr>
          <w:p w14:paraId="6706D659">
            <w:pPr>
              <w:widowControl/>
              <w:spacing w:line="360" w:lineRule="exact"/>
              <w:jc w:val="center"/>
              <w:textAlignment w:val="baseline"/>
              <w:rPr>
                <w:rFonts w:ascii="Times New Roman" w:hAnsi="Times New Roman" w:eastAsia="宋体" w:cs="Times New Roman"/>
                <w:b/>
                <w:bCs/>
                <w:kern w:val="0"/>
                <w:szCs w:val="21"/>
                <w14:ligatures w14:val="none"/>
              </w:rPr>
            </w:pPr>
            <w:r>
              <w:rPr>
                <w:rFonts w:ascii="Times New Roman" w:hAnsi="Times New Roman" w:eastAsia="宋体" w:cs="Times New Roman"/>
                <w:szCs w:val="21"/>
                <w14:ligatures w14:val="none"/>
              </w:rPr>
              <w:t>√</w:t>
            </w:r>
          </w:p>
        </w:tc>
        <w:tc>
          <w:tcPr>
            <w:tcW w:w="652" w:type="pct"/>
            <w:noWrap/>
            <w:vAlign w:val="center"/>
          </w:tcPr>
          <w:p w14:paraId="0C5A1357">
            <w:pPr>
              <w:widowControl/>
              <w:spacing w:line="360" w:lineRule="exact"/>
              <w:jc w:val="center"/>
              <w:textAlignment w:val="baseline"/>
              <w:rPr>
                <w:rFonts w:ascii="Times New Roman" w:hAnsi="Times New Roman" w:eastAsia="宋体" w:cs="Times New Roman"/>
                <w:b/>
                <w:bCs/>
                <w:kern w:val="0"/>
                <w:szCs w:val="21"/>
                <w14:ligatures w14:val="none"/>
              </w:rPr>
            </w:pPr>
            <w:r>
              <w:rPr>
                <w:rFonts w:ascii="Times New Roman" w:hAnsi="Times New Roman" w:eastAsia="宋体" w:cs="Times New Roman"/>
                <w:szCs w:val="21"/>
                <w14:ligatures w14:val="none"/>
              </w:rPr>
              <w:t>√</w:t>
            </w:r>
          </w:p>
        </w:tc>
        <w:tc>
          <w:tcPr>
            <w:tcW w:w="391" w:type="pct"/>
            <w:noWrap/>
          </w:tcPr>
          <w:p w14:paraId="76A49F82">
            <w:pPr>
              <w:widowControl/>
              <w:spacing w:line="360" w:lineRule="exact"/>
              <w:jc w:val="center"/>
              <w:textAlignment w:val="baseline"/>
              <w:rPr>
                <w:rFonts w:ascii="Times New Roman" w:hAnsi="Times New Roman" w:eastAsia="宋体" w:cs="Times New Roman"/>
                <w:b/>
                <w:bCs/>
                <w:kern w:val="0"/>
                <w:szCs w:val="21"/>
                <w14:ligatures w14:val="none"/>
              </w:rPr>
            </w:pPr>
            <w:r>
              <w:rPr>
                <w:rFonts w:ascii="Times New Roman" w:hAnsi="Times New Roman" w:eastAsia="宋体" w:cs="Times New Roman"/>
                <w:szCs w:val="21"/>
                <w14:ligatures w14:val="none"/>
              </w:rPr>
              <w:t>√</w:t>
            </w:r>
          </w:p>
        </w:tc>
        <w:tc>
          <w:tcPr>
            <w:tcW w:w="606" w:type="pct"/>
            <w:noWrap/>
            <w:vAlign w:val="center"/>
          </w:tcPr>
          <w:p w14:paraId="24883331">
            <w:pPr>
              <w:autoSpaceDE w:val="0"/>
              <w:autoSpaceDN w:val="0"/>
              <w:spacing w:line="320" w:lineRule="exact"/>
              <w:jc w:val="center"/>
              <w:rPr>
                <w:rFonts w:ascii="Times New Roman" w:hAnsi="Times New Roman" w:eastAsia="宋体" w:cs="Times New Roman"/>
                <w:szCs w:val="21"/>
                <w14:ligatures w14:val="none"/>
              </w:rPr>
            </w:pPr>
            <w:r>
              <w:rPr>
                <w:rFonts w:ascii="Times New Roman" w:hAnsi="Times New Roman" w:eastAsia="宋体" w:cs="Times New Roman"/>
                <w:szCs w:val="21"/>
                <w14:ligatures w14:val="none"/>
              </w:rPr>
              <w:t>√</w:t>
            </w:r>
          </w:p>
        </w:tc>
        <w:tc>
          <w:tcPr>
            <w:tcW w:w="513" w:type="pct"/>
            <w:noWrap/>
            <w:vAlign w:val="center"/>
          </w:tcPr>
          <w:p w14:paraId="1820A71C">
            <w:pPr>
              <w:autoSpaceDE w:val="0"/>
              <w:autoSpaceDN w:val="0"/>
              <w:spacing w:line="320" w:lineRule="exact"/>
              <w:jc w:val="center"/>
              <w:rPr>
                <w:rFonts w:ascii="Times New Roman" w:hAnsi="Times New Roman" w:eastAsia="宋体" w:cs="Times New Roman"/>
                <w:szCs w:val="21"/>
                <w14:ligatures w14:val="none"/>
              </w:rPr>
            </w:pPr>
            <w:r>
              <w:rPr>
                <w:rFonts w:ascii="Times New Roman" w:hAnsi="Times New Roman" w:eastAsia="宋体" w:cs="Times New Roman"/>
                <w:szCs w:val="21"/>
                <w14:ligatures w14:val="none"/>
              </w:rPr>
              <w:t>√</w:t>
            </w:r>
          </w:p>
        </w:tc>
      </w:tr>
      <w:tr w14:paraId="0ADCF5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35" w:type="pct"/>
            <w:vAlign w:val="center"/>
          </w:tcPr>
          <w:p w14:paraId="19D5CF3A">
            <w:pPr>
              <w:widowControl/>
              <w:spacing w:line="360" w:lineRule="exact"/>
              <w:jc w:val="center"/>
              <w:textAlignment w:val="baseline"/>
              <w:rPr>
                <w:rFonts w:ascii="Times New Roman" w:hAnsi="Times New Roman" w:eastAsia="宋体" w:cs="Times New Roman"/>
                <w:kern w:val="0"/>
                <w:szCs w:val="21"/>
                <w14:ligatures w14:val="none"/>
              </w:rPr>
            </w:pPr>
            <w:r>
              <w:rPr>
                <w:rFonts w:ascii="Times New Roman" w:hAnsi="Times New Roman" w:eastAsia="宋体" w:cs="Times New Roman"/>
                <w:kern w:val="0"/>
                <w:szCs w:val="21"/>
                <w14:ligatures w14:val="none"/>
              </w:rPr>
              <w:t>3#</w:t>
            </w:r>
          </w:p>
        </w:tc>
        <w:tc>
          <w:tcPr>
            <w:tcW w:w="1519" w:type="pct"/>
            <w:vAlign w:val="center"/>
          </w:tcPr>
          <w:p w14:paraId="3A7BA75B">
            <w:pPr>
              <w:widowControl/>
              <w:spacing w:line="360" w:lineRule="exact"/>
              <w:jc w:val="center"/>
              <w:textAlignment w:val="baseline"/>
              <w:rPr>
                <w:rFonts w:ascii="Times New Roman" w:hAnsi="Times New Roman" w:eastAsia="宋体" w:cs="Times New Roman"/>
                <w:kern w:val="0"/>
                <w:szCs w:val="21"/>
                <w14:ligatures w14:val="none"/>
              </w:rPr>
            </w:pPr>
            <w:r>
              <w:rPr>
                <w:rFonts w:ascii="Times New Roman" w:hAnsi="Times New Roman" w:eastAsia="宋体" w:cs="Times New Roman"/>
                <w:kern w:val="0"/>
                <w:szCs w:val="21"/>
                <w14:ligatures w14:val="none"/>
              </w:rPr>
              <w:t>109°2′46.49″,23°40′19.21″</w:t>
            </w:r>
          </w:p>
        </w:tc>
        <w:tc>
          <w:tcPr>
            <w:tcW w:w="881" w:type="pct"/>
            <w:vAlign w:val="center"/>
          </w:tcPr>
          <w:p w14:paraId="34D02C3F">
            <w:pPr>
              <w:widowControl/>
              <w:spacing w:line="360" w:lineRule="exact"/>
              <w:jc w:val="center"/>
              <w:textAlignment w:val="baseline"/>
              <w:rPr>
                <w:rFonts w:ascii="Times New Roman" w:hAnsi="Times New Roman" w:eastAsia="宋体" w:cs="Times New Roman"/>
                <w:b/>
                <w:bCs/>
                <w:kern w:val="0"/>
                <w:szCs w:val="21"/>
                <w14:ligatures w14:val="none"/>
              </w:rPr>
            </w:pPr>
            <w:r>
              <w:rPr>
                <w:rFonts w:ascii="Times New Roman" w:hAnsi="Times New Roman" w:eastAsia="宋体" w:cs="Times New Roman"/>
                <w:szCs w:val="21"/>
                <w14:ligatures w14:val="none"/>
              </w:rPr>
              <w:t>√</w:t>
            </w:r>
          </w:p>
        </w:tc>
        <w:tc>
          <w:tcPr>
            <w:tcW w:w="652" w:type="pct"/>
            <w:vAlign w:val="center"/>
          </w:tcPr>
          <w:p w14:paraId="313E2CBA">
            <w:pPr>
              <w:widowControl/>
              <w:spacing w:line="360" w:lineRule="exact"/>
              <w:jc w:val="center"/>
              <w:textAlignment w:val="baseline"/>
              <w:rPr>
                <w:rFonts w:ascii="Times New Roman" w:hAnsi="Times New Roman" w:eastAsia="宋体" w:cs="Times New Roman"/>
                <w:b/>
                <w:bCs/>
                <w:kern w:val="0"/>
                <w:szCs w:val="21"/>
                <w14:ligatures w14:val="none"/>
              </w:rPr>
            </w:pPr>
            <w:r>
              <w:rPr>
                <w:rFonts w:ascii="Times New Roman" w:hAnsi="Times New Roman" w:eastAsia="宋体" w:cs="Times New Roman"/>
                <w:szCs w:val="21"/>
                <w14:ligatures w14:val="none"/>
              </w:rPr>
              <w:t>√</w:t>
            </w:r>
          </w:p>
        </w:tc>
        <w:tc>
          <w:tcPr>
            <w:tcW w:w="391" w:type="pct"/>
            <w:vAlign w:val="center"/>
          </w:tcPr>
          <w:p w14:paraId="3946AC1E">
            <w:pPr>
              <w:widowControl/>
              <w:spacing w:line="360" w:lineRule="exact"/>
              <w:jc w:val="center"/>
              <w:textAlignment w:val="baseline"/>
              <w:rPr>
                <w:rFonts w:ascii="Times New Roman" w:hAnsi="Times New Roman" w:eastAsia="宋体" w:cs="Times New Roman"/>
                <w:b/>
                <w:bCs/>
                <w:kern w:val="0"/>
                <w:szCs w:val="21"/>
                <w14:ligatures w14:val="none"/>
              </w:rPr>
            </w:pPr>
            <w:r>
              <w:rPr>
                <w:rFonts w:ascii="Times New Roman" w:hAnsi="Times New Roman" w:eastAsia="宋体" w:cs="Times New Roman"/>
                <w:szCs w:val="21"/>
                <w14:ligatures w14:val="none"/>
              </w:rPr>
              <w:t>√</w:t>
            </w:r>
          </w:p>
        </w:tc>
        <w:tc>
          <w:tcPr>
            <w:tcW w:w="606" w:type="pct"/>
            <w:vAlign w:val="center"/>
          </w:tcPr>
          <w:p w14:paraId="6745DEDA">
            <w:pPr>
              <w:autoSpaceDE w:val="0"/>
              <w:autoSpaceDN w:val="0"/>
              <w:spacing w:line="320" w:lineRule="exact"/>
              <w:jc w:val="center"/>
              <w:rPr>
                <w:rFonts w:ascii="Times New Roman" w:hAnsi="Times New Roman" w:eastAsia="宋体" w:cs="Times New Roman"/>
                <w:szCs w:val="21"/>
                <w14:ligatures w14:val="none"/>
              </w:rPr>
            </w:pPr>
            <w:r>
              <w:rPr>
                <w:rFonts w:ascii="Times New Roman" w:hAnsi="Times New Roman" w:eastAsia="宋体" w:cs="Times New Roman"/>
                <w:szCs w:val="21"/>
                <w14:ligatures w14:val="none"/>
              </w:rPr>
              <w:t>√</w:t>
            </w:r>
          </w:p>
        </w:tc>
        <w:tc>
          <w:tcPr>
            <w:tcW w:w="513" w:type="pct"/>
            <w:vAlign w:val="center"/>
          </w:tcPr>
          <w:p w14:paraId="7E8336DF">
            <w:pPr>
              <w:autoSpaceDE w:val="0"/>
              <w:autoSpaceDN w:val="0"/>
              <w:spacing w:line="320" w:lineRule="exact"/>
              <w:jc w:val="center"/>
              <w:rPr>
                <w:rFonts w:ascii="Times New Roman" w:hAnsi="Times New Roman" w:eastAsia="宋体" w:cs="Times New Roman"/>
                <w:szCs w:val="21"/>
                <w14:ligatures w14:val="none"/>
              </w:rPr>
            </w:pPr>
            <w:r>
              <w:rPr>
                <w:rFonts w:ascii="Times New Roman" w:hAnsi="Times New Roman" w:eastAsia="宋体" w:cs="Times New Roman"/>
                <w:szCs w:val="21"/>
                <w14:ligatures w14:val="none"/>
              </w:rPr>
              <w:t>√</w:t>
            </w:r>
          </w:p>
        </w:tc>
      </w:tr>
      <w:tr w14:paraId="1882E3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35" w:type="pct"/>
            <w:vAlign w:val="center"/>
          </w:tcPr>
          <w:p w14:paraId="59C356AA">
            <w:pPr>
              <w:widowControl/>
              <w:spacing w:line="360" w:lineRule="exact"/>
              <w:jc w:val="center"/>
              <w:textAlignment w:val="baseline"/>
              <w:rPr>
                <w:rFonts w:ascii="Times New Roman" w:hAnsi="Times New Roman" w:eastAsia="宋体" w:cs="Times New Roman"/>
                <w:kern w:val="0"/>
                <w:szCs w:val="21"/>
                <w14:ligatures w14:val="none"/>
              </w:rPr>
            </w:pPr>
            <w:r>
              <w:rPr>
                <w:rFonts w:ascii="Times New Roman" w:hAnsi="Times New Roman" w:eastAsia="宋体" w:cs="Times New Roman"/>
                <w:kern w:val="0"/>
                <w:szCs w:val="21"/>
                <w14:ligatures w14:val="none"/>
              </w:rPr>
              <w:t>4#</w:t>
            </w:r>
          </w:p>
        </w:tc>
        <w:tc>
          <w:tcPr>
            <w:tcW w:w="1519" w:type="pct"/>
            <w:vAlign w:val="center"/>
          </w:tcPr>
          <w:p w14:paraId="35E09AD0">
            <w:pPr>
              <w:widowControl/>
              <w:spacing w:line="360" w:lineRule="exact"/>
              <w:jc w:val="center"/>
              <w:textAlignment w:val="baseline"/>
              <w:rPr>
                <w:rFonts w:ascii="Times New Roman" w:hAnsi="Times New Roman" w:eastAsia="宋体" w:cs="Times New Roman"/>
                <w:kern w:val="0"/>
                <w:szCs w:val="21"/>
                <w14:ligatures w14:val="none"/>
              </w:rPr>
            </w:pPr>
            <w:r>
              <w:rPr>
                <w:rFonts w:ascii="Times New Roman" w:hAnsi="Times New Roman" w:eastAsia="宋体" w:cs="Times New Roman"/>
                <w:kern w:val="0"/>
                <w:szCs w:val="21"/>
                <w14:ligatures w14:val="none"/>
              </w:rPr>
              <w:t>109°3′27.50″,23°40′42.40″</w:t>
            </w:r>
          </w:p>
        </w:tc>
        <w:tc>
          <w:tcPr>
            <w:tcW w:w="881" w:type="pct"/>
            <w:vAlign w:val="center"/>
          </w:tcPr>
          <w:p w14:paraId="049FFC5A">
            <w:pPr>
              <w:widowControl/>
              <w:spacing w:line="360" w:lineRule="exact"/>
              <w:jc w:val="center"/>
              <w:textAlignment w:val="baseline"/>
              <w:rPr>
                <w:rFonts w:ascii="Times New Roman" w:hAnsi="Times New Roman" w:eastAsia="宋体" w:cs="Times New Roman"/>
                <w:b/>
                <w:bCs/>
                <w:kern w:val="0"/>
                <w:szCs w:val="21"/>
                <w14:ligatures w14:val="none"/>
              </w:rPr>
            </w:pPr>
          </w:p>
        </w:tc>
        <w:tc>
          <w:tcPr>
            <w:tcW w:w="652" w:type="pct"/>
            <w:vAlign w:val="center"/>
          </w:tcPr>
          <w:p w14:paraId="08A0B38F">
            <w:pPr>
              <w:widowControl/>
              <w:spacing w:line="360" w:lineRule="exact"/>
              <w:jc w:val="center"/>
              <w:textAlignment w:val="baseline"/>
              <w:rPr>
                <w:rFonts w:ascii="Times New Roman" w:hAnsi="Times New Roman" w:eastAsia="宋体" w:cs="Times New Roman"/>
                <w:b/>
                <w:bCs/>
                <w:kern w:val="0"/>
                <w:szCs w:val="21"/>
                <w14:ligatures w14:val="none"/>
              </w:rPr>
            </w:pPr>
          </w:p>
        </w:tc>
        <w:tc>
          <w:tcPr>
            <w:tcW w:w="391" w:type="pct"/>
            <w:vAlign w:val="center"/>
          </w:tcPr>
          <w:p w14:paraId="18152488">
            <w:pPr>
              <w:widowControl/>
              <w:spacing w:line="360" w:lineRule="exact"/>
              <w:jc w:val="center"/>
              <w:textAlignment w:val="baseline"/>
              <w:rPr>
                <w:rFonts w:ascii="Times New Roman" w:hAnsi="Times New Roman" w:eastAsia="宋体" w:cs="Times New Roman"/>
                <w:b/>
                <w:bCs/>
                <w:kern w:val="0"/>
                <w:szCs w:val="21"/>
                <w14:ligatures w14:val="none"/>
              </w:rPr>
            </w:pPr>
          </w:p>
        </w:tc>
        <w:tc>
          <w:tcPr>
            <w:tcW w:w="606" w:type="pct"/>
            <w:vAlign w:val="center"/>
          </w:tcPr>
          <w:p w14:paraId="7E2735FE">
            <w:pPr>
              <w:autoSpaceDE w:val="0"/>
              <w:autoSpaceDN w:val="0"/>
              <w:spacing w:line="320" w:lineRule="exact"/>
              <w:jc w:val="center"/>
              <w:rPr>
                <w:rFonts w:ascii="Times New Roman" w:hAnsi="Times New Roman" w:eastAsia="宋体" w:cs="Times New Roman"/>
                <w:szCs w:val="21"/>
                <w14:ligatures w14:val="none"/>
              </w:rPr>
            </w:pPr>
          </w:p>
        </w:tc>
        <w:tc>
          <w:tcPr>
            <w:tcW w:w="513" w:type="pct"/>
            <w:vAlign w:val="center"/>
          </w:tcPr>
          <w:p w14:paraId="414F4124">
            <w:pPr>
              <w:autoSpaceDE w:val="0"/>
              <w:autoSpaceDN w:val="0"/>
              <w:spacing w:line="320" w:lineRule="exact"/>
              <w:jc w:val="center"/>
              <w:rPr>
                <w:rFonts w:ascii="Times New Roman" w:hAnsi="Times New Roman" w:eastAsia="宋体" w:cs="Times New Roman"/>
                <w:szCs w:val="21"/>
                <w14:ligatures w14:val="none"/>
              </w:rPr>
            </w:pPr>
            <w:r>
              <w:rPr>
                <w:rFonts w:ascii="Times New Roman" w:hAnsi="Times New Roman" w:eastAsia="宋体" w:cs="Times New Roman"/>
                <w:szCs w:val="21"/>
                <w14:ligatures w14:val="none"/>
              </w:rPr>
              <w:t>√</w:t>
            </w:r>
          </w:p>
        </w:tc>
      </w:tr>
      <w:tr w14:paraId="478E96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35" w:type="pct"/>
            <w:vAlign w:val="center"/>
          </w:tcPr>
          <w:p w14:paraId="70554B5E">
            <w:pPr>
              <w:widowControl/>
              <w:spacing w:line="360" w:lineRule="exact"/>
              <w:jc w:val="center"/>
              <w:textAlignment w:val="baseline"/>
              <w:rPr>
                <w:rFonts w:ascii="Times New Roman" w:hAnsi="Times New Roman" w:eastAsia="宋体" w:cs="Times New Roman"/>
                <w:kern w:val="0"/>
                <w:szCs w:val="21"/>
                <w14:ligatures w14:val="none"/>
              </w:rPr>
            </w:pPr>
            <w:r>
              <w:rPr>
                <w:rFonts w:ascii="Times New Roman" w:hAnsi="Times New Roman" w:eastAsia="宋体" w:cs="Times New Roman"/>
                <w:kern w:val="0"/>
                <w:szCs w:val="21"/>
                <w14:ligatures w14:val="none"/>
              </w:rPr>
              <w:t>5#</w:t>
            </w:r>
          </w:p>
        </w:tc>
        <w:tc>
          <w:tcPr>
            <w:tcW w:w="1519" w:type="pct"/>
            <w:vAlign w:val="center"/>
          </w:tcPr>
          <w:p w14:paraId="133940AC">
            <w:pPr>
              <w:widowControl/>
              <w:spacing w:line="360" w:lineRule="exact"/>
              <w:jc w:val="center"/>
              <w:textAlignment w:val="baseline"/>
              <w:rPr>
                <w:rFonts w:ascii="Times New Roman" w:hAnsi="Times New Roman" w:eastAsia="宋体" w:cs="Times New Roman"/>
                <w:kern w:val="0"/>
                <w:szCs w:val="21"/>
                <w14:ligatures w14:val="none"/>
              </w:rPr>
            </w:pPr>
            <w:r>
              <w:rPr>
                <w:rFonts w:ascii="Times New Roman" w:hAnsi="Times New Roman" w:eastAsia="宋体" w:cs="Times New Roman"/>
                <w:kern w:val="0"/>
                <w:szCs w:val="21"/>
                <w14:ligatures w14:val="none"/>
              </w:rPr>
              <w:t>109°8′2.00″,23°42′13.50″</w:t>
            </w:r>
          </w:p>
        </w:tc>
        <w:tc>
          <w:tcPr>
            <w:tcW w:w="881" w:type="pct"/>
            <w:vAlign w:val="center"/>
          </w:tcPr>
          <w:p w14:paraId="1672D324">
            <w:pPr>
              <w:widowControl/>
              <w:spacing w:line="360" w:lineRule="exact"/>
              <w:jc w:val="center"/>
              <w:textAlignment w:val="baseline"/>
              <w:rPr>
                <w:rFonts w:ascii="Times New Roman" w:hAnsi="Times New Roman" w:eastAsia="宋体" w:cs="Times New Roman"/>
                <w:b/>
                <w:bCs/>
                <w:kern w:val="0"/>
                <w:szCs w:val="21"/>
                <w14:ligatures w14:val="none"/>
              </w:rPr>
            </w:pPr>
            <w:r>
              <w:rPr>
                <w:rFonts w:ascii="Times New Roman" w:hAnsi="Times New Roman" w:eastAsia="宋体" w:cs="Times New Roman"/>
                <w:szCs w:val="21"/>
                <w14:ligatures w14:val="none"/>
              </w:rPr>
              <w:t>√</w:t>
            </w:r>
          </w:p>
        </w:tc>
        <w:tc>
          <w:tcPr>
            <w:tcW w:w="652" w:type="pct"/>
            <w:vAlign w:val="center"/>
          </w:tcPr>
          <w:p w14:paraId="4E1AB896">
            <w:pPr>
              <w:widowControl/>
              <w:spacing w:line="360" w:lineRule="exact"/>
              <w:jc w:val="center"/>
              <w:textAlignment w:val="baseline"/>
              <w:rPr>
                <w:rFonts w:ascii="Times New Roman" w:hAnsi="Times New Roman" w:eastAsia="宋体" w:cs="Times New Roman"/>
                <w:b/>
                <w:bCs/>
                <w:kern w:val="0"/>
                <w:szCs w:val="21"/>
                <w14:ligatures w14:val="none"/>
              </w:rPr>
            </w:pPr>
            <w:r>
              <w:rPr>
                <w:rFonts w:ascii="Times New Roman" w:hAnsi="Times New Roman" w:eastAsia="宋体" w:cs="Times New Roman"/>
                <w:szCs w:val="21"/>
                <w14:ligatures w14:val="none"/>
              </w:rPr>
              <w:t>√</w:t>
            </w:r>
          </w:p>
        </w:tc>
        <w:tc>
          <w:tcPr>
            <w:tcW w:w="391" w:type="pct"/>
            <w:vAlign w:val="center"/>
          </w:tcPr>
          <w:p w14:paraId="72282848">
            <w:pPr>
              <w:widowControl/>
              <w:spacing w:line="360" w:lineRule="exact"/>
              <w:jc w:val="center"/>
              <w:textAlignment w:val="baseline"/>
              <w:rPr>
                <w:rFonts w:ascii="Times New Roman" w:hAnsi="Times New Roman" w:eastAsia="宋体" w:cs="Times New Roman"/>
                <w:b/>
                <w:bCs/>
                <w:kern w:val="0"/>
                <w:szCs w:val="21"/>
                <w14:ligatures w14:val="none"/>
              </w:rPr>
            </w:pPr>
            <w:r>
              <w:rPr>
                <w:rFonts w:ascii="Times New Roman" w:hAnsi="Times New Roman" w:eastAsia="宋体" w:cs="Times New Roman"/>
                <w:szCs w:val="21"/>
                <w14:ligatures w14:val="none"/>
              </w:rPr>
              <w:t>√</w:t>
            </w:r>
          </w:p>
        </w:tc>
        <w:tc>
          <w:tcPr>
            <w:tcW w:w="606" w:type="pct"/>
            <w:vAlign w:val="center"/>
          </w:tcPr>
          <w:p w14:paraId="099E518A">
            <w:pPr>
              <w:autoSpaceDE w:val="0"/>
              <w:autoSpaceDN w:val="0"/>
              <w:spacing w:line="320" w:lineRule="exact"/>
              <w:jc w:val="center"/>
              <w:rPr>
                <w:rFonts w:ascii="Times New Roman" w:hAnsi="Times New Roman" w:eastAsia="宋体" w:cs="Times New Roman"/>
                <w:szCs w:val="21"/>
                <w14:ligatures w14:val="none"/>
              </w:rPr>
            </w:pPr>
            <w:r>
              <w:rPr>
                <w:rFonts w:ascii="Times New Roman" w:hAnsi="Times New Roman" w:eastAsia="宋体" w:cs="Times New Roman"/>
                <w:szCs w:val="21"/>
                <w14:ligatures w14:val="none"/>
              </w:rPr>
              <w:t>√</w:t>
            </w:r>
          </w:p>
        </w:tc>
        <w:tc>
          <w:tcPr>
            <w:tcW w:w="513" w:type="pct"/>
            <w:vAlign w:val="center"/>
          </w:tcPr>
          <w:p w14:paraId="19AAC685">
            <w:pPr>
              <w:autoSpaceDE w:val="0"/>
              <w:autoSpaceDN w:val="0"/>
              <w:spacing w:line="320" w:lineRule="exact"/>
              <w:jc w:val="center"/>
              <w:rPr>
                <w:rFonts w:ascii="Times New Roman" w:hAnsi="Times New Roman" w:eastAsia="宋体" w:cs="Times New Roman"/>
                <w:szCs w:val="21"/>
                <w14:ligatures w14:val="none"/>
              </w:rPr>
            </w:pPr>
            <w:r>
              <w:rPr>
                <w:rFonts w:ascii="Times New Roman" w:hAnsi="Times New Roman" w:eastAsia="宋体" w:cs="Times New Roman"/>
                <w:szCs w:val="21"/>
                <w14:ligatures w14:val="none"/>
              </w:rPr>
              <w:t>√</w:t>
            </w:r>
          </w:p>
        </w:tc>
      </w:tr>
      <w:tr w14:paraId="18CC6A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35" w:type="pct"/>
            <w:vAlign w:val="center"/>
          </w:tcPr>
          <w:p w14:paraId="4429452B">
            <w:pPr>
              <w:widowControl/>
              <w:spacing w:line="360" w:lineRule="exact"/>
              <w:jc w:val="center"/>
              <w:textAlignment w:val="baseline"/>
              <w:rPr>
                <w:rFonts w:ascii="Times New Roman" w:hAnsi="Times New Roman" w:eastAsia="宋体" w:cs="Times New Roman"/>
                <w:kern w:val="0"/>
                <w:szCs w:val="21"/>
                <w14:ligatures w14:val="none"/>
              </w:rPr>
            </w:pPr>
            <w:r>
              <w:rPr>
                <w:rFonts w:ascii="Times New Roman" w:hAnsi="Times New Roman" w:eastAsia="宋体" w:cs="Times New Roman"/>
                <w:kern w:val="0"/>
                <w:szCs w:val="21"/>
                <w14:ligatures w14:val="none"/>
              </w:rPr>
              <w:t>6#</w:t>
            </w:r>
          </w:p>
        </w:tc>
        <w:tc>
          <w:tcPr>
            <w:tcW w:w="1519" w:type="pct"/>
            <w:vAlign w:val="center"/>
          </w:tcPr>
          <w:p w14:paraId="7E4F4EBF">
            <w:pPr>
              <w:widowControl/>
              <w:spacing w:line="360" w:lineRule="exact"/>
              <w:jc w:val="center"/>
              <w:textAlignment w:val="baseline"/>
              <w:rPr>
                <w:rFonts w:ascii="Times New Roman" w:hAnsi="Times New Roman" w:eastAsia="宋体" w:cs="Times New Roman"/>
                <w:kern w:val="0"/>
                <w:szCs w:val="21"/>
                <w14:ligatures w14:val="none"/>
              </w:rPr>
            </w:pPr>
            <w:r>
              <w:rPr>
                <w:rFonts w:ascii="Times New Roman" w:hAnsi="Times New Roman" w:eastAsia="宋体" w:cs="Times New Roman"/>
                <w:kern w:val="0"/>
                <w:szCs w:val="21"/>
                <w14:ligatures w14:val="none"/>
              </w:rPr>
              <w:t>109°10′37.26″,23°44′29.00″</w:t>
            </w:r>
          </w:p>
        </w:tc>
        <w:tc>
          <w:tcPr>
            <w:tcW w:w="881" w:type="pct"/>
            <w:vAlign w:val="center"/>
          </w:tcPr>
          <w:p w14:paraId="438CE435">
            <w:pPr>
              <w:widowControl/>
              <w:spacing w:line="360" w:lineRule="exact"/>
              <w:jc w:val="center"/>
              <w:textAlignment w:val="baseline"/>
              <w:rPr>
                <w:rFonts w:ascii="Times New Roman" w:hAnsi="Times New Roman" w:eastAsia="宋体" w:cs="Times New Roman"/>
                <w:b/>
                <w:bCs/>
                <w:kern w:val="0"/>
                <w:szCs w:val="21"/>
                <w14:ligatures w14:val="none"/>
              </w:rPr>
            </w:pPr>
            <w:r>
              <w:rPr>
                <w:rFonts w:ascii="Times New Roman" w:hAnsi="Times New Roman" w:eastAsia="宋体" w:cs="Times New Roman"/>
                <w:szCs w:val="21"/>
                <w14:ligatures w14:val="none"/>
              </w:rPr>
              <w:t>√</w:t>
            </w:r>
          </w:p>
        </w:tc>
        <w:tc>
          <w:tcPr>
            <w:tcW w:w="652" w:type="pct"/>
            <w:vAlign w:val="center"/>
          </w:tcPr>
          <w:p w14:paraId="0F1B919C">
            <w:pPr>
              <w:widowControl/>
              <w:spacing w:line="360" w:lineRule="exact"/>
              <w:jc w:val="center"/>
              <w:textAlignment w:val="baseline"/>
              <w:rPr>
                <w:rFonts w:ascii="Times New Roman" w:hAnsi="Times New Roman" w:eastAsia="宋体" w:cs="Times New Roman"/>
                <w:b/>
                <w:bCs/>
                <w:kern w:val="0"/>
                <w:szCs w:val="21"/>
                <w14:ligatures w14:val="none"/>
              </w:rPr>
            </w:pPr>
            <w:r>
              <w:rPr>
                <w:rFonts w:ascii="Times New Roman" w:hAnsi="Times New Roman" w:eastAsia="宋体" w:cs="Times New Roman"/>
                <w:szCs w:val="21"/>
                <w14:ligatures w14:val="none"/>
              </w:rPr>
              <w:t>√</w:t>
            </w:r>
          </w:p>
        </w:tc>
        <w:tc>
          <w:tcPr>
            <w:tcW w:w="391" w:type="pct"/>
            <w:vAlign w:val="center"/>
          </w:tcPr>
          <w:p w14:paraId="2FADC4AC">
            <w:pPr>
              <w:widowControl/>
              <w:spacing w:line="360" w:lineRule="exact"/>
              <w:jc w:val="center"/>
              <w:textAlignment w:val="baseline"/>
              <w:rPr>
                <w:rFonts w:ascii="Times New Roman" w:hAnsi="Times New Roman" w:eastAsia="宋体" w:cs="Times New Roman"/>
                <w:b/>
                <w:bCs/>
                <w:kern w:val="0"/>
                <w:szCs w:val="21"/>
                <w14:ligatures w14:val="none"/>
              </w:rPr>
            </w:pPr>
            <w:r>
              <w:rPr>
                <w:rFonts w:ascii="Times New Roman" w:hAnsi="Times New Roman" w:eastAsia="宋体" w:cs="Times New Roman"/>
                <w:szCs w:val="21"/>
                <w14:ligatures w14:val="none"/>
              </w:rPr>
              <w:t>√</w:t>
            </w:r>
          </w:p>
        </w:tc>
        <w:tc>
          <w:tcPr>
            <w:tcW w:w="606" w:type="pct"/>
            <w:vAlign w:val="center"/>
          </w:tcPr>
          <w:p w14:paraId="385EBA66">
            <w:pPr>
              <w:autoSpaceDE w:val="0"/>
              <w:autoSpaceDN w:val="0"/>
              <w:spacing w:line="320" w:lineRule="exact"/>
              <w:jc w:val="center"/>
              <w:rPr>
                <w:rFonts w:ascii="Times New Roman" w:hAnsi="Times New Roman" w:eastAsia="宋体" w:cs="Times New Roman"/>
                <w:szCs w:val="21"/>
                <w14:ligatures w14:val="none"/>
              </w:rPr>
            </w:pPr>
            <w:r>
              <w:rPr>
                <w:rFonts w:ascii="Times New Roman" w:hAnsi="Times New Roman" w:eastAsia="宋体" w:cs="Times New Roman"/>
                <w:szCs w:val="21"/>
                <w14:ligatures w14:val="none"/>
              </w:rPr>
              <w:t>√</w:t>
            </w:r>
          </w:p>
        </w:tc>
        <w:tc>
          <w:tcPr>
            <w:tcW w:w="513" w:type="pct"/>
            <w:vAlign w:val="center"/>
          </w:tcPr>
          <w:p w14:paraId="2521B293">
            <w:pPr>
              <w:autoSpaceDE w:val="0"/>
              <w:autoSpaceDN w:val="0"/>
              <w:spacing w:line="320" w:lineRule="exact"/>
              <w:jc w:val="center"/>
              <w:rPr>
                <w:rFonts w:ascii="Times New Roman" w:hAnsi="Times New Roman" w:eastAsia="宋体" w:cs="Times New Roman"/>
                <w:szCs w:val="21"/>
                <w14:ligatures w14:val="none"/>
              </w:rPr>
            </w:pPr>
            <w:r>
              <w:rPr>
                <w:rFonts w:ascii="Times New Roman" w:hAnsi="Times New Roman" w:eastAsia="宋体" w:cs="Times New Roman"/>
                <w:szCs w:val="21"/>
                <w14:ligatures w14:val="none"/>
              </w:rPr>
              <w:t>√</w:t>
            </w:r>
          </w:p>
        </w:tc>
      </w:tr>
      <w:tr w14:paraId="325B20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35" w:type="pct"/>
            <w:vAlign w:val="center"/>
          </w:tcPr>
          <w:p w14:paraId="752CD310">
            <w:pPr>
              <w:widowControl/>
              <w:spacing w:line="360" w:lineRule="exact"/>
              <w:jc w:val="center"/>
              <w:textAlignment w:val="baseline"/>
              <w:rPr>
                <w:rFonts w:ascii="Times New Roman" w:hAnsi="Times New Roman" w:eastAsia="宋体" w:cs="Times New Roman"/>
                <w:kern w:val="0"/>
                <w:szCs w:val="21"/>
                <w14:ligatures w14:val="none"/>
              </w:rPr>
            </w:pPr>
            <w:r>
              <w:rPr>
                <w:rFonts w:ascii="Times New Roman" w:hAnsi="Times New Roman" w:eastAsia="宋体" w:cs="Times New Roman"/>
                <w:kern w:val="0"/>
                <w:szCs w:val="21"/>
                <w14:ligatures w14:val="none"/>
              </w:rPr>
              <w:t>7#</w:t>
            </w:r>
          </w:p>
        </w:tc>
        <w:tc>
          <w:tcPr>
            <w:tcW w:w="1519" w:type="pct"/>
            <w:vAlign w:val="center"/>
          </w:tcPr>
          <w:p w14:paraId="53A9F5C9">
            <w:pPr>
              <w:widowControl/>
              <w:spacing w:line="360" w:lineRule="exact"/>
              <w:jc w:val="center"/>
              <w:textAlignment w:val="baseline"/>
              <w:rPr>
                <w:rFonts w:ascii="Times New Roman" w:hAnsi="Times New Roman" w:eastAsia="宋体" w:cs="Times New Roman"/>
                <w:kern w:val="0"/>
                <w:szCs w:val="21"/>
                <w14:ligatures w14:val="none"/>
              </w:rPr>
            </w:pPr>
            <w:r>
              <w:rPr>
                <w:rFonts w:ascii="Times New Roman" w:hAnsi="Times New Roman" w:eastAsia="宋体" w:cs="Times New Roman"/>
                <w:kern w:val="0"/>
                <w:szCs w:val="21"/>
                <w14:ligatures w14:val="none"/>
              </w:rPr>
              <w:t>109°13′5.26″,23°44′7.48″</w:t>
            </w:r>
          </w:p>
        </w:tc>
        <w:tc>
          <w:tcPr>
            <w:tcW w:w="881" w:type="pct"/>
            <w:vAlign w:val="center"/>
          </w:tcPr>
          <w:p w14:paraId="3A470C4B">
            <w:pPr>
              <w:widowControl/>
              <w:spacing w:line="360" w:lineRule="exact"/>
              <w:jc w:val="center"/>
              <w:textAlignment w:val="baseline"/>
              <w:rPr>
                <w:rFonts w:ascii="Times New Roman" w:hAnsi="Times New Roman" w:eastAsia="宋体" w:cs="Times New Roman"/>
                <w:b/>
                <w:bCs/>
                <w:kern w:val="0"/>
                <w:szCs w:val="21"/>
                <w14:ligatures w14:val="none"/>
              </w:rPr>
            </w:pPr>
          </w:p>
        </w:tc>
        <w:tc>
          <w:tcPr>
            <w:tcW w:w="652" w:type="pct"/>
            <w:vAlign w:val="center"/>
          </w:tcPr>
          <w:p w14:paraId="52AF5EC7">
            <w:pPr>
              <w:widowControl/>
              <w:spacing w:line="360" w:lineRule="exact"/>
              <w:jc w:val="center"/>
              <w:textAlignment w:val="baseline"/>
              <w:rPr>
                <w:rFonts w:ascii="Times New Roman" w:hAnsi="Times New Roman" w:eastAsia="宋体" w:cs="Times New Roman"/>
                <w:b/>
                <w:bCs/>
                <w:kern w:val="0"/>
                <w:szCs w:val="21"/>
                <w14:ligatures w14:val="none"/>
              </w:rPr>
            </w:pPr>
          </w:p>
        </w:tc>
        <w:tc>
          <w:tcPr>
            <w:tcW w:w="391" w:type="pct"/>
          </w:tcPr>
          <w:p w14:paraId="2CD3E7B6">
            <w:pPr>
              <w:widowControl/>
              <w:spacing w:line="360" w:lineRule="exact"/>
              <w:jc w:val="center"/>
              <w:textAlignment w:val="baseline"/>
              <w:rPr>
                <w:rFonts w:ascii="Times New Roman" w:hAnsi="Times New Roman" w:eastAsia="宋体" w:cs="Times New Roman"/>
                <w:b/>
                <w:bCs/>
                <w:kern w:val="0"/>
                <w:szCs w:val="21"/>
                <w14:ligatures w14:val="none"/>
              </w:rPr>
            </w:pPr>
          </w:p>
        </w:tc>
        <w:tc>
          <w:tcPr>
            <w:tcW w:w="606" w:type="pct"/>
            <w:vAlign w:val="center"/>
          </w:tcPr>
          <w:p w14:paraId="586D0EC7">
            <w:pPr>
              <w:autoSpaceDE w:val="0"/>
              <w:autoSpaceDN w:val="0"/>
              <w:spacing w:line="320" w:lineRule="exact"/>
              <w:jc w:val="center"/>
              <w:rPr>
                <w:rFonts w:ascii="Times New Roman" w:hAnsi="Times New Roman" w:eastAsia="宋体" w:cs="Times New Roman"/>
                <w:szCs w:val="21"/>
                <w14:ligatures w14:val="none"/>
              </w:rPr>
            </w:pPr>
          </w:p>
        </w:tc>
        <w:tc>
          <w:tcPr>
            <w:tcW w:w="513" w:type="pct"/>
            <w:vAlign w:val="center"/>
          </w:tcPr>
          <w:p w14:paraId="6ADCC414">
            <w:pPr>
              <w:autoSpaceDE w:val="0"/>
              <w:autoSpaceDN w:val="0"/>
              <w:spacing w:line="320" w:lineRule="exact"/>
              <w:jc w:val="center"/>
              <w:rPr>
                <w:rFonts w:ascii="Times New Roman" w:hAnsi="Times New Roman" w:eastAsia="宋体" w:cs="Times New Roman"/>
                <w:szCs w:val="21"/>
                <w14:ligatures w14:val="none"/>
              </w:rPr>
            </w:pPr>
            <w:r>
              <w:rPr>
                <w:rFonts w:ascii="Times New Roman" w:hAnsi="Times New Roman" w:eastAsia="宋体" w:cs="Times New Roman"/>
                <w:szCs w:val="21"/>
                <w14:ligatures w14:val="none"/>
              </w:rPr>
              <w:t>√</w:t>
            </w:r>
          </w:p>
        </w:tc>
      </w:tr>
      <w:tr w14:paraId="274299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35" w:type="pct"/>
            <w:vAlign w:val="center"/>
          </w:tcPr>
          <w:p w14:paraId="6D00D4B9">
            <w:pPr>
              <w:widowControl/>
              <w:spacing w:line="360" w:lineRule="exact"/>
              <w:jc w:val="center"/>
              <w:textAlignment w:val="baseline"/>
              <w:rPr>
                <w:rFonts w:ascii="Times New Roman" w:hAnsi="Times New Roman" w:eastAsia="宋体" w:cs="Times New Roman"/>
                <w:kern w:val="0"/>
                <w:szCs w:val="21"/>
                <w14:ligatures w14:val="none"/>
              </w:rPr>
            </w:pPr>
            <w:r>
              <w:rPr>
                <w:rFonts w:ascii="Times New Roman" w:hAnsi="Times New Roman" w:eastAsia="宋体" w:cs="Times New Roman"/>
                <w:kern w:val="0"/>
                <w:szCs w:val="21"/>
                <w14:ligatures w14:val="none"/>
              </w:rPr>
              <w:t>8#</w:t>
            </w:r>
          </w:p>
        </w:tc>
        <w:tc>
          <w:tcPr>
            <w:tcW w:w="1519" w:type="pct"/>
            <w:vAlign w:val="center"/>
          </w:tcPr>
          <w:p w14:paraId="53EDBB89">
            <w:pPr>
              <w:widowControl/>
              <w:spacing w:line="360" w:lineRule="exact"/>
              <w:jc w:val="center"/>
              <w:textAlignment w:val="baseline"/>
              <w:rPr>
                <w:rFonts w:ascii="Times New Roman" w:hAnsi="Times New Roman" w:eastAsia="宋体" w:cs="Times New Roman"/>
                <w:kern w:val="0"/>
                <w:szCs w:val="21"/>
                <w14:ligatures w14:val="none"/>
              </w:rPr>
            </w:pPr>
            <w:r>
              <w:rPr>
                <w:rFonts w:ascii="Times New Roman" w:hAnsi="Times New Roman" w:eastAsia="宋体" w:cs="Times New Roman"/>
                <w:kern w:val="0"/>
                <w:szCs w:val="21"/>
                <w14:ligatures w14:val="none"/>
              </w:rPr>
              <w:t>109°15′13.00″,23°42′8.07″</w:t>
            </w:r>
          </w:p>
        </w:tc>
        <w:tc>
          <w:tcPr>
            <w:tcW w:w="881" w:type="pct"/>
            <w:vAlign w:val="center"/>
          </w:tcPr>
          <w:p w14:paraId="62405A33">
            <w:pPr>
              <w:widowControl/>
              <w:spacing w:line="360" w:lineRule="exact"/>
              <w:jc w:val="center"/>
              <w:textAlignment w:val="baseline"/>
              <w:rPr>
                <w:rFonts w:ascii="Times New Roman" w:hAnsi="Times New Roman" w:eastAsia="宋体" w:cs="Times New Roman"/>
                <w:b/>
                <w:bCs/>
                <w:kern w:val="0"/>
                <w:szCs w:val="21"/>
                <w14:ligatures w14:val="none"/>
              </w:rPr>
            </w:pPr>
          </w:p>
        </w:tc>
        <w:tc>
          <w:tcPr>
            <w:tcW w:w="652" w:type="pct"/>
            <w:vAlign w:val="center"/>
          </w:tcPr>
          <w:p w14:paraId="59D131CA">
            <w:pPr>
              <w:widowControl/>
              <w:spacing w:line="360" w:lineRule="exact"/>
              <w:jc w:val="center"/>
              <w:textAlignment w:val="baseline"/>
              <w:rPr>
                <w:rFonts w:ascii="Times New Roman" w:hAnsi="Times New Roman" w:eastAsia="宋体" w:cs="Times New Roman"/>
                <w:b/>
                <w:bCs/>
                <w:kern w:val="0"/>
                <w:szCs w:val="21"/>
                <w14:ligatures w14:val="none"/>
              </w:rPr>
            </w:pPr>
          </w:p>
        </w:tc>
        <w:tc>
          <w:tcPr>
            <w:tcW w:w="391" w:type="pct"/>
          </w:tcPr>
          <w:p w14:paraId="496FF55D">
            <w:pPr>
              <w:widowControl/>
              <w:spacing w:line="360" w:lineRule="exact"/>
              <w:jc w:val="center"/>
              <w:textAlignment w:val="baseline"/>
              <w:rPr>
                <w:rFonts w:ascii="Times New Roman" w:hAnsi="Times New Roman" w:eastAsia="宋体" w:cs="Times New Roman"/>
                <w:b/>
                <w:bCs/>
                <w:kern w:val="0"/>
                <w:szCs w:val="21"/>
                <w14:ligatures w14:val="none"/>
              </w:rPr>
            </w:pPr>
          </w:p>
        </w:tc>
        <w:tc>
          <w:tcPr>
            <w:tcW w:w="606" w:type="pct"/>
            <w:vAlign w:val="center"/>
          </w:tcPr>
          <w:p w14:paraId="6724C899">
            <w:pPr>
              <w:autoSpaceDE w:val="0"/>
              <w:autoSpaceDN w:val="0"/>
              <w:spacing w:line="320" w:lineRule="exact"/>
              <w:jc w:val="center"/>
              <w:rPr>
                <w:rFonts w:ascii="Times New Roman" w:hAnsi="Times New Roman" w:eastAsia="宋体" w:cs="Times New Roman"/>
                <w:szCs w:val="21"/>
                <w14:ligatures w14:val="none"/>
              </w:rPr>
            </w:pPr>
          </w:p>
        </w:tc>
        <w:tc>
          <w:tcPr>
            <w:tcW w:w="513" w:type="pct"/>
            <w:vAlign w:val="center"/>
          </w:tcPr>
          <w:p w14:paraId="0930914B">
            <w:pPr>
              <w:autoSpaceDE w:val="0"/>
              <w:autoSpaceDN w:val="0"/>
              <w:spacing w:line="320" w:lineRule="exact"/>
              <w:jc w:val="center"/>
              <w:rPr>
                <w:rFonts w:ascii="Times New Roman" w:hAnsi="Times New Roman" w:eastAsia="宋体" w:cs="Times New Roman"/>
                <w:szCs w:val="21"/>
                <w14:ligatures w14:val="none"/>
              </w:rPr>
            </w:pPr>
            <w:r>
              <w:rPr>
                <w:rFonts w:ascii="Times New Roman" w:hAnsi="Times New Roman" w:eastAsia="宋体" w:cs="Times New Roman"/>
                <w:szCs w:val="21"/>
                <w14:ligatures w14:val="none"/>
              </w:rPr>
              <w:t>√</w:t>
            </w:r>
          </w:p>
        </w:tc>
      </w:tr>
      <w:tr w14:paraId="11EC4D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35" w:type="pct"/>
            <w:vAlign w:val="center"/>
          </w:tcPr>
          <w:p w14:paraId="4105BB40">
            <w:pPr>
              <w:widowControl/>
              <w:spacing w:line="360" w:lineRule="exact"/>
              <w:jc w:val="center"/>
              <w:textAlignment w:val="baseline"/>
              <w:rPr>
                <w:rFonts w:ascii="Times New Roman" w:hAnsi="Times New Roman" w:eastAsia="宋体" w:cs="Times New Roman"/>
                <w:kern w:val="0"/>
                <w:szCs w:val="21"/>
                <w14:ligatures w14:val="none"/>
              </w:rPr>
            </w:pPr>
            <w:r>
              <w:rPr>
                <w:rFonts w:ascii="Times New Roman" w:hAnsi="Times New Roman" w:eastAsia="宋体" w:cs="Times New Roman"/>
                <w:kern w:val="0"/>
                <w:szCs w:val="21"/>
                <w14:ligatures w14:val="none"/>
              </w:rPr>
              <w:t>9#</w:t>
            </w:r>
          </w:p>
        </w:tc>
        <w:tc>
          <w:tcPr>
            <w:tcW w:w="1519" w:type="pct"/>
            <w:noWrap/>
            <w:vAlign w:val="center"/>
          </w:tcPr>
          <w:p w14:paraId="13ED645D">
            <w:pPr>
              <w:widowControl/>
              <w:spacing w:line="360" w:lineRule="exact"/>
              <w:jc w:val="center"/>
              <w:textAlignment w:val="baseline"/>
              <w:rPr>
                <w:rFonts w:ascii="Times New Roman" w:hAnsi="Times New Roman" w:eastAsia="宋体" w:cs="Times New Roman"/>
                <w:kern w:val="0"/>
                <w:szCs w:val="21"/>
                <w14:ligatures w14:val="none"/>
              </w:rPr>
            </w:pPr>
            <w:r>
              <w:rPr>
                <w:rFonts w:ascii="Times New Roman" w:hAnsi="Times New Roman" w:eastAsia="宋体" w:cs="Times New Roman"/>
                <w:kern w:val="0"/>
                <w:szCs w:val="21"/>
                <w14:ligatures w14:val="none"/>
              </w:rPr>
              <w:t>109°19′7.41″,23°41′40.69″</w:t>
            </w:r>
          </w:p>
        </w:tc>
        <w:tc>
          <w:tcPr>
            <w:tcW w:w="881" w:type="pct"/>
            <w:noWrap/>
            <w:vAlign w:val="center"/>
          </w:tcPr>
          <w:p w14:paraId="152FFCA9">
            <w:pPr>
              <w:widowControl/>
              <w:spacing w:line="360" w:lineRule="exact"/>
              <w:jc w:val="center"/>
              <w:textAlignment w:val="baseline"/>
              <w:rPr>
                <w:rFonts w:ascii="Times New Roman" w:hAnsi="Times New Roman" w:eastAsia="宋体" w:cs="Times New Roman"/>
                <w:b/>
                <w:bCs/>
                <w:kern w:val="0"/>
                <w:szCs w:val="21"/>
                <w14:ligatures w14:val="none"/>
              </w:rPr>
            </w:pPr>
          </w:p>
        </w:tc>
        <w:tc>
          <w:tcPr>
            <w:tcW w:w="652" w:type="pct"/>
            <w:noWrap/>
            <w:vAlign w:val="center"/>
          </w:tcPr>
          <w:p w14:paraId="6CFC8DB3">
            <w:pPr>
              <w:widowControl/>
              <w:spacing w:line="360" w:lineRule="exact"/>
              <w:jc w:val="center"/>
              <w:textAlignment w:val="baseline"/>
              <w:rPr>
                <w:rFonts w:ascii="Times New Roman" w:hAnsi="Times New Roman" w:eastAsia="宋体" w:cs="Times New Roman"/>
                <w:b/>
                <w:bCs/>
                <w:kern w:val="0"/>
                <w:szCs w:val="21"/>
                <w14:ligatures w14:val="none"/>
              </w:rPr>
            </w:pPr>
          </w:p>
        </w:tc>
        <w:tc>
          <w:tcPr>
            <w:tcW w:w="391" w:type="pct"/>
            <w:noWrap/>
          </w:tcPr>
          <w:p w14:paraId="2FD4EF9C">
            <w:pPr>
              <w:widowControl/>
              <w:spacing w:line="360" w:lineRule="exact"/>
              <w:jc w:val="center"/>
              <w:textAlignment w:val="baseline"/>
              <w:rPr>
                <w:rFonts w:ascii="Times New Roman" w:hAnsi="Times New Roman" w:eastAsia="宋体" w:cs="Times New Roman"/>
                <w:b/>
                <w:bCs/>
                <w:kern w:val="0"/>
                <w:szCs w:val="21"/>
                <w14:ligatures w14:val="none"/>
              </w:rPr>
            </w:pPr>
          </w:p>
        </w:tc>
        <w:tc>
          <w:tcPr>
            <w:tcW w:w="606" w:type="pct"/>
            <w:noWrap/>
            <w:vAlign w:val="center"/>
          </w:tcPr>
          <w:p w14:paraId="16F8F696">
            <w:pPr>
              <w:autoSpaceDE w:val="0"/>
              <w:autoSpaceDN w:val="0"/>
              <w:spacing w:line="320" w:lineRule="exact"/>
              <w:jc w:val="center"/>
              <w:rPr>
                <w:rFonts w:ascii="Times New Roman" w:hAnsi="Times New Roman" w:eastAsia="宋体" w:cs="Times New Roman"/>
                <w:szCs w:val="21"/>
                <w14:ligatures w14:val="none"/>
              </w:rPr>
            </w:pPr>
          </w:p>
        </w:tc>
        <w:tc>
          <w:tcPr>
            <w:tcW w:w="513" w:type="pct"/>
            <w:noWrap/>
            <w:vAlign w:val="center"/>
          </w:tcPr>
          <w:p w14:paraId="681893D5">
            <w:pPr>
              <w:autoSpaceDE w:val="0"/>
              <w:autoSpaceDN w:val="0"/>
              <w:spacing w:line="320" w:lineRule="exact"/>
              <w:jc w:val="center"/>
              <w:rPr>
                <w:rFonts w:ascii="Times New Roman" w:hAnsi="Times New Roman" w:eastAsia="宋体" w:cs="Times New Roman"/>
                <w:szCs w:val="21"/>
                <w14:ligatures w14:val="none"/>
              </w:rPr>
            </w:pPr>
            <w:r>
              <w:rPr>
                <w:rFonts w:ascii="Times New Roman" w:hAnsi="Times New Roman" w:eastAsia="宋体" w:cs="Times New Roman"/>
                <w:szCs w:val="21"/>
                <w14:ligatures w14:val="none"/>
              </w:rPr>
              <w:t>√</w:t>
            </w:r>
          </w:p>
        </w:tc>
      </w:tr>
      <w:tr w14:paraId="03511A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35" w:type="pct"/>
            <w:vAlign w:val="center"/>
          </w:tcPr>
          <w:p w14:paraId="3159F91D">
            <w:pPr>
              <w:widowControl/>
              <w:spacing w:line="360" w:lineRule="exact"/>
              <w:jc w:val="center"/>
              <w:textAlignment w:val="baseline"/>
              <w:rPr>
                <w:rFonts w:ascii="Times New Roman" w:hAnsi="Times New Roman" w:eastAsia="宋体" w:cs="Times New Roman"/>
                <w:kern w:val="0"/>
                <w:szCs w:val="21"/>
                <w14:ligatures w14:val="none"/>
              </w:rPr>
            </w:pPr>
            <w:r>
              <w:rPr>
                <w:rFonts w:ascii="Times New Roman" w:hAnsi="Times New Roman" w:eastAsia="宋体" w:cs="Times New Roman"/>
                <w:kern w:val="0"/>
                <w:szCs w:val="21"/>
                <w14:ligatures w14:val="none"/>
              </w:rPr>
              <w:t>10#</w:t>
            </w:r>
          </w:p>
        </w:tc>
        <w:tc>
          <w:tcPr>
            <w:tcW w:w="1519" w:type="pct"/>
            <w:vAlign w:val="center"/>
          </w:tcPr>
          <w:p w14:paraId="63B69CBC">
            <w:pPr>
              <w:widowControl/>
              <w:spacing w:line="360" w:lineRule="exact"/>
              <w:jc w:val="center"/>
              <w:textAlignment w:val="baseline"/>
              <w:rPr>
                <w:rFonts w:ascii="Times New Roman" w:hAnsi="Times New Roman" w:eastAsia="宋体" w:cs="Times New Roman"/>
                <w:kern w:val="0"/>
                <w:szCs w:val="21"/>
                <w14:ligatures w14:val="none"/>
              </w:rPr>
            </w:pPr>
            <w:r>
              <w:rPr>
                <w:rFonts w:ascii="Times New Roman" w:hAnsi="Times New Roman" w:eastAsia="宋体" w:cs="Times New Roman"/>
                <w:kern w:val="0"/>
                <w:szCs w:val="21"/>
                <w14:ligatures w14:val="none"/>
              </w:rPr>
              <w:t>109°22′1.80″,23°43′1.67″</w:t>
            </w:r>
          </w:p>
        </w:tc>
        <w:tc>
          <w:tcPr>
            <w:tcW w:w="881" w:type="pct"/>
            <w:vAlign w:val="center"/>
          </w:tcPr>
          <w:p w14:paraId="6FA7B1E9">
            <w:pPr>
              <w:widowControl/>
              <w:spacing w:line="360" w:lineRule="exact"/>
              <w:jc w:val="center"/>
              <w:textAlignment w:val="baseline"/>
              <w:rPr>
                <w:rFonts w:ascii="Times New Roman" w:hAnsi="Times New Roman" w:eastAsia="宋体" w:cs="Times New Roman"/>
                <w:b/>
                <w:bCs/>
                <w:kern w:val="0"/>
                <w:szCs w:val="21"/>
                <w14:ligatures w14:val="none"/>
              </w:rPr>
            </w:pPr>
          </w:p>
        </w:tc>
        <w:tc>
          <w:tcPr>
            <w:tcW w:w="652" w:type="pct"/>
            <w:vAlign w:val="center"/>
          </w:tcPr>
          <w:p w14:paraId="0F611AC7">
            <w:pPr>
              <w:widowControl/>
              <w:spacing w:line="360" w:lineRule="exact"/>
              <w:jc w:val="center"/>
              <w:textAlignment w:val="baseline"/>
              <w:rPr>
                <w:rFonts w:ascii="Times New Roman" w:hAnsi="Times New Roman" w:eastAsia="宋体" w:cs="Times New Roman"/>
                <w:b/>
                <w:bCs/>
                <w:kern w:val="0"/>
                <w:szCs w:val="21"/>
                <w14:ligatures w14:val="none"/>
              </w:rPr>
            </w:pPr>
          </w:p>
        </w:tc>
        <w:tc>
          <w:tcPr>
            <w:tcW w:w="391" w:type="pct"/>
          </w:tcPr>
          <w:p w14:paraId="1B4D03C3">
            <w:pPr>
              <w:widowControl/>
              <w:spacing w:line="360" w:lineRule="exact"/>
              <w:jc w:val="center"/>
              <w:textAlignment w:val="baseline"/>
              <w:rPr>
                <w:rFonts w:ascii="Times New Roman" w:hAnsi="Times New Roman" w:eastAsia="宋体" w:cs="Times New Roman"/>
                <w:b/>
                <w:bCs/>
                <w:kern w:val="0"/>
                <w:szCs w:val="21"/>
                <w14:ligatures w14:val="none"/>
              </w:rPr>
            </w:pPr>
          </w:p>
        </w:tc>
        <w:tc>
          <w:tcPr>
            <w:tcW w:w="606" w:type="pct"/>
            <w:vAlign w:val="center"/>
          </w:tcPr>
          <w:p w14:paraId="7495FD8B">
            <w:pPr>
              <w:autoSpaceDE w:val="0"/>
              <w:autoSpaceDN w:val="0"/>
              <w:spacing w:line="320" w:lineRule="exact"/>
              <w:jc w:val="center"/>
              <w:rPr>
                <w:rFonts w:ascii="Times New Roman" w:hAnsi="Times New Roman" w:eastAsia="宋体" w:cs="Times New Roman"/>
                <w:szCs w:val="21"/>
                <w14:ligatures w14:val="none"/>
              </w:rPr>
            </w:pPr>
          </w:p>
        </w:tc>
        <w:tc>
          <w:tcPr>
            <w:tcW w:w="513" w:type="pct"/>
            <w:vAlign w:val="center"/>
          </w:tcPr>
          <w:p w14:paraId="392CB60E">
            <w:pPr>
              <w:autoSpaceDE w:val="0"/>
              <w:autoSpaceDN w:val="0"/>
              <w:spacing w:line="320" w:lineRule="exact"/>
              <w:jc w:val="center"/>
              <w:rPr>
                <w:rFonts w:ascii="Times New Roman" w:hAnsi="Times New Roman" w:eastAsia="宋体" w:cs="Times New Roman"/>
                <w:szCs w:val="21"/>
                <w14:ligatures w14:val="none"/>
              </w:rPr>
            </w:pPr>
            <w:r>
              <w:rPr>
                <w:rFonts w:ascii="Times New Roman" w:hAnsi="Times New Roman" w:eastAsia="宋体" w:cs="Times New Roman"/>
                <w:szCs w:val="21"/>
                <w14:ligatures w14:val="none"/>
              </w:rPr>
              <w:t>√</w:t>
            </w:r>
          </w:p>
        </w:tc>
      </w:tr>
      <w:tr w14:paraId="12F5E6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35" w:type="pct"/>
            <w:vAlign w:val="center"/>
          </w:tcPr>
          <w:p w14:paraId="59845470">
            <w:pPr>
              <w:widowControl/>
              <w:spacing w:line="360" w:lineRule="exact"/>
              <w:jc w:val="center"/>
              <w:textAlignment w:val="baseline"/>
              <w:rPr>
                <w:rFonts w:ascii="Times New Roman" w:hAnsi="Times New Roman" w:eastAsia="宋体" w:cs="Times New Roman"/>
                <w:kern w:val="0"/>
                <w:szCs w:val="21"/>
                <w14:ligatures w14:val="none"/>
              </w:rPr>
            </w:pPr>
            <w:r>
              <w:rPr>
                <w:rFonts w:ascii="Times New Roman" w:hAnsi="Times New Roman" w:eastAsia="宋体" w:cs="Times New Roman"/>
                <w:kern w:val="0"/>
                <w:szCs w:val="21"/>
                <w14:ligatures w14:val="none"/>
              </w:rPr>
              <w:t>11#</w:t>
            </w:r>
          </w:p>
        </w:tc>
        <w:tc>
          <w:tcPr>
            <w:tcW w:w="1519" w:type="pct"/>
            <w:vAlign w:val="center"/>
          </w:tcPr>
          <w:p w14:paraId="44A83D4F">
            <w:pPr>
              <w:widowControl/>
              <w:spacing w:line="360" w:lineRule="exact"/>
              <w:jc w:val="center"/>
              <w:textAlignment w:val="baseline"/>
              <w:rPr>
                <w:rFonts w:ascii="Times New Roman" w:hAnsi="Times New Roman" w:eastAsia="宋体" w:cs="Times New Roman"/>
                <w:kern w:val="0"/>
                <w:szCs w:val="21"/>
                <w14:ligatures w14:val="none"/>
              </w:rPr>
            </w:pPr>
            <w:r>
              <w:rPr>
                <w:rFonts w:ascii="Times New Roman" w:hAnsi="Times New Roman" w:eastAsia="宋体" w:cs="Times New Roman"/>
                <w:kern w:val="0"/>
                <w:szCs w:val="21"/>
                <w14:ligatures w14:val="none"/>
              </w:rPr>
              <w:t>109°25′38.72″,23°44′27.82″</w:t>
            </w:r>
          </w:p>
        </w:tc>
        <w:tc>
          <w:tcPr>
            <w:tcW w:w="881" w:type="pct"/>
            <w:vAlign w:val="center"/>
          </w:tcPr>
          <w:p w14:paraId="0544CA68">
            <w:pPr>
              <w:widowControl/>
              <w:spacing w:line="360" w:lineRule="exact"/>
              <w:jc w:val="center"/>
              <w:textAlignment w:val="baseline"/>
              <w:rPr>
                <w:rFonts w:ascii="Times New Roman" w:hAnsi="Times New Roman" w:eastAsia="宋体" w:cs="Times New Roman"/>
                <w:b/>
                <w:bCs/>
                <w:kern w:val="0"/>
                <w:szCs w:val="21"/>
                <w14:ligatures w14:val="none"/>
              </w:rPr>
            </w:pPr>
            <w:r>
              <w:rPr>
                <w:rFonts w:ascii="Times New Roman" w:hAnsi="Times New Roman" w:eastAsia="宋体" w:cs="Times New Roman"/>
                <w:szCs w:val="21"/>
                <w14:ligatures w14:val="none"/>
              </w:rPr>
              <w:t>√</w:t>
            </w:r>
          </w:p>
        </w:tc>
        <w:tc>
          <w:tcPr>
            <w:tcW w:w="652" w:type="pct"/>
            <w:vAlign w:val="center"/>
          </w:tcPr>
          <w:p w14:paraId="3B15AEEE">
            <w:pPr>
              <w:widowControl/>
              <w:spacing w:line="360" w:lineRule="exact"/>
              <w:jc w:val="center"/>
              <w:textAlignment w:val="baseline"/>
              <w:rPr>
                <w:rFonts w:ascii="Times New Roman" w:hAnsi="Times New Roman" w:eastAsia="宋体" w:cs="Times New Roman"/>
                <w:b/>
                <w:bCs/>
                <w:kern w:val="0"/>
                <w:szCs w:val="21"/>
                <w14:ligatures w14:val="none"/>
              </w:rPr>
            </w:pPr>
            <w:r>
              <w:rPr>
                <w:rFonts w:ascii="Times New Roman" w:hAnsi="Times New Roman" w:eastAsia="宋体" w:cs="Times New Roman"/>
                <w:szCs w:val="21"/>
                <w14:ligatures w14:val="none"/>
              </w:rPr>
              <w:t>√</w:t>
            </w:r>
          </w:p>
        </w:tc>
        <w:tc>
          <w:tcPr>
            <w:tcW w:w="391" w:type="pct"/>
          </w:tcPr>
          <w:p w14:paraId="49E4AE50">
            <w:pPr>
              <w:widowControl/>
              <w:spacing w:line="360" w:lineRule="exact"/>
              <w:jc w:val="center"/>
              <w:textAlignment w:val="baseline"/>
              <w:rPr>
                <w:rFonts w:ascii="Times New Roman" w:hAnsi="Times New Roman" w:eastAsia="宋体" w:cs="Times New Roman"/>
                <w:b/>
                <w:bCs/>
                <w:kern w:val="0"/>
                <w:szCs w:val="21"/>
                <w14:ligatures w14:val="none"/>
              </w:rPr>
            </w:pPr>
            <w:r>
              <w:rPr>
                <w:rFonts w:ascii="Times New Roman" w:hAnsi="Times New Roman" w:eastAsia="宋体" w:cs="Times New Roman"/>
                <w:szCs w:val="21"/>
                <w14:ligatures w14:val="none"/>
              </w:rPr>
              <w:t>√</w:t>
            </w:r>
          </w:p>
        </w:tc>
        <w:tc>
          <w:tcPr>
            <w:tcW w:w="606" w:type="pct"/>
            <w:vAlign w:val="center"/>
          </w:tcPr>
          <w:p w14:paraId="65000256">
            <w:pPr>
              <w:autoSpaceDE w:val="0"/>
              <w:autoSpaceDN w:val="0"/>
              <w:spacing w:line="320" w:lineRule="exact"/>
              <w:jc w:val="center"/>
              <w:rPr>
                <w:rFonts w:ascii="Times New Roman" w:hAnsi="Times New Roman" w:eastAsia="宋体" w:cs="Times New Roman"/>
                <w:szCs w:val="21"/>
                <w14:ligatures w14:val="none"/>
              </w:rPr>
            </w:pPr>
            <w:r>
              <w:rPr>
                <w:rFonts w:ascii="Times New Roman" w:hAnsi="Times New Roman" w:eastAsia="宋体" w:cs="Times New Roman"/>
                <w:szCs w:val="21"/>
                <w14:ligatures w14:val="none"/>
              </w:rPr>
              <w:t>√</w:t>
            </w:r>
          </w:p>
        </w:tc>
        <w:tc>
          <w:tcPr>
            <w:tcW w:w="513" w:type="pct"/>
            <w:vAlign w:val="center"/>
          </w:tcPr>
          <w:p w14:paraId="4C667DD3">
            <w:pPr>
              <w:autoSpaceDE w:val="0"/>
              <w:autoSpaceDN w:val="0"/>
              <w:spacing w:line="320" w:lineRule="exact"/>
              <w:jc w:val="center"/>
              <w:rPr>
                <w:rFonts w:ascii="Times New Roman" w:hAnsi="Times New Roman" w:eastAsia="宋体" w:cs="Times New Roman"/>
                <w:szCs w:val="21"/>
                <w14:ligatures w14:val="none"/>
              </w:rPr>
            </w:pPr>
            <w:r>
              <w:rPr>
                <w:rFonts w:ascii="Times New Roman" w:hAnsi="Times New Roman" w:eastAsia="宋体" w:cs="Times New Roman"/>
                <w:szCs w:val="21"/>
                <w14:ligatures w14:val="none"/>
              </w:rPr>
              <w:t>√</w:t>
            </w:r>
          </w:p>
        </w:tc>
      </w:tr>
      <w:tr w14:paraId="202CFA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35" w:type="pct"/>
            <w:vAlign w:val="center"/>
          </w:tcPr>
          <w:p w14:paraId="7E9EC785">
            <w:pPr>
              <w:widowControl/>
              <w:spacing w:line="360" w:lineRule="exact"/>
              <w:jc w:val="center"/>
              <w:textAlignment w:val="baseline"/>
              <w:rPr>
                <w:rFonts w:ascii="Times New Roman" w:hAnsi="Times New Roman" w:eastAsia="宋体" w:cs="Times New Roman"/>
                <w:kern w:val="0"/>
                <w:szCs w:val="21"/>
                <w14:ligatures w14:val="none"/>
              </w:rPr>
            </w:pPr>
            <w:r>
              <w:rPr>
                <w:rFonts w:ascii="Times New Roman" w:hAnsi="Times New Roman" w:eastAsia="宋体" w:cs="Times New Roman"/>
                <w:kern w:val="0"/>
                <w:szCs w:val="21"/>
                <w14:ligatures w14:val="none"/>
              </w:rPr>
              <w:t>12#</w:t>
            </w:r>
          </w:p>
        </w:tc>
        <w:tc>
          <w:tcPr>
            <w:tcW w:w="1519" w:type="pct"/>
            <w:noWrap/>
            <w:vAlign w:val="center"/>
          </w:tcPr>
          <w:p w14:paraId="2C592943">
            <w:pPr>
              <w:widowControl/>
              <w:spacing w:line="360" w:lineRule="exact"/>
              <w:jc w:val="center"/>
              <w:textAlignment w:val="baseline"/>
              <w:rPr>
                <w:rFonts w:ascii="Times New Roman" w:hAnsi="Times New Roman" w:eastAsia="宋体" w:cs="Times New Roman"/>
                <w:kern w:val="0"/>
                <w:szCs w:val="21"/>
                <w14:ligatures w14:val="none"/>
              </w:rPr>
            </w:pPr>
            <w:r>
              <w:rPr>
                <w:rFonts w:ascii="Times New Roman" w:hAnsi="Times New Roman" w:eastAsia="宋体" w:cs="Times New Roman"/>
                <w:kern w:val="0"/>
                <w:szCs w:val="21"/>
                <w14:ligatures w14:val="none"/>
              </w:rPr>
              <w:t>109°29′54.86″,23°47′1.38″</w:t>
            </w:r>
          </w:p>
        </w:tc>
        <w:tc>
          <w:tcPr>
            <w:tcW w:w="881" w:type="pct"/>
            <w:noWrap/>
            <w:vAlign w:val="center"/>
          </w:tcPr>
          <w:p w14:paraId="7390B133">
            <w:pPr>
              <w:widowControl/>
              <w:spacing w:line="360" w:lineRule="exact"/>
              <w:jc w:val="center"/>
              <w:textAlignment w:val="baseline"/>
              <w:rPr>
                <w:rFonts w:ascii="Times New Roman" w:hAnsi="Times New Roman" w:eastAsia="宋体" w:cs="Times New Roman"/>
                <w:b/>
                <w:bCs/>
                <w:kern w:val="0"/>
                <w:szCs w:val="21"/>
                <w14:ligatures w14:val="none"/>
              </w:rPr>
            </w:pPr>
            <w:r>
              <w:rPr>
                <w:rFonts w:ascii="Times New Roman" w:hAnsi="Times New Roman" w:eastAsia="宋体" w:cs="Times New Roman"/>
                <w:szCs w:val="21"/>
                <w14:ligatures w14:val="none"/>
              </w:rPr>
              <w:t>√</w:t>
            </w:r>
          </w:p>
        </w:tc>
        <w:tc>
          <w:tcPr>
            <w:tcW w:w="652" w:type="pct"/>
            <w:noWrap/>
            <w:vAlign w:val="center"/>
          </w:tcPr>
          <w:p w14:paraId="10EAE4C5">
            <w:pPr>
              <w:widowControl/>
              <w:spacing w:line="360" w:lineRule="exact"/>
              <w:jc w:val="center"/>
              <w:textAlignment w:val="baseline"/>
              <w:rPr>
                <w:rFonts w:ascii="Times New Roman" w:hAnsi="Times New Roman" w:eastAsia="宋体" w:cs="Times New Roman"/>
                <w:b/>
                <w:bCs/>
                <w:kern w:val="0"/>
                <w:szCs w:val="21"/>
                <w14:ligatures w14:val="none"/>
              </w:rPr>
            </w:pPr>
            <w:r>
              <w:rPr>
                <w:rFonts w:ascii="Times New Roman" w:hAnsi="Times New Roman" w:eastAsia="宋体" w:cs="Times New Roman"/>
                <w:szCs w:val="21"/>
                <w14:ligatures w14:val="none"/>
              </w:rPr>
              <w:t>√</w:t>
            </w:r>
          </w:p>
        </w:tc>
        <w:tc>
          <w:tcPr>
            <w:tcW w:w="391" w:type="pct"/>
            <w:noWrap/>
          </w:tcPr>
          <w:p w14:paraId="1E571B22">
            <w:pPr>
              <w:widowControl/>
              <w:spacing w:line="360" w:lineRule="exact"/>
              <w:jc w:val="center"/>
              <w:textAlignment w:val="baseline"/>
              <w:rPr>
                <w:rFonts w:ascii="Times New Roman" w:hAnsi="Times New Roman" w:eastAsia="宋体" w:cs="Times New Roman"/>
                <w:b/>
                <w:bCs/>
                <w:kern w:val="0"/>
                <w:szCs w:val="21"/>
                <w14:ligatures w14:val="none"/>
              </w:rPr>
            </w:pPr>
            <w:r>
              <w:rPr>
                <w:rFonts w:ascii="Times New Roman" w:hAnsi="Times New Roman" w:eastAsia="宋体" w:cs="Times New Roman"/>
                <w:szCs w:val="21"/>
                <w14:ligatures w14:val="none"/>
              </w:rPr>
              <w:t>√</w:t>
            </w:r>
          </w:p>
        </w:tc>
        <w:tc>
          <w:tcPr>
            <w:tcW w:w="606" w:type="pct"/>
            <w:noWrap/>
            <w:vAlign w:val="center"/>
          </w:tcPr>
          <w:p w14:paraId="0EB8985C">
            <w:pPr>
              <w:autoSpaceDE w:val="0"/>
              <w:autoSpaceDN w:val="0"/>
              <w:spacing w:line="320" w:lineRule="exact"/>
              <w:jc w:val="center"/>
              <w:rPr>
                <w:rFonts w:ascii="Times New Roman" w:hAnsi="Times New Roman" w:eastAsia="宋体" w:cs="Times New Roman"/>
                <w:szCs w:val="21"/>
                <w14:ligatures w14:val="none"/>
              </w:rPr>
            </w:pPr>
            <w:r>
              <w:rPr>
                <w:rFonts w:ascii="Times New Roman" w:hAnsi="Times New Roman" w:eastAsia="宋体" w:cs="Times New Roman"/>
                <w:szCs w:val="21"/>
                <w14:ligatures w14:val="none"/>
              </w:rPr>
              <w:t>√</w:t>
            </w:r>
          </w:p>
        </w:tc>
        <w:tc>
          <w:tcPr>
            <w:tcW w:w="513" w:type="pct"/>
            <w:noWrap/>
            <w:vAlign w:val="center"/>
          </w:tcPr>
          <w:p w14:paraId="5AB9ACF4">
            <w:pPr>
              <w:autoSpaceDE w:val="0"/>
              <w:autoSpaceDN w:val="0"/>
              <w:spacing w:line="320" w:lineRule="exact"/>
              <w:jc w:val="center"/>
              <w:rPr>
                <w:rFonts w:ascii="Times New Roman" w:hAnsi="Times New Roman" w:eastAsia="宋体" w:cs="Times New Roman"/>
                <w:szCs w:val="21"/>
                <w14:ligatures w14:val="none"/>
              </w:rPr>
            </w:pPr>
            <w:r>
              <w:rPr>
                <w:rFonts w:ascii="Times New Roman" w:hAnsi="Times New Roman" w:eastAsia="宋体" w:cs="Times New Roman"/>
                <w:szCs w:val="21"/>
                <w14:ligatures w14:val="none"/>
              </w:rPr>
              <w:t>√</w:t>
            </w:r>
          </w:p>
        </w:tc>
      </w:tr>
    </w:tbl>
    <w:p w14:paraId="78A38B0C">
      <w:pPr>
        <w:autoSpaceDE w:val="0"/>
        <w:autoSpaceDN w:val="0"/>
        <w:jc w:val="left"/>
        <w:rPr>
          <w:rFonts w:ascii="Times New Roman" w:hAnsi="Times New Roman" w:eastAsia="宋体" w:cs="Times New Roman"/>
          <w:b/>
          <w:bCs/>
          <w:color w:val="0000FF"/>
          <w:szCs w:val="21"/>
          <w14:ligatures w14:val="none"/>
        </w:rPr>
      </w:pPr>
    </w:p>
    <w:p w14:paraId="351A3E9A">
      <w:pPr>
        <w:autoSpaceDE w:val="0"/>
        <w:autoSpaceDN w:val="0"/>
        <w:adjustRightInd w:val="0"/>
        <w:snapToGrid w:val="0"/>
        <w:jc w:val="center"/>
        <w:rPr>
          <w:rFonts w:ascii="Times New Roman" w:hAnsi="Times New Roman" w:eastAsia="宋体" w:cs="Times New Roman"/>
          <w:b/>
          <w:bCs/>
          <w:color w:val="0000FF"/>
          <w:szCs w:val="21"/>
          <w14:ligatures w14:val="none"/>
        </w:rPr>
      </w:pPr>
      <w:r>
        <w:drawing>
          <wp:inline distT="0" distB="0" distL="114300" distR="114300">
            <wp:extent cx="5504180" cy="3002280"/>
            <wp:effectExtent l="0" t="0" r="1270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1"/>
                    <a:stretch>
                      <a:fillRect/>
                    </a:stretch>
                  </pic:blipFill>
                  <pic:spPr>
                    <a:xfrm>
                      <a:off x="0" y="0"/>
                      <a:ext cx="5504180" cy="3002280"/>
                    </a:xfrm>
                    <a:prstGeom prst="rect">
                      <a:avLst/>
                    </a:prstGeom>
                    <a:noFill/>
                    <a:ln>
                      <a:noFill/>
                    </a:ln>
                  </pic:spPr>
                </pic:pic>
              </a:graphicData>
            </a:graphic>
          </wp:inline>
        </w:drawing>
      </w:r>
    </w:p>
    <w:p w14:paraId="4AE05B82">
      <w:pPr>
        <w:autoSpaceDE w:val="0"/>
        <w:autoSpaceDN w:val="0"/>
        <w:adjustRightInd w:val="0"/>
        <w:snapToGrid w:val="0"/>
        <w:jc w:val="center"/>
        <w:rPr>
          <w:rFonts w:ascii="Times New Roman" w:hAnsi="Times New Roman" w:eastAsia="宋体" w:cs="Times New Roman"/>
          <w:b/>
          <w:bCs/>
          <w:szCs w:val="21"/>
          <w14:ligatures w14:val="none"/>
        </w:rPr>
      </w:pPr>
      <w:r>
        <w:rPr>
          <w:rFonts w:ascii="Times New Roman" w:hAnsi="Times New Roman" w:eastAsia="宋体" w:cs="Times New Roman"/>
          <w:b/>
          <w:bCs/>
          <w:szCs w:val="21"/>
          <w14:ligatures w14:val="none"/>
        </w:rPr>
        <w:t>图</w:t>
      </w:r>
      <w:r>
        <w:rPr>
          <w:rFonts w:hint="eastAsia" w:ascii="Times New Roman" w:hAnsi="Times New Roman" w:eastAsia="宋体" w:cs="Times New Roman"/>
          <w:b/>
          <w:bCs/>
          <w:szCs w:val="21"/>
          <w14:ligatures w14:val="none"/>
        </w:rPr>
        <w:t>1</w:t>
      </w:r>
      <w:r>
        <w:rPr>
          <w:rFonts w:ascii="Times New Roman" w:hAnsi="Times New Roman" w:eastAsia="宋体" w:cs="Times New Roman"/>
          <w:b/>
          <w:bCs/>
          <w:szCs w:val="21"/>
          <w14:ligatures w14:val="none"/>
        </w:rPr>
        <w:t xml:space="preserve">  </w:t>
      </w:r>
      <w:r>
        <w:rPr>
          <w:rFonts w:hint="eastAsia" w:ascii="Times New Roman" w:hAnsi="Times New Roman" w:eastAsia="宋体" w:cs="Times New Roman"/>
          <w:b/>
          <w:bCs/>
          <w:szCs w:val="21"/>
          <w14:ligatures w14:val="none"/>
        </w:rPr>
        <w:t>水生</w:t>
      </w:r>
      <w:r>
        <w:rPr>
          <w:rFonts w:ascii="Times New Roman" w:hAnsi="Times New Roman" w:eastAsia="宋体" w:cs="Times New Roman"/>
          <w:b/>
          <w:bCs/>
          <w:szCs w:val="21"/>
          <w14:ligatures w14:val="none"/>
        </w:rPr>
        <w:t>生态环境</w:t>
      </w:r>
      <w:r>
        <w:rPr>
          <w:rFonts w:hint="eastAsia" w:ascii="Times New Roman" w:hAnsi="Times New Roman" w:eastAsia="宋体" w:cs="Times New Roman"/>
          <w:b/>
          <w:bCs/>
          <w:szCs w:val="21"/>
          <w14:ligatures w14:val="none"/>
        </w:rPr>
        <w:t>现状</w:t>
      </w:r>
      <w:r>
        <w:rPr>
          <w:rFonts w:ascii="Times New Roman" w:hAnsi="Times New Roman" w:eastAsia="宋体" w:cs="Times New Roman"/>
          <w:b/>
          <w:bCs/>
          <w:szCs w:val="21"/>
          <w14:ligatures w14:val="none"/>
        </w:rPr>
        <w:t>调查站位图</w:t>
      </w:r>
    </w:p>
    <w:p w14:paraId="763F8BF6">
      <w:pPr>
        <w:widowControl/>
        <w:spacing w:line="360" w:lineRule="auto"/>
        <w:ind w:firstLine="420" w:firstLineChars="200"/>
        <w:rPr>
          <w:rFonts w:hint="eastAsia" w:ascii="宋体" w:hAnsi="宋体" w:cs="宋体"/>
          <w:color w:val="auto"/>
          <w:szCs w:val="21"/>
          <w:highlight w:val="none"/>
          <w:lang w:bidi="ar"/>
        </w:rPr>
      </w:pPr>
    </w:p>
    <w:p w14:paraId="053F3FF8">
      <w:pPr>
        <w:widowControl/>
        <w:spacing w:line="360" w:lineRule="auto"/>
        <w:ind w:firstLine="420" w:firstLineChars="200"/>
        <w:rPr>
          <w:rFonts w:hint="eastAsia" w:ascii="宋体" w:hAnsi="宋体" w:cs="宋体"/>
          <w:color w:val="auto"/>
          <w:szCs w:val="21"/>
          <w:highlight w:val="none"/>
          <w:lang w:bidi="ar"/>
        </w:rPr>
      </w:pPr>
      <w:r>
        <w:rPr>
          <w:rFonts w:hint="eastAsia" w:ascii="宋体" w:hAnsi="宋体" w:cs="宋体"/>
          <w:color w:val="auto"/>
          <w:szCs w:val="21"/>
          <w:highlight w:val="none"/>
          <w:lang w:eastAsia="zh-CN" w:bidi="ar"/>
        </w:rPr>
        <w:t>2</w:t>
      </w:r>
      <w:r>
        <w:rPr>
          <w:rFonts w:hint="eastAsia" w:ascii="宋体" w:hAnsi="宋体" w:cs="宋体"/>
          <w:color w:val="auto"/>
          <w:szCs w:val="21"/>
          <w:highlight w:val="none"/>
          <w:lang w:val="en-US" w:eastAsia="zh-CN" w:bidi="ar"/>
        </w:rPr>
        <w:t>.</w:t>
      </w:r>
      <w:r>
        <w:rPr>
          <w:rFonts w:hint="eastAsia" w:ascii="宋体" w:hAnsi="宋体" w:cs="宋体"/>
          <w:color w:val="auto"/>
          <w:szCs w:val="21"/>
          <w:highlight w:val="none"/>
          <w:lang w:bidi="ar"/>
        </w:rPr>
        <w:t>调查内容</w:t>
      </w:r>
    </w:p>
    <w:p w14:paraId="66712AD8">
      <w:pPr>
        <w:widowControl/>
        <w:spacing w:line="360" w:lineRule="auto"/>
        <w:ind w:firstLine="420" w:firstLineChars="200"/>
        <w:rPr>
          <w:rFonts w:hint="eastAsia" w:ascii="宋体" w:hAnsi="宋体" w:cs="宋体"/>
          <w:color w:val="auto"/>
          <w:szCs w:val="21"/>
          <w:highlight w:val="none"/>
          <w:lang w:bidi="ar"/>
        </w:rPr>
      </w:pPr>
      <w:r>
        <w:rPr>
          <w:rFonts w:hint="eastAsia" w:ascii="宋体" w:hAnsi="宋体" w:cs="宋体"/>
          <w:color w:val="auto"/>
          <w:szCs w:val="21"/>
          <w:highlight w:val="none"/>
          <w:lang w:bidi="ar"/>
        </w:rPr>
        <w:t>①浮游动植物、底栖动物、水生维管束植物等的种群类型、分布、密度和生物量；</w:t>
      </w:r>
    </w:p>
    <w:p w14:paraId="6089B45B">
      <w:pPr>
        <w:widowControl/>
        <w:spacing w:line="360" w:lineRule="auto"/>
        <w:ind w:firstLine="420" w:firstLineChars="200"/>
        <w:rPr>
          <w:rFonts w:hint="eastAsia" w:ascii="宋体" w:hAnsi="宋体" w:cs="宋体"/>
          <w:color w:val="auto"/>
          <w:szCs w:val="21"/>
          <w:highlight w:val="none"/>
          <w:lang w:bidi="ar"/>
        </w:rPr>
      </w:pPr>
      <w:r>
        <w:rPr>
          <w:rFonts w:hint="eastAsia" w:ascii="宋体" w:hAnsi="宋体" w:cs="宋体"/>
          <w:color w:val="auto"/>
          <w:szCs w:val="21"/>
          <w:highlight w:val="none"/>
          <w:lang w:bidi="ar"/>
        </w:rPr>
        <w:t>②鱼类资源现状：鱼类的种类组成（目、科、种）、种群结构、资源时空分布；重点保护野生生物或珍稀濒危物种的种类、数量、受威胁状况和保护情况；</w:t>
      </w:r>
    </w:p>
    <w:p w14:paraId="63B0B735">
      <w:pPr>
        <w:widowControl/>
        <w:spacing w:line="360" w:lineRule="auto"/>
        <w:ind w:firstLine="420" w:firstLineChars="200"/>
        <w:rPr>
          <w:rFonts w:hint="eastAsia" w:ascii="宋体" w:hAnsi="宋体" w:cs="宋体"/>
          <w:color w:val="auto"/>
          <w:szCs w:val="21"/>
          <w:highlight w:val="none"/>
          <w:lang w:bidi="ar"/>
        </w:rPr>
      </w:pPr>
      <w:r>
        <w:rPr>
          <w:rFonts w:hint="eastAsia" w:ascii="宋体" w:hAnsi="宋体" w:cs="宋体"/>
          <w:color w:val="auto"/>
          <w:szCs w:val="21"/>
          <w:highlight w:val="none"/>
          <w:lang w:bidi="ar"/>
        </w:rPr>
        <w:t>③鱼类早期资源调查：鱼卵、鱼苗；</w:t>
      </w:r>
    </w:p>
    <w:p w14:paraId="05934E76">
      <w:pPr>
        <w:widowControl/>
        <w:spacing w:line="360" w:lineRule="auto"/>
        <w:ind w:firstLine="420" w:firstLineChars="200"/>
        <w:rPr>
          <w:rFonts w:hint="eastAsia" w:ascii="宋体" w:hAnsi="宋体" w:cs="宋体"/>
          <w:color w:val="auto"/>
          <w:szCs w:val="21"/>
          <w:highlight w:val="none"/>
          <w:lang w:bidi="ar"/>
        </w:rPr>
      </w:pPr>
      <w:r>
        <w:rPr>
          <w:rFonts w:hint="eastAsia" w:ascii="宋体" w:hAnsi="宋体" w:cs="宋体"/>
          <w:color w:val="auto"/>
          <w:szCs w:val="21"/>
          <w:highlight w:val="none"/>
          <w:lang w:bidi="ar"/>
        </w:rPr>
        <w:t>④鱼类三场：繁殖群体组成、产卵规模、产卵习性、产卵场的分布和规模。同步记录水体的河宽、水深、底质类型、流量、水位、流速、水温、pH和透明度等指标，采样点水生植被类型和覆盖度（主要记录沉水植物种类和覆盖度）。</w:t>
      </w:r>
    </w:p>
    <w:p w14:paraId="796DDC46">
      <w:pPr>
        <w:widowControl/>
        <w:spacing w:line="360" w:lineRule="auto"/>
        <w:ind w:firstLine="420" w:firstLineChars="200"/>
        <w:rPr>
          <w:rFonts w:hint="eastAsia" w:ascii="宋体" w:hAnsi="宋体" w:cs="宋体"/>
          <w:color w:val="auto"/>
          <w:szCs w:val="21"/>
          <w:highlight w:val="none"/>
          <w:lang w:bidi="ar"/>
        </w:rPr>
      </w:pPr>
      <w:r>
        <w:rPr>
          <w:rFonts w:hint="eastAsia" w:ascii="宋体" w:hAnsi="宋体" w:cs="宋体"/>
          <w:color w:val="auto"/>
          <w:szCs w:val="21"/>
          <w:highlight w:val="none"/>
          <w:lang w:eastAsia="zh-CN" w:bidi="ar"/>
        </w:rPr>
        <w:t>3</w:t>
      </w:r>
      <w:r>
        <w:rPr>
          <w:rFonts w:hint="eastAsia" w:ascii="宋体" w:hAnsi="宋体" w:cs="宋体"/>
          <w:color w:val="auto"/>
          <w:szCs w:val="21"/>
          <w:highlight w:val="none"/>
          <w:lang w:val="en-US" w:eastAsia="zh-CN" w:bidi="ar"/>
        </w:rPr>
        <w:t>.</w:t>
      </w:r>
      <w:r>
        <w:rPr>
          <w:rFonts w:hint="eastAsia" w:ascii="宋体" w:hAnsi="宋体" w:cs="宋体"/>
          <w:color w:val="auto"/>
          <w:szCs w:val="21"/>
          <w:highlight w:val="none"/>
          <w:lang w:bidi="ar"/>
        </w:rPr>
        <w:t>调查时间</w:t>
      </w:r>
    </w:p>
    <w:p w14:paraId="57248641">
      <w:pPr>
        <w:widowControl/>
        <w:spacing w:line="360" w:lineRule="auto"/>
        <w:ind w:firstLine="420" w:firstLineChars="200"/>
        <w:rPr>
          <w:rFonts w:hint="eastAsia" w:ascii="宋体" w:hAnsi="宋体" w:cs="宋体"/>
          <w:color w:val="auto"/>
          <w:szCs w:val="21"/>
          <w:highlight w:val="none"/>
          <w:lang w:bidi="ar"/>
        </w:rPr>
      </w:pPr>
      <w:r>
        <w:rPr>
          <w:rFonts w:hint="eastAsia" w:ascii="宋体" w:hAnsi="宋体" w:cs="宋体"/>
          <w:color w:val="auto"/>
          <w:szCs w:val="21"/>
          <w:highlight w:val="none"/>
          <w:lang w:bidi="ar"/>
        </w:rPr>
        <w:t>开展枯水期和丰水期2期（季）调查。鱼类早期资源需在鱼类繁殖期。</w:t>
      </w:r>
    </w:p>
    <w:p w14:paraId="6F624F31">
      <w:pPr>
        <w:widowControl/>
        <w:spacing w:line="360" w:lineRule="auto"/>
        <w:ind w:firstLine="422" w:firstLineChars="200"/>
        <w:outlineLvl w:val="2"/>
        <w:rPr>
          <w:rFonts w:hint="eastAsia" w:ascii="宋体" w:hAnsi="宋体" w:cs="宋体"/>
          <w:b/>
          <w:bCs/>
          <w:color w:val="auto"/>
          <w:szCs w:val="21"/>
          <w:highlight w:val="none"/>
          <w:lang w:bidi="ar"/>
        </w:rPr>
      </w:pPr>
      <w:r>
        <w:rPr>
          <w:rFonts w:hint="eastAsia" w:ascii="宋体" w:hAnsi="宋体" w:cs="宋体"/>
          <w:b/>
          <w:bCs/>
          <w:color w:val="auto"/>
          <w:szCs w:val="21"/>
          <w:highlight w:val="none"/>
          <w:lang w:eastAsia="zh-CN" w:bidi="ar"/>
        </w:rPr>
        <w:t>（四）</w:t>
      </w:r>
      <w:r>
        <w:rPr>
          <w:rFonts w:hint="eastAsia" w:ascii="宋体" w:hAnsi="宋体" w:cs="宋体"/>
          <w:b/>
          <w:bCs/>
          <w:color w:val="auto"/>
          <w:szCs w:val="21"/>
          <w:highlight w:val="none"/>
          <w:lang w:bidi="ar"/>
        </w:rPr>
        <w:t>调查技术要求</w:t>
      </w:r>
    </w:p>
    <w:p w14:paraId="54FD088F">
      <w:pPr>
        <w:widowControl/>
        <w:spacing w:line="360" w:lineRule="auto"/>
        <w:ind w:firstLine="420" w:firstLineChars="200"/>
        <w:rPr>
          <w:rFonts w:hint="eastAsia" w:ascii="宋体" w:hAnsi="宋体" w:cs="宋体"/>
          <w:color w:val="auto"/>
          <w:szCs w:val="21"/>
          <w:highlight w:val="none"/>
          <w:lang w:bidi="ar"/>
        </w:rPr>
      </w:pPr>
      <w:r>
        <w:rPr>
          <w:rFonts w:hint="eastAsia" w:ascii="宋体" w:hAnsi="宋体" w:cs="宋体"/>
          <w:color w:val="auto"/>
          <w:szCs w:val="21"/>
          <w:highlight w:val="none"/>
          <w:lang w:eastAsia="zh-CN" w:bidi="ar"/>
        </w:rPr>
        <w:t>1</w:t>
      </w:r>
      <w:r>
        <w:rPr>
          <w:rFonts w:hint="eastAsia" w:ascii="宋体" w:hAnsi="宋体" w:cs="宋体"/>
          <w:color w:val="auto"/>
          <w:szCs w:val="21"/>
          <w:highlight w:val="none"/>
          <w:lang w:val="en-US" w:eastAsia="zh-CN" w:bidi="ar"/>
        </w:rPr>
        <w:t>.</w:t>
      </w:r>
      <w:r>
        <w:rPr>
          <w:rFonts w:hint="eastAsia" w:ascii="宋体" w:hAnsi="宋体" w:cs="宋体"/>
          <w:color w:val="auto"/>
          <w:szCs w:val="21"/>
          <w:highlight w:val="none"/>
          <w:lang w:bidi="ar"/>
        </w:rPr>
        <w:t>浮游植物</w:t>
      </w:r>
    </w:p>
    <w:p w14:paraId="206EB133">
      <w:pPr>
        <w:widowControl/>
        <w:spacing w:line="360" w:lineRule="auto"/>
        <w:ind w:firstLine="420" w:firstLineChars="200"/>
        <w:rPr>
          <w:rFonts w:hint="eastAsia" w:ascii="宋体" w:hAnsi="宋体" w:cs="宋体"/>
          <w:color w:val="auto"/>
          <w:szCs w:val="21"/>
          <w:highlight w:val="none"/>
          <w:lang w:bidi="ar"/>
        </w:rPr>
      </w:pPr>
      <w:r>
        <w:rPr>
          <w:rFonts w:hint="eastAsia" w:ascii="宋体" w:hAnsi="宋体" w:cs="宋体"/>
          <w:color w:val="auto"/>
          <w:szCs w:val="21"/>
          <w:highlight w:val="none"/>
          <w:lang w:bidi="ar"/>
        </w:rPr>
        <w:t>样品采集、保存、运输和检测分析应符合《淡水浮游生物调查技术规范》（SC/T9402-2010）要求，浮游植物的采集包括定性采集和定量采集。</w:t>
      </w:r>
    </w:p>
    <w:p w14:paraId="2C16CEB1">
      <w:pPr>
        <w:widowControl/>
        <w:spacing w:line="360" w:lineRule="auto"/>
        <w:ind w:firstLine="420" w:firstLineChars="200"/>
        <w:rPr>
          <w:rFonts w:hint="eastAsia" w:ascii="宋体" w:hAnsi="宋体" w:cs="宋体"/>
          <w:color w:val="auto"/>
          <w:szCs w:val="21"/>
          <w:highlight w:val="none"/>
          <w:lang w:bidi="ar"/>
        </w:rPr>
      </w:pPr>
      <w:r>
        <w:rPr>
          <w:rFonts w:hint="eastAsia" w:ascii="宋体" w:hAnsi="宋体" w:cs="宋体"/>
          <w:color w:val="auto"/>
          <w:szCs w:val="21"/>
          <w:highlight w:val="none"/>
          <w:lang w:eastAsia="zh-CN" w:bidi="ar"/>
        </w:rPr>
        <w:t>2</w:t>
      </w:r>
      <w:r>
        <w:rPr>
          <w:rFonts w:hint="eastAsia" w:ascii="宋体" w:hAnsi="宋体" w:cs="宋体"/>
          <w:color w:val="auto"/>
          <w:szCs w:val="21"/>
          <w:highlight w:val="none"/>
          <w:lang w:val="en-US" w:eastAsia="zh-CN" w:bidi="ar"/>
        </w:rPr>
        <w:t>.</w:t>
      </w:r>
      <w:r>
        <w:rPr>
          <w:rFonts w:hint="eastAsia" w:ascii="宋体" w:hAnsi="宋体" w:cs="宋体"/>
          <w:color w:val="auto"/>
          <w:szCs w:val="21"/>
          <w:highlight w:val="none"/>
          <w:lang w:bidi="ar"/>
        </w:rPr>
        <w:t>浮游动物</w:t>
      </w:r>
    </w:p>
    <w:p w14:paraId="74F72DFD">
      <w:pPr>
        <w:widowControl/>
        <w:spacing w:line="360" w:lineRule="auto"/>
        <w:ind w:firstLine="420" w:firstLineChars="200"/>
        <w:rPr>
          <w:rFonts w:hint="eastAsia" w:ascii="宋体" w:hAnsi="宋体" w:cs="宋体"/>
          <w:color w:val="auto"/>
          <w:szCs w:val="21"/>
          <w:highlight w:val="none"/>
          <w:lang w:bidi="ar"/>
        </w:rPr>
      </w:pPr>
      <w:r>
        <w:rPr>
          <w:rFonts w:hint="eastAsia" w:ascii="宋体" w:hAnsi="宋体" w:cs="宋体"/>
          <w:color w:val="auto"/>
          <w:szCs w:val="21"/>
          <w:highlight w:val="none"/>
          <w:lang w:bidi="ar"/>
        </w:rPr>
        <w:t>样品采集、保存、运输和检测分析应符合《淡水浮游生物调查技术规范》（SC/T9402-2010）要求，浮游动物的采集包括定性采集和定量采集。</w:t>
      </w:r>
    </w:p>
    <w:p w14:paraId="77D034DA">
      <w:pPr>
        <w:widowControl/>
        <w:spacing w:line="360" w:lineRule="auto"/>
        <w:ind w:firstLine="420" w:firstLineChars="200"/>
        <w:rPr>
          <w:rFonts w:hint="eastAsia" w:ascii="宋体" w:hAnsi="宋体" w:cs="宋体"/>
          <w:color w:val="auto"/>
          <w:szCs w:val="21"/>
          <w:highlight w:val="none"/>
          <w:lang w:bidi="ar"/>
        </w:rPr>
      </w:pPr>
      <w:r>
        <w:rPr>
          <w:rFonts w:hint="eastAsia" w:ascii="宋体" w:hAnsi="宋体" w:cs="宋体"/>
          <w:color w:val="auto"/>
          <w:szCs w:val="21"/>
          <w:highlight w:val="none"/>
          <w:lang w:eastAsia="zh-CN" w:bidi="ar"/>
        </w:rPr>
        <w:t>3</w:t>
      </w:r>
      <w:r>
        <w:rPr>
          <w:rFonts w:hint="eastAsia" w:ascii="宋体" w:hAnsi="宋体" w:cs="宋体"/>
          <w:color w:val="auto"/>
          <w:szCs w:val="21"/>
          <w:highlight w:val="none"/>
          <w:lang w:val="en-US" w:eastAsia="zh-CN" w:bidi="ar"/>
        </w:rPr>
        <w:t>.</w:t>
      </w:r>
      <w:r>
        <w:rPr>
          <w:rFonts w:hint="eastAsia" w:ascii="宋体" w:hAnsi="宋体" w:cs="宋体"/>
          <w:color w:val="auto"/>
          <w:szCs w:val="21"/>
          <w:highlight w:val="none"/>
          <w:lang w:bidi="ar"/>
        </w:rPr>
        <w:t>底栖动物</w:t>
      </w:r>
    </w:p>
    <w:p w14:paraId="78F7B484">
      <w:pPr>
        <w:widowControl/>
        <w:spacing w:line="360" w:lineRule="auto"/>
        <w:ind w:firstLine="420" w:firstLineChars="200"/>
        <w:rPr>
          <w:rFonts w:hint="eastAsia" w:ascii="宋体" w:hAnsi="宋体" w:cs="宋体"/>
          <w:color w:val="auto"/>
          <w:szCs w:val="21"/>
          <w:highlight w:val="none"/>
          <w:lang w:bidi="ar"/>
        </w:rPr>
      </w:pPr>
      <w:r>
        <w:rPr>
          <w:rFonts w:hint="eastAsia" w:ascii="宋体" w:hAnsi="宋体" w:cs="宋体"/>
          <w:color w:val="auto"/>
          <w:szCs w:val="21"/>
          <w:highlight w:val="none"/>
          <w:lang w:bidi="ar"/>
        </w:rPr>
        <w:t>样品采集、保存、运输和检测分析应符合《生物多样性观测技术导则 淡水底栖大型无脊椎动物》（HJ710.8-2014）要求，底栖动物的采集使用彼得生式采泥器。</w:t>
      </w:r>
    </w:p>
    <w:p w14:paraId="02664F1B">
      <w:pPr>
        <w:widowControl/>
        <w:spacing w:line="360" w:lineRule="auto"/>
        <w:ind w:firstLine="420" w:firstLineChars="200"/>
        <w:rPr>
          <w:rFonts w:hint="eastAsia" w:ascii="宋体" w:hAnsi="宋体" w:cs="宋体"/>
          <w:color w:val="auto"/>
          <w:szCs w:val="21"/>
          <w:highlight w:val="none"/>
          <w:lang w:bidi="ar"/>
        </w:rPr>
      </w:pPr>
      <w:r>
        <w:rPr>
          <w:rFonts w:hint="eastAsia" w:ascii="宋体" w:hAnsi="宋体" w:cs="宋体"/>
          <w:color w:val="auto"/>
          <w:szCs w:val="21"/>
          <w:highlight w:val="none"/>
          <w:lang w:eastAsia="zh-CN" w:bidi="ar"/>
        </w:rPr>
        <w:t>4</w:t>
      </w:r>
      <w:r>
        <w:rPr>
          <w:rFonts w:hint="eastAsia" w:ascii="宋体" w:hAnsi="宋体" w:cs="宋体"/>
          <w:color w:val="auto"/>
          <w:szCs w:val="21"/>
          <w:highlight w:val="none"/>
          <w:lang w:val="en-US" w:eastAsia="zh-CN" w:bidi="ar"/>
        </w:rPr>
        <w:t>.</w:t>
      </w:r>
      <w:r>
        <w:rPr>
          <w:rFonts w:hint="eastAsia" w:ascii="宋体" w:hAnsi="宋体" w:cs="宋体"/>
          <w:color w:val="auto"/>
          <w:szCs w:val="21"/>
          <w:highlight w:val="none"/>
          <w:lang w:bidi="ar"/>
        </w:rPr>
        <w:t>水生维管束植物</w:t>
      </w:r>
    </w:p>
    <w:p w14:paraId="354931B0">
      <w:pPr>
        <w:widowControl/>
        <w:spacing w:line="360" w:lineRule="auto"/>
        <w:ind w:firstLine="420" w:firstLineChars="200"/>
        <w:rPr>
          <w:rFonts w:hint="eastAsia" w:ascii="宋体" w:hAnsi="宋体" w:cs="宋体"/>
          <w:color w:val="auto"/>
          <w:szCs w:val="21"/>
          <w:highlight w:val="none"/>
          <w:lang w:bidi="ar"/>
        </w:rPr>
      </w:pPr>
      <w:r>
        <w:rPr>
          <w:rFonts w:hint="eastAsia" w:ascii="宋体" w:hAnsi="宋体" w:cs="宋体"/>
          <w:color w:val="auto"/>
          <w:szCs w:val="21"/>
          <w:highlight w:val="none"/>
          <w:lang w:bidi="ar"/>
        </w:rPr>
        <w:t>在样地和样带上，浅水区采用 0.2m2 的采草器采样；沿岸带采用收割法采样，截取 2m×2m 样方面积，记录样地内物种 组成和盖度，并统计生物量。将每个断面的所有采集样方综合为一个大样方，计算其植被盖度、生物量和多样性指数。</w:t>
      </w:r>
    </w:p>
    <w:p w14:paraId="61864732">
      <w:pPr>
        <w:widowControl/>
        <w:spacing w:line="360" w:lineRule="auto"/>
        <w:ind w:firstLine="420" w:firstLineChars="200"/>
        <w:rPr>
          <w:rFonts w:hint="eastAsia" w:ascii="宋体" w:hAnsi="宋体" w:cs="宋体"/>
          <w:color w:val="auto"/>
          <w:szCs w:val="21"/>
          <w:highlight w:val="none"/>
          <w:lang w:bidi="ar"/>
        </w:rPr>
      </w:pPr>
      <w:r>
        <w:rPr>
          <w:rFonts w:hint="eastAsia" w:ascii="宋体" w:hAnsi="宋体" w:cs="宋体"/>
          <w:color w:val="auto"/>
          <w:szCs w:val="21"/>
          <w:highlight w:val="none"/>
          <w:lang w:eastAsia="zh-CN" w:bidi="ar"/>
        </w:rPr>
        <w:t>5</w:t>
      </w:r>
      <w:r>
        <w:rPr>
          <w:rFonts w:hint="eastAsia" w:ascii="宋体" w:hAnsi="宋体" w:cs="宋体"/>
          <w:color w:val="auto"/>
          <w:szCs w:val="21"/>
          <w:highlight w:val="none"/>
          <w:lang w:val="en-US" w:eastAsia="zh-CN" w:bidi="ar"/>
        </w:rPr>
        <w:t>.</w:t>
      </w:r>
      <w:r>
        <w:rPr>
          <w:rFonts w:hint="eastAsia" w:ascii="宋体" w:hAnsi="宋体" w:cs="宋体"/>
          <w:color w:val="auto"/>
          <w:szCs w:val="21"/>
          <w:highlight w:val="none"/>
          <w:lang w:bidi="ar"/>
        </w:rPr>
        <w:t>鱼类早期资源调查</w:t>
      </w:r>
    </w:p>
    <w:p w14:paraId="711B523F">
      <w:pPr>
        <w:widowControl/>
        <w:spacing w:line="360" w:lineRule="auto"/>
        <w:ind w:firstLine="420" w:firstLineChars="200"/>
        <w:rPr>
          <w:rFonts w:hint="eastAsia" w:ascii="宋体" w:hAnsi="宋体" w:cs="宋体"/>
          <w:color w:val="auto"/>
          <w:szCs w:val="21"/>
          <w:highlight w:val="none"/>
          <w:lang w:bidi="ar"/>
        </w:rPr>
      </w:pPr>
      <w:r>
        <w:rPr>
          <w:rFonts w:hint="eastAsia" w:ascii="宋体" w:hAnsi="宋体" w:cs="宋体"/>
          <w:color w:val="auto"/>
          <w:szCs w:val="21"/>
          <w:highlight w:val="none"/>
          <w:lang w:bidi="ar"/>
        </w:rPr>
        <w:t>样品采集、保存、运输和检测分析应符合《淡水渔业资源调查规范 河流》（SC/T9429-2019）《生物多样性观测技术导则 内陆水域鱼类》（HJ710.7-2014）《河流漂流性鱼卵、仔鱼采样技术规范》（SC/T9407-2012）要求，其中漂流性鱼卵仔稚鱼的采样按SC/T9407的规定执行，沉黏性鱼卵仔鱼调查按HJ710.7-2014中5.3.2的规定执行。</w:t>
      </w:r>
    </w:p>
    <w:p w14:paraId="2EE5819D">
      <w:pPr>
        <w:widowControl/>
        <w:spacing w:line="360" w:lineRule="auto"/>
        <w:ind w:firstLine="420" w:firstLineChars="200"/>
        <w:rPr>
          <w:rFonts w:hint="eastAsia" w:ascii="宋体" w:hAnsi="宋体" w:cs="宋体"/>
          <w:color w:val="auto"/>
          <w:szCs w:val="21"/>
          <w:highlight w:val="none"/>
          <w:lang w:bidi="ar"/>
        </w:rPr>
      </w:pPr>
      <w:r>
        <w:rPr>
          <w:rFonts w:hint="eastAsia" w:ascii="宋体" w:hAnsi="宋体" w:cs="宋体"/>
          <w:color w:val="auto"/>
          <w:szCs w:val="21"/>
          <w:highlight w:val="none"/>
          <w:lang w:eastAsia="zh-CN" w:bidi="ar"/>
        </w:rPr>
        <w:t>6</w:t>
      </w:r>
      <w:r>
        <w:rPr>
          <w:rFonts w:hint="eastAsia" w:ascii="宋体" w:hAnsi="宋体" w:cs="宋体"/>
          <w:color w:val="auto"/>
          <w:szCs w:val="21"/>
          <w:highlight w:val="none"/>
          <w:lang w:val="en-US" w:eastAsia="zh-CN" w:bidi="ar"/>
        </w:rPr>
        <w:t>.</w:t>
      </w:r>
      <w:r>
        <w:rPr>
          <w:rFonts w:hint="eastAsia" w:ascii="宋体" w:hAnsi="宋体" w:cs="宋体"/>
          <w:color w:val="auto"/>
          <w:szCs w:val="21"/>
          <w:highlight w:val="none"/>
          <w:lang w:bidi="ar"/>
        </w:rPr>
        <w:t>渔业资源</w:t>
      </w:r>
    </w:p>
    <w:p w14:paraId="4974E92A">
      <w:pPr>
        <w:widowControl/>
        <w:spacing w:line="360" w:lineRule="auto"/>
        <w:ind w:firstLine="420" w:firstLineChars="200"/>
        <w:rPr>
          <w:rFonts w:hint="eastAsia" w:ascii="宋体" w:hAnsi="宋体" w:cs="宋体"/>
          <w:color w:val="auto"/>
          <w:szCs w:val="21"/>
          <w:highlight w:val="none"/>
          <w:lang w:bidi="ar"/>
        </w:rPr>
      </w:pPr>
      <w:r>
        <w:rPr>
          <w:rFonts w:hint="eastAsia" w:ascii="宋体" w:hAnsi="宋体" w:cs="宋体"/>
          <w:color w:val="auto"/>
          <w:szCs w:val="21"/>
          <w:highlight w:val="none"/>
          <w:lang w:bidi="ar"/>
        </w:rPr>
        <w:t>渔业资源调查包括现场捕获法、渔获物调查法和补充调查法，样品采集、保存、运输和检测分析应符合《淡水渔业资源调查规范 河流》（SC/T9429-2019）《生物多样性观测技术导则 内陆水域鱼类》（HJ710.7-2014）《内陆鱼类多样性调查与评估技术规定》等要求。</w:t>
      </w:r>
    </w:p>
    <w:p w14:paraId="0572A053">
      <w:pPr>
        <w:widowControl/>
        <w:spacing w:line="360" w:lineRule="auto"/>
        <w:ind w:firstLine="422" w:firstLineChars="200"/>
        <w:outlineLvl w:val="2"/>
        <w:rPr>
          <w:rFonts w:hint="eastAsia" w:ascii="宋体" w:hAnsi="宋体" w:cs="宋体"/>
          <w:b/>
          <w:bCs/>
          <w:color w:val="auto"/>
          <w:szCs w:val="21"/>
          <w:highlight w:val="none"/>
          <w:lang w:bidi="ar"/>
        </w:rPr>
      </w:pPr>
      <w:r>
        <w:rPr>
          <w:rFonts w:hint="eastAsia" w:ascii="宋体" w:hAnsi="宋体" w:cs="宋体"/>
          <w:b/>
          <w:bCs/>
          <w:color w:val="auto"/>
          <w:szCs w:val="21"/>
          <w:highlight w:val="none"/>
          <w:lang w:eastAsia="zh-CN" w:bidi="ar"/>
        </w:rPr>
        <w:t>（五）</w:t>
      </w:r>
      <w:r>
        <w:rPr>
          <w:rFonts w:hint="eastAsia" w:ascii="宋体" w:hAnsi="宋体" w:cs="宋体"/>
          <w:b/>
          <w:bCs/>
          <w:color w:val="auto"/>
          <w:szCs w:val="21"/>
          <w:highlight w:val="none"/>
          <w:lang w:bidi="ar"/>
        </w:rPr>
        <w:t>分析评价要求</w:t>
      </w:r>
    </w:p>
    <w:p w14:paraId="0B6A54EE">
      <w:pPr>
        <w:widowControl/>
        <w:spacing w:line="360" w:lineRule="auto"/>
        <w:ind w:firstLine="420" w:firstLineChars="200"/>
        <w:rPr>
          <w:rFonts w:hint="eastAsia" w:ascii="宋体" w:hAnsi="宋体" w:cs="宋体"/>
          <w:color w:val="auto"/>
          <w:szCs w:val="21"/>
          <w:highlight w:val="none"/>
          <w:lang w:bidi="ar"/>
        </w:rPr>
      </w:pPr>
      <w:r>
        <w:rPr>
          <w:rFonts w:hint="eastAsia" w:ascii="宋体" w:hAnsi="宋体" w:cs="宋体"/>
          <w:color w:val="auto"/>
          <w:szCs w:val="21"/>
          <w:highlight w:val="none"/>
          <w:lang w:bidi="ar"/>
        </w:rPr>
        <w:t>水生生态调查报告需满足《环境影响评价技术导则 生态环境（HJ 19-2022）》《建设项目对自然保护区影响评价技术导则》等相关规范文件的要求，包括但不限于：</w:t>
      </w:r>
    </w:p>
    <w:p w14:paraId="41759F89">
      <w:pPr>
        <w:widowControl/>
        <w:spacing w:line="360" w:lineRule="auto"/>
        <w:ind w:firstLine="420" w:firstLineChars="200"/>
        <w:rPr>
          <w:rFonts w:hint="eastAsia" w:ascii="宋体" w:hAnsi="宋体" w:cs="宋体"/>
          <w:color w:val="auto"/>
          <w:szCs w:val="21"/>
          <w:highlight w:val="none"/>
          <w:lang w:bidi="ar"/>
        </w:rPr>
      </w:pPr>
      <w:r>
        <w:rPr>
          <w:rFonts w:hint="eastAsia" w:ascii="宋体" w:hAnsi="宋体" w:cs="宋体"/>
          <w:color w:val="auto"/>
          <w:szCs w:val="21"/>
          <w:highlight w:val="none"/>
          <w:lang w:bidi="ar"/>
        </w:rPr>
        <w:t>①明确调查单位、调查日期、调查站位等信息，并给出现状调查站位信息表及调查站位分布图。</w:t>
      </w:r>
    </w:p>
    <w:p w14:paraId="70A3C514">
      <w:pPr>
        <w:widowControl/>
        <w:spacing w:line="360" w:lineRule="auto"/>
        <w:ind w:firstLine="420" w:firstLineChars="200"/>
        <w:rPr>
          <w:rFonts w:hint="eastAsia" w:ascii="宋体" w:hAnsi="宋体" w:cs="宋体"/>
          <w:color w:val="auto"/>
          <w:szCs w:val="21"/>
          <w:highlight w:val="none"/>
          <w:lang w:bidi="ar"/>
        </w:rPr>
      </w:pPr>
      <w:r>
        <w:rPr>
          <w:rFonts w:hint="eastAsia" w:ascii="宋体" w:hAnsi="宋体" w:cs="宋体"/>
          <w:color w:val="auto"/>
          <w:szCs w:val="21"/>
          <w:highlight w:val="none"/>
          <w:lang w:bidi="ar"/>
        </w:rPr>
        <w:t>②给出各项目调查监测项目，包括采样工具和采样方法、样品固定和保存，网具的类型。明确数据整理和分析方法。</w:t>
      </w:r>
    </w:p>
    <w:p w14:paraId="2FBDFEEB">
      <w:pPr>
        <w:widowControl/>
        <w:spacing w:line="360" w:lineRule="auto"/>
        <w:ind w:firstLine="420" w:firstLineChars="200"/>
        <w:rPr>
          <w:rFonts w:hint="eastAsia" w:ascii="宋体" w:hAnsi="宋体" w:cs="宋体"/>
          <w:color w:val="auto"/>
          <w:szCs w:val="21"/>
          <w:highlight w:val="none"/>
          <w:lang w:bidi="ar"/>
        </w:rPr>
      </w:pPr>
      <w:r>
        <w:rPr>
          <w:rFonts w:hint="eastAsia" w:ascii="宋体" w:hAnsi="宋体" w:cs="宋体"/>
          <w:color w:val="auto"/>
          <w:szCs w:val="21"/>
          <w:highlight w:val="none"/>
          <w:lang w:bidi="ar"/>
        </w:rPr>
        <w:t>③现场调查的浮游植物、浮游动物、底栖生物给出种类组成、密度和生物量、多样性指数。</w:t>
      </w:r>
    </w:p>
    <w:p w14:paraId="1B5F18AD">
      <w:pPr>
        <w:widowControl/>
        <w:spacing w:line="360" w:lineRule="auto"/>
        <w:ind w:firstLine="420" w:firstLineChars="200"/>
        <w:rPr>
          <w:rFonts w:hint="eastAsia" w:ascii="宋体" w:hAnsi="宋体" w:cs="宋体"/>
          <w:color w:val="auto"/>
          <w:szCs w:val="21"/>
          <w:highlight w:val="none"/>
          <w:lang w:bidi="ar"/>
        </w:rPr>
      </w:pPr>
      <w:r>
        <w:rPr>
          <w:rFonts w:hint="eastAsia" w:ascii="宋体" w:hAnsi="宋体" w:cs="宋体"/>
          <w:color w:val="auto"/>
          <w:szCs w:val="21"/>
          <w:highlight w:val="none"/>
          <w:lang w:bidi="ar"/>
        </w:rPr>
        <w:t>④现场调查的鱼类种类组成、渔获物的调查表和现场照片，同时结合历史资料，分析流域鱼类组成、区系组成、食性类型；重点保护及珍稀濒危鱼类分布情况，生态学特征、种群现状以及生境状况。</w:t>
      </w:r>
    </w:p>
    <w:p w14:paraId="0864685A">
      <w:pPr>
        <w:widowControl/>
        <w:spacing w:line="360" w:lineRule="auto"/>
        <w:ind w:firstLine="420" w:firstLineChars="200"/>
        <w:rPr>
          <w:rFonts w:hint="eastAsia" w:ascii="宋体" w:hAnsi="宋体" w:cs="宋体"/>
          <w:color w:val="auto"/>
          <w:szCs w:val="21"/>
          <w:highlight w:val="none"/>
          <w:lang w:bidi="ar"/>
        </w:rPr>
      </w:pPr>
      <w:r>
        <w:rPr>
          <w:rFonts w:hint="eastAsia" w:ascii="宋体" w:hAnsi="宋体" w:cs="宋体"/>
          <w:color w:val="auto"/>
          <w:szCs w:val="21"/>
          <w:highlight w:val="none"/>
          <w:lang w:bidi="ar"/>
        </w:rPr>
        <w:t>⑤鱼类早期资源明确调查断面、卵苗发生量、早期资源卵苗鉴定结果。</w:t>
      </w:r>
    </w:p>
    <w:p w14:paraId="70AD61F1">
      <w:pPr>
        <w:widowControl/>
        <w:spacing w:line="360" w:lineRule="auto"/>
        <w:ind w:firstLine="420" w:firstLineChars="200"/>
        <w:rPr>
          <w:rFonts w:hint="eastAsia" w:ascii="宋体" w:hAnsi="宋体" w:cs="宋体"/>
          <w:color w:val="auto"/>
          <w:szCs w:val="21"/>
          <w:highlight w:val="none"/>
          <w:lang w:bidi="ar"/>
        </w:rPr>
      </w:pPr>
      <w:r>
        <w:rPr>
          <w:rFonts w:hint="eastAsia" w:ascii="宋体" w:hAnsi="宋体" w:cs="宋体"/>
          <w:color w:val="auto"/>
          <w:szCs w:val="21"/>
          <w:highlight w:val="none"/>
          <w:lang w:bidi="ar"/>
        </w:rPr>
        <w:t>⑥鱼类“三场一通道”：目前调查河段产卵场、索饵场、越冬场的分布情况，周边环境条件以及洄游路线、洄游时间等行为习性。其中产卵场需明确产卵类型、繁殖群体组成、产卵规模、产卵习性、产卵场的分布和规模。</w:t>
      </w:r>
    </w:p>
    <w:p w14:paraId="06E739C5">
      <w:pPr>
        <w:widowControl/>
        <w:spacing w:line="360" w:lineRule="auto"/>
        <w:ind w:firstLine="420" w:firstLineChars="200"/>
        <w:rPr>
          <w:rFonts w:hint="eastAsia" w:ascii="宋体" w:hAnsi="宋体" w:cs="宋体"/>
          <w:color w:val="auto"/>
          <w:sz w:val="21"/>
          <w:szCs w:val="21"/>
          <w:highlight w:val="none"/>
          <w:lang w:bidi="ar"/>
        </w:rPr>
      </w:pPr>
      <w:r>
        <w:rPr>
          <w:rFonts w:hint="eastAsia" w:ascii="宋体" w:hAnsi="宋体" w:cs="宋体"/>
          <w:color w:val="auto"/>
          <w:szCs w:val="21"/>
          <w:highlight w:val="none"/>
          <w:lang w:bidi="ar"/>
        </w:rPr>
        <w:t>⑦附录中给出各调查项目物种名录。</w:t>
      </w:r>
    </w:p>
    <w:p w14:paraId="4072E6D0">
      <w:pPr>
        <w:adjustRightInd/>
        <w:spacing w:before="0" w:beforeLines="0" w:after="0" w:afterLines="0" w:line="360" w:lineRule="auto"/>
        <w:ind w:firstLine="422" w:firstLineChars="200"/>
        <w:outlineLvl w:val="2"/>
        <w:rPr>
          <w:rFonts w:hint="eastAsia" w:ascii="宋体" w:hAnsi="宋体" w:eastAsia="宋体" w:cs="宋体"/>
          <w:b/>
          <w:bCs/>
          <w:color w:val="000000"/>
          <w:sz w:val="21"/>
          <w:szCs w:val="21"/>
          <w:lang w:eastAsia="zh-CN"/>
          <w14:ligatures w14:val="none"/>
        </w:rPr>
      </w:pPr>
      <w:r>
        <w:rPr>
          <w:rFonts w:hint="eastAsia" w:ascii="宋体" w:hAnsi="宋体" w:eastAsia="宋体" w:cs="宋体"/>
          <w:b/>
          <w:bCs/>
          <w:color w:val="000000"/>
          <w:sz w:val="21"/>
          <w:szCs w:val="21"/>
          <w:lang w:eastAsia="zh-CN"/>
          <w14:ligatures w14:val="none"/>
        </w:rPr>
        <w:t>（</w:t>
      </w:r>
      <w:r>
        <w:rPr>
          <w:rFonts w:hint="eastAsia" w:ascii="宋体" w:hAnsi="宋体" w:cs="宋体"/>
          <w:b/>
          <w:bCs/>
          <w:color w:val="000000"/>
          <w:sz w:val="21"/>
          <w:szCs w:val="21"/>
          <w:lang w:eastAsia="zh-CN"/>
          <w14:ligatures w14:val="none"/>
        </w:rPr>
        <w:t>六</w:t>
      </w:r>
      <w:r>
        <w:rPr>
          <w:rFonts w:hint="eastAsia" w:ascii="宋体" w:hAnsi="宋体" w:eastAsia="宋体" w:cs="宋体"/>
          <w:b/>
          <w:bCs/>
          <w:color w:val="000000"/>
          <w:sz w:val="21"/>
          <w:szCs w:val="21"/>
          <w:lang w:eastAsia="zh-CN"/>
          <w14:ligatures w14:val="none"/>
        </w:rPr>
        <w:t>）</w:t>
      </w:r>
      <w:r>
        <w:rPr>
          <w:rFonts w:hint="eastAsia" w:ascii="宋体" w:hAnsi="宋体" w:cs="宋体"/>
          <w:b/>
          <w:bCs/>
          <w:color w:val="000000"/>
          <w:sz w:val="21"/>
          <w:szCs w:val="21"/>
          <w:lang w:eastAsia="zh-CN"/>
          <w14:ligatures w14:val="none"/>
        </w:rPr>
        <w:t>其他技术要求</w:t>
      </w:r>
    </w:p>
    <w:p w14:paraId="42B9579A">
      <w:pPr>
        <w:spacing w:before="0" w:beforeLines="0" w:after="0" w:afterLines="0" w:line="360" w:lineRule="auto"/>
        <w:ind w:firstLine="420" w:firstLineChars="200"/>
        <w:rPr>
          <w:rFonts w:hint="eastAsia" w:ascii="宋体" w:hAnsi="宋体" w:eastAsia="宋体" w:cs="宋体"/>
          <w:sz w:val="21"/>
          <w:szCs w:val="21"/>
        </w:rPr>
      </w:pPr>
      <w:r>
        <w:rPr>
          <w:rFonts w:hint="eastAsia" w:ascii="宋体" w:hAnsi="宋体" w:cs="宋体"/>
          <w:color w:val="000000"/>
          <w:szCs w:val="21"/>
        </w:rPr>
        <w:t>供应商承担本项目必要的基础数据资料收集，完成整个项目的服务工作，并保证资料数据准确，满足服务要求，且费用由供应商承担。</w:t>
      </w:r>
    </w:p>
    <w:p w14:paraId="05F7FAB1">
      <w:pPr>
        <w:widowControl/>
        <w:spacing w:line="360" w:lineRule="auto"/>
        <w:ind w:firstLine="422" w:firstLineChars="200"/>
        <w:outlineLvl w:val="1"/>
        <w:rPr>
          <w:rFonts w:ascii="宋体" w:hAnsi="宋体" w:cs="宋体"/>
          <w:b/>
          <w:bCs/>
          <w:color w:val="auto"/>
          <w:sz w:val="21"/>
          <w:szCs w:val="21"/>
          <w:highlight w:val="none"/>
          <w:lang w:bidi="ar"/>
        </w:rPr>
      </w:pPr>
      <w:bookmarkStart w:id="70" w:name="_Toc1531"/>
      <w:bookmarkStart w:id="71" w:name="_Toc13473"/>
      <w:bookmarkStart w:id="72" w:name="_Toc19823"/>
      <w:bookmarkStart w:id="73" w:name="_Toc10709"/>
      <w:bookmarkStart w:id="74" w:name="_Toc14431"/>
      <w:r>
        <w:rPr>
          <w:rFonts w:hint="eastAsia" w:ascii="宋体" w:hAnsi="宋体" w:cs="宋体"/>
          <w:b/>
          <w:bCs/>
          <w:color w:val="auto"/>
          <w:sz w:val="21"/>
          <w:szCs w:val="21"/>
          <w:highlight w:val="none"/>
          <w:lang w:bidi="ar"/>
        </w:rPr>
        <w:t>四、商务要求</w:t>
      </w:r>
      <w:bookmarkEnd w:id="70"/>
      <w:bookmarkEnd w:id="71"/>
      <w:bookmarkEnd w:id="72"/>
      <w:bookmarkEnd w:id="73"/>
      <w:bookmarkEnd w:id="74"/>
    </w:p>
    <w:p w14:paraId="2E365ABF">
      <w:pPr>
        <w:widowControl/>
        <w:spacing w:line="360" w:lineRule="auto"/>
        <w:ind w:firstLine="422" w:firstLineChars="200"/>
        <w:outlineLvl w:val="2"/>
        <w:rPr>
          <w:rFonts w:ascii="宋体" w:hAnsi="宋体" w:cs="宋体"/>
          <w:b/>
          <w:bCs/>
          <w:color w:val="auto"/>
          <w:sz w:val="21"/>
          <w:szCs w:val="21"/>
          <w:highlight w:val="none"/>
          <w:lang w:bidi="ar"/>
        </w:rPr>
      </w:pPr>
      <w:r>
        <w:rPr>
          <w:rFonts w:hint="eastAsia" w:ascii="宋体" w:hAnsi="宋体" w:cs="宋体"/>
          <w:b/>
          <w:bCs/>
          <w:color w:val="auto"/>
          <w:sz w:val="21"/>
          <w:szCs w:val="21"/>
          <w:highlight w:val="none"/>
          <w:lang w:bidi="ar"/>
        </w:rPr>
        <w:t>（一）报价要求</w:t>
      </w:r>
    </w:p>
    <w:p w14:paraId="657D36D6">
      <w:pPr>
        <w:widowControl/>
        <w:spacing w:line="360" w:lineRule="auto"/>
        <w:ind w:firstLine="420" w:firstLineChars="200"/>
        <w:rPr>
          <w:rFonts w:ascii="宋体" w:hAnsi="宋体" w:cs="宋体"/>
          <w:color w:val="auto"/>
          <w:sz w:val="21"/>
          <w:szCs w:val="21"/>
          <w:highlight w:val="none"/>
          <w:lang w:bidi="ar"/>
        </w:rPr>
      </w:pPr>
      <w:r>
        <w:rPr>
          <w:rFonts w:hint="eastAsia" w:ascii="宋体" w:hAnsi="宋体" w:cs="宋体"/>
          <w:color w:val="auto"/>
          <w:sz w:val="21"/>
          <w:szCs w:val="21"/>
          <w:highlight w:val="none"/>
          <w:lang w:bidi="ar"/>
        </w:rPr>
        <w:t>1.投标报价为完成采购人指定服务全部内容的报价，必须包含：履行合同的最终价格，包括了供应商完成本项目所需的一切工作内容而发生的所有直接费用、间接费用、其他费用、税金等全部费用和供应商要求获得的利润以及应由供应商承担的义务、责任和风险所发生的一切费用。</w:t>
      </w:r>
    </w:p>
    <w:p w14:paraId="3D9A60BB">
      <w:pPr>
        <w:widowControl/>
        <w:spacing w:line="360" w:lineRule="auto"/>
        <w:ind w:firstLine="420" w:firstLineChars="200"/>
        <w:rPr>
          <w:rFonts w:ascii="宋体" w:hAnsi="宋体" w:cs="宋体"/>
          <w:color w:val="auto"/>
          <w:sz w:val="21"/>
          <w:szCs w:val="21"/>
          <w:highlight w:val="none"/>
          <w:lang w:bidi="ar"/>
        </w:rPr>
      </w:pPr>
      <w:r>
        <w:rPr>
          <w:rFonts w:hint="eastAsia" w:ascii="宋体" w:hAnsi="宋体" w:cs="宋体"/>
          <w:color w:val="auto"/>
          <w:sz w:val="21"/>
          <w:szCs w:val="21"/>
          <w:highlight w:val="none"/>
          <w:lang w:bidi="ar"/>
        </w:rPr>
        <w:t>2.本次采购采用总价包干，投标报价包含为完成</w:t>
      </w:r>
      <w:r>
        <w:rPr>
          <w:rFonts w:hint="eastAsia" w:ascii="宋体" w:hAnsi="宋体" w:cs="宋体"/>
          <w:color w:val="auto"/>
          <w:sz w:val="21"/>
          <w:szCs w:val="21"/>
          <w:highlight w:val="none"/>
          <w:u w:val="single"/>
          <w:lang w:val="en-US" w:eastAsia="zh-CN" w:bidi="ar"/>
        </w:rPr>
        <w:t xml:space="preserve"> 红水河（桥巩至宾港作业区）航道提升工程水生生态环境现状调查与评价服务 </w:t>
      </w:r>
      <w:r>
        <w:rPr>
          <w:rFonts w:hint="eastAsia" w:ascii="宋体" w:hAnsi="宋体" w:cs="宋体"/>
          <w:color w:val="auto"/>
          <w:sz w:val="21"/>
          <w:szCs w:val="21"/>
          <w:highlight w:val="none"/>
          <w:lang w:bidi="ar"/>
        </w:rPr>
        <w:t>项目的全部工作以及可能发生的各种费用，包含但不限于从前期踏勘、资料收集、报告编制费、现场管理费、会议、专家咨询费、调研差旅费、管理费、文印费、设备耗材费、税费及合同包含的所有风险、责任及措施等费用，包含从前期踏勘、资料收集到最后验收（含审查验收）等全过程的所有费用。本项目合同总价在合同执行过程中是固定的，不因情况变化而调整。</w:t>
      </w:r>
    </w:p>
    <w:p w14:paraId="3F3ED957">
      <w:pPr>
        <w:widowControl/>
        <w:spacing w:line="360" w:lineRule="auto"/>
        <w:ind w:firstLine="422" w:firstLineChars="200"/>
        <w:outlineLvl w:val="2"/>
        <w:rPr>
          <w:rFonts w:ascii="宋体" w:hAnsi="宋体" w:cs="宋体"/>
          <w:b/>
          <w:bCs/>
          <w:color w:val="auto"/>
          <w:sz w:val="21"/>
          <w:szCs w:val="21"/>
          <w:highlight w:val="none"/>
          <w:lang w:bidi="ar"/>
        </w:rPr>
      </w:pPr>
      <w:r>
        <w:rPr>
          <w:rFonts w:hint="eastAsia" w:ascii="宋体" w:hAnsi="宋体" w:cs="宋体"/>
          <w:b/>
          <w:bCs/>
          <w:color w:val="auto"/>
          <w:sz w:val="21"/>
          <w:szCs w:val="21"/>
          <w:highlight w:val="none"/>
          <w:lang w:bidi="ar"/>
        </w:rPr>
        <w:t>（二）工期要求</w:t>
      </w:r>
    </w:p>
    <w:p w14:paraId="546CD598">
      <w:pPr>
        <w:spacing w:line="360" w:lineRule="auto"/>
        <w:ind w:firstLine="420" w:firstLineChars="200"/>
        <w:rPr>
          <w:rFonts w:hint="eastAsia" w:ascii="宋体" w:hAnsi="宋体" w:eastAsia="宋体" w:cs="宋体"/>
          <w:bCs/>
          <w:color w:val="auto"/>
          <w:sz w:val="21"/>
          <w:szCs w:val="21"/>
          <w:highlight w:val="none"/>
          <w:lang w:eastAsia="zh-CN"/>
        </w:rPr>
      </w:pPr>
      <w:r>
        <w:rPr>
          <w:rFonts w:hint="eastAsia" w:ascii="宋体" w:hAnsi="宋体" w:cs="宋体"/>
          <w:bCs/>
          <w:color w:val="auto"/>
          <w:sz w:val="21"/>
          <w:szCs w:val="21"/>
          <w:highlight w:val="none"/>
          <w:lang w:eastAsia="zh-CN"/>
        </w:rPr>
        <w:t>总</w:t>
      </w:r>
      <w:r>
        <w:rPr>
          <w:rFonts w:hint="eastAsia" w:ascii="宋体" w:hAnsi="宋体" w:cs="宋体"/>
          <w:bCs/>
          <w:color w:val="auto"/>
          <w:sz w:val="21"/>
          <w:szCs w:val="21"/>
          <w:highlight w:val="none"/>
        </w:rPr>
        <w:t>工期：</w:t>
      </w:r>
      <w:r>
        <w:rPr>
          <w:rFonts w:hint="eastAsia" w:ascii="宋体" w:hAnsi="宋体" w:cs="宋体"/>
          <w:bCs/>
          <w:color w:val="auto"/>
          <w:sz w:val="21"/>
          <w:szCs w:val="21"/>
          <w:highlight w:val="none"/>
          <w:lang w:val="en-US" w:eastAsia="zh-CN"/>
        </w:rPr>
        <w:t>90日历天</w:t>
      </w:r>
      <w:r>
        <w:rPr>
          <w:rFonts w:hint="eastAsia" w:ascii="宋体" w:hAnsi="宋体" w:cs="宋体"/>
          <w:color w:val="auto"/>
          <w:sz w:val="21"/>
          <w:szCs w:val="21"/>
          <w:highlight w:val="none"/>
          <w:lang w:bidi="ar"/>
        </w:rPr>
        <w:t>。</w:t>
      </w:r>
      <w:r>
        <w:rPr>
          <w:rFonts w:hint="eastAsia" w:ascii="宋体" w:hAnsi="宋体" w:cs="宋体"/>
          <w:color w:val="auto"/>
          <w:sz w:val="21"/>
          <w:szCs w:val="21"/>
          <w:highlight w:val="none"/>
          <w:lang w:eastAsia="zh-CN" w:bidi="ar"/>
        </w:rPr>
        <w:t>具体如下：</w:t>
      </w:r>
    </w:p>
    <w:p w14:paraId="39C276F7">
      <w:pPr>
        <w:widowControl/>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w:t>
      </w:r>
      <w:r>
        <w:rPr>
          <w:rFonts w:hint="eastAsia" w:ascii="宋体" w:hAnsi="宋体" w:cs="宋体"/>
          <w:bCs/>
          <w:color w:val="auto"/>
          <w:szCs w:val="21"/>
          <w:highlight w:val="none"/>
          <w:lang w:val="en-US" w:eastAsia="zh-CN"/>
        </w:rPr>
        <w:t>1</w:t>
      </w:r>
      <w:r>
        <w:rPr>
          <w:rFonts w:hint="eastAsia" w:ascii="宋体" w:hAnsi="宋体" w:cs="宋体"/>
          <w:bCs/>
          <w:color w:val="auto"/>
          <w:szCs w:val="21"/>
          <w:highlight w:val="none"/>
        </w:rPr>
        <w:t>）中标通知书发出后</w:t>
      </w:r>
      <w:r>
        <w:rPr>
          <w:rFonts w:hint="eastAsia" w:ascii="宋体" w:hAnsi="宋体" w:cs="宋体"/>
          <w:bCs/>
          <w:color w:val="auto"/>
          <w:szCs w:val="21"/>
          <w:highlight w:val="none"/>
          <w:lang w:val="en-US" w:eastAsia="zh-CN"/>
        </w:rPr>
        <w:t>3</w:t>
      </w:r>
      <w:r>
        <w:rPr>
          <w:rFonts w:hint="eastAsia" w:ascii="宋体" w:hAnsi="宋体" w:cs="宋体"/>
          <w:bCs/>
          <w:color w:val="auto"/>
          <w:szCs w:val="21"/>
          <w:highlight w:val="none"/>
        </w:rPr>
        <w:t>0天内，完成枯水期水生生态环境现状调查；</w:t>
      </w:r>
    </w:p>
    <w:p w14:paraId="048F5196">
      <w:pPr>
        <w:widowControl/>
        <w:spacing w:line="360" w:lineRule="auto"/>
        <w:ind w:firstLine="420" w:firstLineChars="200"/>
        <w:rPr>
          <w:rFonts w:hint="eastAsia" w:ascii="宋体" w:hAnsi="宋体" w:cs="宋体"/>
          <w:bCs/>
          <w:color w:val="auto"/>
          <w:szCs w:val="21"/>
          <w:highlight w:val="none"/>
          <w:lang w:val="en-US" w:eastAsia="zh-CN"/>
        </w:rPr>
      </w:pPr>
      <w:r>
        <w:rPr>
          <w:rFonts w:hint="eastAsia" w:ascii="宋体" w:hAnsi="宋体" w:cs="宋体"/>
          <w:bCs/>
          <w:color w:val="auto"/>
          <w:szCs w:val="21"/>
          <w:highlight w:val="none"/>
          <w:lang w:eastAsia="zh-CN"/>
        </w:rPr>
        <w:t>（</w:t>
      </w:r>
      <w:r>
        <w:rPr>
          <w:rFonts w:hint="eastAsia" w:ascii="宋体" w:hAnsi="宋体" w:cs="宋体"/>
          <w:bCs/>
          <w:color w:val="auto"/>
          <w:szCs w:val="21"/>
          <w:highlight w:val="none"/>
          <w:lang w:val="en-US" w:eastAsia="zh-CN"/>
        </w:rPr>
        <w:t>2</w:t>
      </w:r>
      <w:r>
        <w:rPr>
          <w:rFonts w:hint="eastAsia" w:ascii="宋体" w:hAnsi="宋体" w:cs="宋体"/>
          <w:bCs/>
          <w:color w:val="auto"/>
          <w:szCs w:val="21"/>
          <w:highlight w:val="none"/>
          <w:lang w:eastAsia="zh-CN"/>
        </w:rPr>
        <w:t>）合同签订后</w:t>
      </w:r>
      <w:r>
        <w:rPr>
          <w:rFonts w:hint="eastAsia" w:ascii="宋体" w:hAnsi="宋体" w:cs="宋体"/>
          <w:bCs/>
          <w:color w:val="auto"/>
          <w:szCs w:val="21"/>
          <w:highlight w:val="none"/>
          <w:lang w:val="en-US" w:eastAsia="zh-CN"/>
        </w:rPr>
        <w:t>60天内，提交</w:t>
      </w:r>
      <w:r>
        <w:rPr>
          <w:rFonts w:hint="eastAsia" w:ascii="宋体" w:hAnsi="宋体" w:cs="宋体"/>
          <w:bCs/>
          <w:color w:val="auto"/>
          <w:szCs w:val="21"/>
          <w:highlight w:val="none"/>
        </w:rPr>
        <w:t>《红水河（来宾桥巩至宾港作业区）二级航道工程水生生态环境现状调查评价报告（丰水期）》；</w:t>
      </w:r>
    </w:p>
    <w:p w14:paraId="32BC5219">
      <w:pPr>
        <w:widowControl/>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w:t>
      </w:r>
      <w:r>
        <w:rPr>
          <w:rFonts w:hint="eastAsia" w:ascii="宋体" w:hAnsi="宋体" w:cs="宋体"/>
          <w:bCs/>
          <w:color w:val="auto"/>
          <w:szCs w:val="21"/>
          <w:highlight w:val="none"/>
          <w:lang w:val="en-US" w:eastAsia="zh-CN"/>
        </w:rPr>
        <w:t>3</w:t>
      </w:r>
      <w:r>
        <w:rPr>
          <w:rFonts w:hint="eastAsia" w:ascii="宋体" w:hAnsi="宋体" w:cs="宋体"/>
          <w:bCs/>
          <w:color w:val="auto"/>
          <w:szCs w:val="21"/>
          <w:highlight w:val="none"/>
        </w:rPr>
        <w:t>）</w:t>
      </w:r>
      <w:r>
        <w:rPr>
          <w:rFonts w:hint="eastAsia" w:ascii="宋体" w:hAnsi="宋体" w:cs="宋体"/>
          <w:bCs/>
          <w:color w:val="auto"/>
          <w:szCs w:val="21"/>
          <w:highlight w:val="none"/>
          <w:lang w:eastAsia="zh-CN"/>
        </w:rPr>
        <w:t>合同签订</w:t>
      </w:r>
      <w:r>
        <w:rPr>
          <w:rFonts w:hint="eastAsia" w:ascii="宋体" w:hAnsi="宋体" w:cs="宋体"/>
          <w:bCs/>
          <w:color w:val="auto"/>
          <w:szCs w:val="21"/>
          <w:highlight w:val="none"/>
        </w:rPr>
        <w:t>后</w:t>
      </w:r>
      <w:r>
        <w:rPr>
          <w:rFonts w:hint="eastAsia" w:ascii="宋体" w:hAnsi="宋体" w:cs="宋体"/>
          <w:bCs/>
          <w:color w:val="auto"/>
          <w:szCs w:val="21"/>
          <w:highlight w:val="none"/>
          <w:lang w:val="en-US" w:eastAsia="zh-CN"/>
        </w:rPr>
        <w:t>8</w:t>
      </w:r>
      <w:r>
        <w:rPr>
          <w:rFonts w:hint="eastAsia" w:ascii="宋体" w:hAnsi="宋体" w:cs="宋体"/>
          <w:bCs/>
          <w:color w:val="auto"/>
          <w:szCs w:val="21"/>
          <w:highlight w:val="none"/>
        </w:rPr>
        <w:t>0天内，完成丰水期水生生态环境现状调查和《红水河（来宾桥巩至宾港作业区）二级航道工程水生生态环境现状调查评价报告（枯水期）》；</w:t>
      </w:r>
    </w:p>
    <w:p w14:paraId="20F3E6C7">
      <w:pPr>
        <w:widowControl/>
        <w:spacing w:line="360" w:lineRule="auto"/>
        <w:ind w:firstLine="420" w:firstLineChars="200"/>
        <w:rPr>
          <w:rFonts w:hint="eastAsia" w:ascii="宋体" w:hAnsi="宋体" w:cs="宋体"/>
          <w:color w:val="auto"/>
          <w:sz w:val="21"/>
          <w:szCs w:val="21"/>
          <w:highlight w:val="none"/>
          <w:lang w:bidi="ar"/>
        </w:rPr>
      </w:pPr>
      <w:r>
        <w:rPr>
          <w:rFonts w:hint="eastAsia" w:ascii="宋体" w:hAnsi="宋体" w:cs="宋体"/>
          <w:bCs/>
          <w:color w:val="auto"/>
          <w:szCs w:val="21"/>
          <w:highlight w:val="none"/>
        </w:rPr>
        <w:t>（</w:t>
      </w:r>
      <w:r>
        <w:rPr>
          <w:rFonts w:hint="eastAsia" w:ascii="宋体" w:hAnsi="宋体" w:cs="宋体"/>
          <w:bCs/>
          <w:color w:val="auto"/>
          <w:szCs w:val="21"/>
          <w:highlight w:val="none"/>
          <w:lang w:eastAsia="zh-CN"/>
        </w:rPr>
        <w:t>4</w:t>
      </w:r>
      <w:r>
        <w:rPr>
          <w:rFonts w:hint="eastAsia" w:ascii="宋体" w:hAnsi="宋体" w:cs="宋体"/>
          <w:bCs/>
          <w:color w:val="auto"/>
          <w:szCs w:val="21"/>
          <w:highlight w:val="none"/>
        </w:rPr>
        <w:t>）技术成果通过验收后，10天内提交最终成果。</w:t>
      </w:r>
    </w:p>
    <w:p w14:paraId="0499ED07">
      <w:pPr>
        <w:widowControl/>
        <w:spacing w:line="360" w:lineRule="auto"/>
        <w:ind w:firstLine="420" w:firstLineChars="200"/>
        <w:rPr>
          <w:rFonts w:hint="eastAsia" w:ascii="宋体" w:hAnsi="宋体" w:cs="宋体"/>
          <w:color w:val="auto"/>
          <w:sz w:val="21"/>
          <w:szCs w:val="21"/>
          <w:highlight w:val="none"/>
          <w:lang w:bidi="ar"/>
        </w:rPr>
      </w:pPr>
      <w:r>
        <w:rPr>
          <w:rFonts w:hint="eastAsia" w:ascii="宋体" w:hAnsi="宋体" w:cs="宋体"/>
          <w:color w:val="auto"/>
          <w:sz w:val="21"/>
          <w:szCs w:val="21"/>
          <w:highlight w:val="none"/>
          <w:lang w:bidi="ar"/>
        </w:rPr>
        <w:t>成果</w:t>
      </w:r>
      <w:r>
        <w:rPr>
          <w:rFonts w:hint="eastAsia" w:ascii="宋体" w:hAnsi="宋体" w:cs="宋体"/>
          <w:color w:val="auto"/>
          <w:sz w:val="21"/>
          <w:szCs w:val="21"/>
          <w:highlight w:val="none"/>
          <w:lang w:eastAsia="zh-CN" w:bidi="ar"/>
        </w:rPr>
        <w:t>评审</w:t>
      </w:r>
      <w:r>
        <w:rPr>
          <w:rFonts w:hint="eastAsia" w:ascii="宋体" w:hAnsi="宋体" w:cs="宋体"/>
          <w:color w:val="auto"/>
          <w:sz w:val="21"/>
          <w:szCs w:val="21"/>
          <w:highlight w:val="none"/>
          <w:lang w:bidi="ar"/>
        </w:rPr>
        <w:t>验收时间另行计算，不计入总工期</w:t>
      </w:r>
    </w:p>
    <w:p w14:paraId="6651F542">
      <w:pPr>
        <w:widowControl/>
        <w:spacing w:line="360" w:lineRule="auto"/>
        <w:ind w:firstLine="422" w:firstLineChars="200"/>
        <w:outlineLvl w:val="2"/>
        <w:rPr>
          <w:rFonts w:ascii="宋体" w:hAnsi="宋体" w:cs="宋体"/>
          <w:b/>
          <w:bCs/>
          <w:color w:val="auto"/>
          <w:sz w:val="21"/>
          <w:szCs w:val="21"/>
          <w:highlight w:val="none"/>
          <w:lang w:bidi="ar"/>
        </w:rPr>
      </w:pPr>
      <w:r>
        <w:rPr>
          <w:rFonts w:hint="eastAsia" w:ascii="宋体" w:hAnsi="宋体" w:cs="宋体"/>
          <w:b/>
          <w:bCs/>
          <w:color w:val="auto"/>
          <w:sz w:val="21"/>
          <w:szCs w:val="21"/>
          <w:highlight w:val="none"/>
          <w:lang w:bidi="ar"/>
        </w:rPr>
        <w:t>（三）成果交付要求</w:t>
      </w:r>
    </w:p>
    <w:p w14:paraId="2E228E49">
      <w:pPr>
        <w:widowControl/>
        <w:spacing w:line="360" w:lineRule="auto"/>
        <w:ind w:firstLine="420" w:firstLineChars="200"/>
        <w:rPr>
          <w:rFonts w:ascii="宋体" w:hAnsi="宋体" w:cs="宋体"/>
          <w:color w:val="auto"/>
          <w:sz w:val="21"/>
          <w:szCs w:val="21"/>
          <w:highlight w:val="none"/>
          <w:lang w:bidi="ar"/>
        </w:rPr>
      </w:pPr>
      <w:r>
        <w:rPr>
          <w:rFonts w:hint="eastAsia" w:ascii="宋体" w:hAnsi="宋体" w:cs="宋体"/>
          <w:color w:val="auto"/>
          <w:sz w:val="21"/>
          <w:szCs w:val="21"/>
          <w:highlight w:val="none"/>
          <w:lang w:val="en-US" w:eastAsia="zh-CN" w:bidi="ar"/>
        </w:rPr>
        <w:t>1.</w:t>
      </w:r>
      <w:r>
        <w:rPr>
          <w:rFonts w:hint="eastAsia" w:ascii="宋体" w:hAnsi="宋体" w:cs="宋体"/>
          <w:color w:val="auto"/>
          <w:sz w:val="21"/>
          <w:szCs w:val="21"/>
          <w:highlight w:val="none"/>
          <w:lang w:bidi="ar"/>
        </w:rPr>
        <w:t>成果内容</w:t>
      </w:r>
    </w:p>
    <w:p w14:paraId="44CA1163">
      <w:pPr>
        <w:widowControl/>
        <w:spacing w:line="360" w:lineRule="auto"/>
        <w:ind w:firstLine="420" w:firstLineChars="200"/>
        <w:rPr>
          <w:rFonts w:hint="eastAsia" w:ascii="宋体" w:hAnsi="宋体" w:cs="宋体"/>
          <w:color w:val="auto"/>
          <w:sz w:val="21"/>
          <w:szCs w:val="21"/>
          <w:highlight w:val="none"/>
          <w:lang w:val="en-US" w:eastAsia="zh-CN" w:bidi="ar"/>
        </w:rPr>
      </w:pPr>
      <w:r>
        <w:rPr>
          <w:rFonts w:hint="eastAsia" w:ascii="宋体" w:hAnsi="宋体" w:cs="宋体"/>
          <w:color w:val="auto"/>
          <w:sz w:val="21"/>
          <w:szCs w:val="21"/>
          <w:highlight w:val="none"/>
          <w:lang w:eastAsia="zh-CN" w:bidi="ar"/>
        </w:rPr>
        <w:t>成果内容包括：</w:t>
      </w:r>
      <w:r>
        <w:rPr>
          <w:rFonts w:hint="eastAsia" w:ascii="宋体" w:hAnsi="宋体" w:cs="宋体"/>
          <w:bCs/>
          <w:color w:val="auto"/>
          <w:sz w:val="21"/>
          <w:szCs w:val="21"/>
          <w:highlight w:val="none"/>
          <w:lang w:eastAsia="zh-CN"/>
        </w:rPr>
        <w:t>《红水河（桥巩至宾港作业区）航道提升工程水生生态环境现状调查与评价报告》</w:t>
      </w:r>
      <w:r>
        <w:rPr>
          <w:rFonts w:hint="eastAsia" w:ascii="宋体" w:hAnsi="宋体" w:cs="宋体"/>
          <w:color w:val="auto"/>
          <w:sz w:val="21"/>
          <w:szCs w:val="21"/>
          <w:highlight w:val="none"/>
          <w:lang w:bidi="ar"/>
        </w:rPr>
        <w:t>。</w:t>
      </w:r>
    </w:p>
    <w:p w14:paraId="706EC850">
      <w:pPr>
        <w:widowControl/>
        <w:spacing w:line="360" w:lineRule="auto"/>
        <w:ind w:firstLine="420" w:firstLineChars="200"/>
        <w:rPr>
          <w:rFonts w:hint="default" w:ascii="宋体" w:hAnsi="宋体" w:cs="宋体"/>
          <w:color w:val="auto"/>
          <w:sz w:val="21"/>
          <w:szCs w:val="21"/>
          <w:highlight w:val="none"/>
          <w:lang w:val="en-US" w:eastAsia="zh-CN" w:bidi="ar"/>
        </w:rPr>
      </w:pPr>
      <w:r>
        <w:rPr>
          <w:rFonts w:hint="eastAsia" w:ascii="宋体" w:hAnsi="宋体" w:cs="宋体"/>
          <w:color w:val="auto"/>
          <w:sz w:val="21"/>
          <w:szCs w:val="21"/>
          <w:highlight w:val="none"/>
          <w:lang w:val="en-US" w:eastAsia="zh-CN" w:bidi="ar"/>
        </w:rPr>
        <w:t>2.成果形式要求</w:t>
      </w:r>
    </w:p>
    <w:p w14:paraId="2F3207F6">
      <w:pPr>
        <w:widowControl/>
        <w:spacing w:line="360" w:lineRule="auto"/>
        <w:ind w:firstLine="420" w:firstLineChars="200"/>
        <w:rPr>
          <w:rFonts w:hint="eastAsia" w:ascii="宋体" w:hAnsi="宋体" w:eastAsia="宋体" w:cs="宋体"/>
          <w:color w:val="auto"/>
          <w:sz w:val="21"/>
          <w:szCs w:val="21"/>
          <w:highlight w:val="none"/>
          <w:lang w:eastAsia="zh-CN" w:bidi="ar"/>
        </w:rPr>
      </w:pPr>
      <w:r>
        <w:rPr>
          <w:rFonts w:hint="eastAsia" w:ascii="宋体" w:hAnsi="宋体" w:cs="宋体"/>
          <w:color w:val="auto"/>
          <w:sz w:val="21"/>
          <w:szCs w:val="21"/>
          <w:highlight w:val="none"/>
          <w:lang w:bidi="ar"/>
        </w:rPr>
        <w:t>成果形式</w:t>
      </w:r>
      <w:r>
        <w:rPr>
          <w:rFonts w:hint="eastAsia" w:ascii="宋体" w:hAnsi="宋体" w:cs="宋体"/>
          <w:color w:val="auto"/>
          <w:sz w:val="21"/>
          <w:szCs w:val="21"/>
          <w:highlight w:val="none"/>
          <w:lang w:eastAsia="zh-CN" w:bidi="ar"/>
        </w:rPr>
        <w:t>包括：纸质成果和电子成果。要求如下：</w:t>
      </w:r>
    </w:p>
    <w:p w14:paraId="763F7124">
      <w:pPr>
        <w:widowControl/>
        <w:spacing w:line="360" w:lineRule="auto"/>
        <w:ind w:firstLine="420" w:firstLineChars="200"/>
        <w:rPr>
          <w:rFonts w:hint="eastAsia" w:ascii="宋体" w:hAnsi="宋体" w:eastAsia="宋体" w:cs="宋体"/>
          <w:color w:val="auto"/>
          <w:sz w:val="21"/>
          <w:szCs w:val="21"/>
          <w:highlight w:val="none"/>
          <w:lang w:eastAsia="zh-CN" w:bidi="ar"/>
        </w:rPr>
      </w:pPr>
      <w:r>
        <w:rPr>
          <w:rFonts w:hint="eastAsia" w:ascii="宋体" w:hAnsi="宋体" w:eastAsia="宋体" w:cs="宋体"/>
          <w:color w:val="auto"/>
          <w:sz w:val="21"/>
          <w:szCs w:val="21"/>
          <w:highlight w:val="none"/>
          <w:lang w:eastAsia="zh-CN" w:bidi="ar"/>
        </w:rPr>
        <w:t>（</w:t>
      </w:r>
      <w:r>
        <w:rPr>
          <w:rFonts w:hint="eastAsia" w:ascii="宋体" w:hAnsi="宋体" w:eastAsia="宋体" w:cs="宋体"/>
          <w:color w:val="auto"/>
          <w:sz w:val="21"/>
          <w:szCs w:val="21"/>
          <w:highlight w:val="none"/>
          <w:lang w:val="en-US" w:eastAsia="zh-CN" w:bidi="ar"/>
        </w:rPr>
        <w:t>1</w:t>
      </w:r>
      <w:r>
        <w:rPr>
          <w:rFonts w:hint="eastAsia" w:ascii="宋体" w:hAnsi="宋体" w:eastAsia="宋体" w:cs="宋体"/>
          <w:color w:val="auto"/>
          <w:sz w:val="21"/>
          <w:szCs w:val="21"/>
          <w:highlight w:val="none"/>
          <w:lang w:eastAsia="zh-CN" w:bidi="ar"/>
        </w:rPr>
        <w:t>）</w:t>
      </w:r>
      <w:r>
        <w:rPr>
          <w:rFonts w:hint="eastAsia" w:ascii="宋体" w:hAnsi="宋体" w:cs="宋体"/>
          <w:color w:val="auto"/>
          <w:sz w:val="21"/>
          <w:szCs w:val="21"/>
          <w:highlight w:val="none"/>
          <w:lang w:bidi="ar"/>
        </w:rPr>
        <w:t>纸质成果：最终成果文</w:t>
      </w:r>
      <w:r>
        <w:rPr>
          <w:rFonts w:hint="eastAsia" w:ascii="宋体" w:hAnsi="宋体" w:cs="宋体"/>
          <w:color w:val="auto"/>
          <w:sz w:val="21"/>
          <w:szCs w:val="21"/>
          <w:highlight w:val="none"/>
          <w:lang w:eastAsia="zh-CN" w:bidi="ar"/>
        </w:rPr>
        <w:t>件需按规定签字或签章，并加盖单位公章</w:t>
      </w:r>
      <w:r>
        <w:rPr>
          <w:rFonts w:hint="eastAsia" w:ascii="宋体" w:hAnsi="宋体" w:cs="宋体"/>
          <w:color w:val="auto"/>
          <w:sz w:val="21"/>
          <w:szCs w:val="21"/>
          <w:highlight w:val="none"/>
          <w:lang w:bidi="ar"/>
        </w:rPr>
        <w:t>。</w:t>
      </w:r>
    </w:p>
    <w:p w14:paraId="54C732C4">
      <w:pPr>
        <w:widowControl/>
        <w:spacing w:line="360" w:lineRule="auto"/>
        <w:ind w:firstLine="420" w:firstLineChars="200"/>
        <w:rPr>
          <w:rFonts w:hint="eastAsia" w:ascii="宋体" w:hAnsi="宋体" w:cs="宋体"/>
          <w:color w:val="auto"/>
          <w:sz w:val="21"/>
          <w:szCs w:val="21"/>
          <w:highlight w:val="none"/>
          <w:lang w:val="en-US" w:eastAsia="zh-CN" w:bidi="ar"/>
        </w:rPr>
      </w:pPr>
      <w:r>
        <w:rPr>
          <w:rFonts w:hint="eastAsia" w:ascii="宋体" w:hAnsi="宋体" w:eastAsia="宋体" w:cs="宋体"/>
          <w:color w:val="auto"/>
          <w:sz w:val="21"/>
          <w:szCs w:val="21"/>
          <w:highlight w:val="none"/>
          <w:lang w:eastAsia="zh-CN" w:bidi="ar"/>
        </w:rPr>
        <w:t>（</w:t>
      </w:r>
      <w:r>
        <w:rPr>
          <w:rFonts w:hint="eastAsia" w:ascii="宋体" w:hAnsi="宋体" w:eastAsia="宋体" w:cs="宋体"/>
          <w:color w:val="auto"/>
          <w:sz w:val="21"/>
          <w:szCs w:val="21"/>
          <w:highlight w:val="none"/>
          <w:lang w:val="en-US" w:eastAsia="zh-CN" w:bidi="ar"/>
        </w:rPr>
        <w:t>2</w:t>
      </w:r>
      <w:r>
        <w:rPr>
          <w:rFonts w:hint="eastAsia" w:ascii="宋体" w:hAnsi="宋体" w:eastAsia="宋体" w:cs="宋体"/>
          <w:color w:val="auto"/>
          <w:sz w:val="21"/>
          <w:szCs w:val="21"/>
          <w:highlight w:val="none"/>
          <w:lang w:eastAsia="zh-CN" w:bidi="ar"/>
        </w:rPr>
        <w:t>）</w:t>
      </w:r>
      <w:r>
        <w:rPr>
          <w:rFonts w:hint="eastAsia" w:ascii="宋体" w:hAnsi="宋体" w:cs="宋体"/>
          <w:color w:val="auto"/>
          <w:sz w:val="21"/>
          <w:szCs w:val="21"/>
          <w:highlight w:val="none"/>
          <w:lang w:bidi="ar"/>
        </w:rPr>
        <w:t>电子成果：</w:t>
      </w:r>
      <w:r>
        <w:rPr>
          <w:rFonts w:hint="eastAsia" w:ascii="宋体" w:hAnsi="宋体" w:cs="宋体"/>
          <w:color w:val="auto"/>
          <w:sz w:val="21"/>
          <w:szCs w:val="21"/>
          <w:highlight w:val="none"/>
          <w:lang w:val="en-US" w:eastAsia="zh-CN" w:bidi="ar"/>
        </w:rPr>
        <w:t>所有最终成果应提供电子文件，包括可编辑文档（</w:t>
      </w:r>
      <w:r>
        <w:rPr>
          <w:rFonts w:hint="eastAsia" w:ascii="宋体" w:hAnsi="宋体" w:cs="宋体"/>
          <w:color w:val="auto"/>
          <w:szCs w:val="21"/>
          <w:highlight w:val="none"/>
          <w:lang w:bidi="ar"/>
        </w:rPr>
        <w:t>文字为WORD格式、图纸为可编辑的CAD格式</w:t>
      </w:r>
      <w:r>
        <w:rPr>
          <w:rFonts w:hint="eastAsia" w:ascii="宋体" w:hAnsi="宋体" w:cs="宋体"/>
          <w:color w:val="auto"/>
          <w:sz w:val="21"/>
          <w:szCs w:val="21"/>
          <w:highlight w:val="none"/>
          <w:lang w:val="en-US" w:eastAsia="zh-CN" w:bidi="ar"/>
        </w:rPr>
        <w:t>）和按要求签字、签章的成果文件PDF或扫描件。</w:t>
      </w:r>
    </w:p>
    <w:p w14:paraId="39C41AD6">
      <w:pPr>
        <w:widowControl/>
        <w:spacing w:line="360" w:lineRule="auto"/>
        <w:ind w:firstLine="420" w:firstLineChars="200"/>
        <w:rPr>
          <w:rFonts w:hint="eastAsia" w:ascii="宋体" w:hAnsi="宋体" w:cs="宋体"/>
          <w:color w:val="auto"/>
          <w:sz w:val="21"/>
          <w:szCs w:val="21"/>
          <w:highlight w:val="none"/>
          <w:lang w:bidi="ar"/>
        </w:rPr>
      </w:pPr>
      <w:r>
        <w:rPr>
          <w:rFonts w:hint="eastAsia" w:ascii="宋体" w:hAnsi="宋体" w:cs="宋体"/>
          <w:color w:val="auto"/>
          <w:sz w:val="21"/>
          <w:szCs w:val="21"/>
          <w:highlight w:val="none"/>
          <w:lang w:val="en-US" w:eastAsia="zh-CN" w:bidi="ar"/>
        </w:rPr>
        <w:t>3.成果交付份数</w:t>
      </w:r>
    </w:p>
    <w:p w14:paraId="3727E2D3">
      <w:pPr>
        <w:widowControl/>
        <w:spacing w:line="360" w:lineRule="auto"/>
        <w:ind w:firstLine="420" w:firstLineChars="200"/>
        <w:rPr>
          <w:rFonts w:hint="eastAsia" w:ascii="宋体" w:hAnsi="宋体" w:cs="宋体"/>
          <w:color w:val="auto"/>
          <w:sz w:val="21"/>
          <w:szCs w:val="21"/>
          <w:highlight w:val="none"/>
          <w:lang w:val="en-US" w:eastAsia="zh-CN" w:bidi="ar"/>
        </w:rPr>
      </w:pPr>
      <w:r>
        <w:rPr>
          <w:rFonts w:hint="eastAsia" w:ascii="宋体" w:hAnsi="宋体" w:cs="宋体"/>
          <w:color w:val="auto"/>
          <w:sz w:val="21"/>
          <w:szCs w:val="21"/>
          <w:highlight w:val="none"/>
          <w:lang w:val="en-US" w:eastAsia="zh-CN" w:bidi="ar"/>
        </w:rPr>
        <w:t>（1）中间成果报告，一式30份，或者满足报告评审的需要。</w:t>
      </w:r>
    </w:p>
    <w:p w14:paraId="5CABA5A3">
      <w:pPr>
        <w:widowControl/>
        <w:spacing w:line="360" w:lineRule="auto"/>
        <w:ind w:firstLine="420" w:firstLineChars="200"/>
        <w:rPr>
          <w:rFonts w:hint="eastAsia" w:ascii="宋体" w:hAnsi="宋体" w:cs="宋体"/>
          <w:color w:val="auto"/>
          <w:sz w:val="21"/>
          <w:szCs w:val="21"/>
          <w:highlight w:val="none"/>
          <w:lang w:val="en-US" w:eastAsia="zh-CN" w:bidi="ar"/>
        </w:rPr>
      </w:pPr>
      <w:r>
        <w:rPr>
          <w:rFonts w:hint="eastAsia" w:ascii="宋体" w:hAnsi="宋体" w:cs="宋体"/>
          <w:color w:val="auto"/>
          <w:sz w:val="21"/>
          <w:szCs w:val="21"/>
          <w:highlight w:val="none"/>
          <w:lang w:val="en-US" w:eastAsia="zh-CN" w:bidi="ar"/>
        </w:rPr>
        <w:t>（2）最终成果报告纸质文件各10份。</w:t>
      </w:r>
    </w:p>
    <w:p w14:paraId="73289047">
      <w:pPr>
        <w:widowControl/>
        <w:spacing w:line="360" w:lineRule="auto"/>
        <w:ind w:firstLine="420" w:firstLineChars="200"/>
        <w:rPr>
          <w:rFonts w:hint="eastAsia" w:ascii="宋体" w:hAnsi="宋体" w:eastAsia="宋体" w:cs="宋体"/>
          <w:color w:val="auto"/>
          <w:szCs w:val="21"/>
          <w:highlight w:val="none"/>
          <w:lang w:eastAsia="zh-CN" w:bidi="ar"/>
        </w:rPr>
      </w:pPr>
      <w:r>
        <w:rPr>
          <w:rFonts w:hint="eastAsia" w:ascii="宋体" w:hAnsi="宋体" w:cs="宋体"/>
          <w:color w:val="auto"/>
          <w:szCs w:val="21"/>
          <w:highlight w:val="none"/>
          <w:lang w:eastAsia="zh-CN" w:bidi="ar"/>
        </w:rPr>
        <w:t>（</w:t>
      </w:r>
      <w:r>
        <w:rPr>
          <w:rFonts w:hint="eastAsia" w:ascii="宋体" w:hAnsi="宋体" w:cs="宋体"/>
          <w:color w:val="auto"/>
          <w:szCs w:val="21"/>
          <w:highlight w:val="none"/>
          <w:lang w:val="en-US" w:eastAsia="zh-CN" w:bidi="ar"/>
        </w:rPr>
        <w:t>3</w:t>
      </w:r>
      <w:r>
        <w:rPr>
          <w:rFonts w:hint="eastAsia" w:ascii="宋体" w:hAnsi="宋体" w:cs="宋体"/>
          <w:color w:val="auto"/>
          <w:szCs w:val="21"/>
          <w:highlight w:val="none"/>
          <w:lang w:eastAsia="zh-CN" w:bidi="ar"/>
        </w:rPr>
        <w:t>）</w:t>
      </w:r>
      <w:r>
        <w:rPr>
          <w:rFonts w:hint="eastAsia" w:ascii="宋体" w:hAnsi="宋体" w:cs="宋体"/>
          <w:color w:val="auto"/>
          <w:sz w:val="21"/>
          <w:szCs w:val="21"/>
          <w:highlight w:val="none"/>
          <w:lang w:val="en-US" w:eastAsia="zh-CN" w:bidi="ar"/>
        </w:rPr>
        <w:t>最终成果电子文件（包括可编辑文档和按要求签章的成果文件的PDF或扫描件）一式2份，光盘和U盘各1份贮存。</w:t>
      </w:r>
    </w:p>
    <w:p w14:paraId="38C98C32">
      <w:pPr>
        <w:widowControl/>
        <w:spacing w:line="360" w:lineRule="auto"/>
        <w:ind w:firstLine="420" w:firstLineChars="200"/>
        <w:rPr>
          <w:rFonts w:hint="eastAsia" w:ascii="宋体" w:hAnsi="宋体" w:cs="宋体"/>
          <w:color w:val="auto"/>
          <w:szCs w:val="21"/>
          <w:highlight w:val="none"/>
          <w:lang w:bidi="ar"/>
        </w:rPr>
      </w:pPr>
      <w:r>
        <w:rPr>
          <w:rFonts w:hint="eastAsia" w:ascii="宋体" w:hAnsi="宋体" w:cs="宋体"/>
          <w:color w:val="auto"/>
          <w:szCs w:val="21"/>
          <w:highlight w:val="none"/>
          <w:lang w:val="en-US" w:eastAsia="zh-CN" w:bidi="ar"/>
        </w:rPr>
        <w:t>4.</w:t>
      </w:r>
      <w:r>
        <w:rPr>
          <w:rFonts w:hint="eastAsia" w:ascii="宋体" w:hAnsi="宋体" w:cs="宋体"/>
          <w:color w:val="auto"/>
          <w:szCs w:val="21"/>
          <w:highlight w:val="none"/>
          <w:lang w:bidi="ar"/>
        </w:rPr>
        <w:t>成果交付地点</w:t>
      </w:r>
    </w:p>
    <w:p w14:paraId="3F28BA96">
      <w:pPr>
        <w:widowControl/>
        <w:spacing w:line="360" w:lineRule="auto"/>
        <w:ind w:firstLine="420" w:firstLineChars="200"/>
        <w:rPr>
          <w:rFonts w:hint="eastAsia" w:ascii="宋体" w:hAnsi="宋体" w:cs="宋体"/>
          <w:color w:val="auto"/>
          <w:sz w:val="21"/>
          <w:szCs w:val="21"/>
          <w:highlight w:val="none"/>
          <w:lang w:val="en-US" w:eastAsia="zh-CN" w:bidi="ar"/>
        </w:rPr>
      </w:pPr>
      <w:r>
        <w:rPr>
          <w:rFonts w:hint="eastAsia" w:ascii="宋体" w:hAnsi="宋体" w:cs="宋体"/>
          <w:color w:val="auto"/>
          <w:szCs w:val="21"/>
          <w:highlight w:val="none"/>
          <w:lang w:eastAsia="zh-CN" w:bidi="ar"/>
        </w:rPr>
        <w:t>成果交付地点为</w:t>
      </w:r>
      <w:r>
        <w:rPr>
          <w:rFonts w:hint="eastAsia" w:ascii="宋体" w:hAnsi="宋体" w:cs="宋体"/>
          <w:color w:val="auto"/>
          <w:szCs w:val="21"/>
          <w:highlight w:val="none"/>
          <w:lang w:bidi="ar"/>
        </w:rPr>
        <w:t>采购人办公地点</w:t>
      </w:r>
      <w:r>
        <w:rPr>
          <w:rFonts w:hint="eastAsia" w:ascii="宋体" w:hAnsi="宋体" w:cs="宋体"/>
          <w:color w:val="auto"/>
          <w:szCs w:val="21"/>
          <w:highlight w:val="none"/>
          <w:lang w:eastAsia="zh-CN" w:bidi="ar"/>
        </w:rPr>
        <w:t>，</w:t>
      </w:r>
      <w:r>
        <w:rPr>
          <w:rFonts w:hint="eastAsia" w:ascii="宋体" w:hAnsi="宋体" w:cs="宋体"/>
          <w:color w:val="auto"/>
          <w:szCs w:val="21"/>
          <w:highlight w:val="none"/>
          <w:lang w:bidi="ar"/>
        </w:rPr>
        <w:t>采购人可根据需要指定其他地点。</w:t>
      </w:r>
    </w:p>
    <w:p w14:paraId="048A643C">
      <w:pPr>
        <w:widowControl/>
        <w:spacing w:line="360" w:lineRule="auto"/>
        <w:ind w:firstLine="420" w:firstLineChars="200"/>
        <w:rPr>
          <w:rFonts w:hint="default" w:ascii="宋体" w:hAnsi="宋体" w:eastAsia="宋体" w:cs="宋体"/>
          <w:color w:val="auto"/>
          <w:sz w:val="21"/>
          <w:szCs w:val="21"/>
          <w:highlight w:val="none"/>
          <w:lang w:val="en-US" w:eastAsia="zh-CN" w:bidi="ar"/>
        </w:rPr>
      </w:pPr>
      <w:r>
        <w:rPr>
          <w:rFonts w:hint="eastAsia" w:ascii="宋体" w:hAnsi="宋体" w:cs="宋体"/>
          <w:color w:val="auto"/>
          <w:sz w:val="21"/>
          <w:szCs w:val="21"/>
          <w:highlight w:val="none"/>
          <w:lang w:val="en-US" w:eastAsia="zh-CN" w:bidi="ar"/>
        </w:rPr>
        <w:t>5.成果验收</w:t>
      </w:r>
    </w:p>
    <w:p w14:paraId="58229E01">
      <w:pPr>
        <w:widowControl/>
        <w:spacing w:line="360" w:lineRule="auto"/>
        <w:ind w:firstLine="420" w:firstLineChars="200"/>
        <w:rPr>
          <w:rFonts w:hint="eastAsia" w:ascii="宋体" w:hAnsi="宋体" w:cs="宋体"/>
          <w:color w:val="auto"/>
          <w:sz w:val="21"/>
          <w:szCs w:val="21"/>
          <w:highlight w:val="none"/>
          <w:lang w:bidi="ar"/>
        </w:rPr>
      </w:pPr>
      <w:r>
        <w:rPr>
          <w:rFonts w:hint="eastAsia" w:ascii="宋体" w:hAnsi="宋体" w:cs="宋体"/>
          <w:color w:val="auto"/>
          <w:sz w:val="21"/>
          <w:szCs w:val="21"/>
          <w:highlight w:val="none"/>
          <w:lang w:eastAsia="zh-CN" w:bidi="ar"/>
        </w:rPr>
        <w:t>供应商</w:t>
      </w:r>
      <w:r>
        <w:rPr>
          <w:rFonts w:hint="eastAsia" w:ascii="宋体" w:hAnsi="宋体" w:cs="宋体"/>
          <w:color w:val="auto"/>
          <w:sz w:val="21"/>
          <w:szCs w:val="21"/>
          <w:highlight w:val="none"/>
          <w:lang w:bidi="ar"/>
        </w:rPr>
        <w:t>按要求提</w:t>
      </w:r>
      <w:r>
        <w:rPr>
          <w:rFonts w:hint="eastAsia" w:ascii="宋体" w:hAnsi="宋体" w:cs="宋体"/>
          <w:color w:val="auto"/>
          <w:sz w:val="21"/>
          <w:szCs w:val="21"/>
          <w:highlight w:val="none"/>
          <w:lang w:eastAsia="zh-CN" w:bidi="ar"/>
        </w:rPr>
        <w:t>交</w:t>
      </w:r>
      <w:r>
        <w:rPr>
          <w:rFonts w:hint="eastAsia" w:ascii="宋体" w:hAnsi="宋体" w:cs="宋体"/>
          <w:color w:val="auto"/>
          <w:sz w:val="21"/>
          <w:szCs w:val="21"/>
          <w:highlight w:val="none"/>
          <w:lang w:bidi="ar"/>
        </w:rPr>
        <w:t>成果文件后，由</w:t>
      </w:r>
      <w:r>
        <w:rPr>
          <w:rFonts w:hint="eastAsia" w:ascii="宋体" w:hAnsi="宋体" w:cs="宋体"/>
          <w:color w:val="auto"/>
          <w:sz w:val="21"/>
          <w:szCs w:val="21"/>
          <w:highlight w:val="none"/>
          <w:lang w:eastAsia="zh-CN" w:bidi="ar"/>
        </w:rPr>
        <w:t>采购人</w:t>
      </w:r>
      <w:r>
        <w:rPr>
          <w:rFonts w:hint="eastAsia" w:ascii="宋体" w:hAnsi="宋体" w:cs="宋体"/>
          <w:color w:val="auto"/>
          <w:sz w:val="21"/>
          <w:szCs w:val="21"/>
          <w:highlight w:val="none"/>
          <w:lang w:bidi="ar"/>
        </w:rPr>
        <w:t>组织专家</w:t>
      </w:r>
      <w:r>
        <w:rPr>
          <w:rFonts w:hint="eastAsia" w:ascii="宋体" w:hAnsi="宋体" w:cs="宋体"/>
          <w:color w:val="auto"/>
          <w:sz w:val="21"/>
          <w:szCs w:val="21"/>
          <w:highlight w:val="none"/>
          <w:lang w:eastAsia="zh-CN" w:bidi="ar"/>
        </w:rPr>
        <w:t>评审、</w:t>
      </w:r>
      <w:r>
        <w:rPr>
          <w:rFonts w:hint="eastAsia" w:ascii="宋体" w:hAnsi="宋体" w:cs="宋体"/>
          <w:color w:val="auto"/>
          <w:sz w:val="21"/>
          <w:szCs w:val="21"/>
          <w:highlight w:val="none"/>
          <w:lang w:bidi="ar"/>
        </w:rPr>
        <w:t>验收，</w:t>
      </w:r>
      <w:r>
        <w:rPr>
          <w:rFonts w:hint="eastAsia" w:ascii="宋体" w:hAnsi="宋体" w:cs="宋体"/>
          <w:color w:val="auto"/>
          <w:sz w:val="21"/>
          <w:szCs w:val="21"/>
          <w:highlight w:val="none"/>
          <w:lang w:eastAsia="zh-CN" w:bidi="ar"/>
        </w:rPr>
        <w:t>评审、</w:t>
      </w:r>
      <w:r>
        <w:rPr>
          <w:rFonts w:hint="eastAsia" w:ascii="宋体" w:hAnsi="宋体" w:cs="宋体"/>
          <w:color w:val="auto"/>
          <w:sz w:val="21"/>
          <w:szCs w:val="21"/>
          <w:highlight w:val="none"/>
          <w:lang w:bidi="ar"/>
        </w:rPr>
        <w:t>验收过程所产生的专家咨询费等相关费用由</w:t>
      </w:r>
      <w:r>
        <w:rPr>
          <w:rFonts w:hint="eastAsia" w:ascii="宋体" w:hAnsi="宋体" w:cs="宋体"/>
          <w:color w:val="auto"/>
          <w:sz w:val="21"/>
          <w:szCs w:val="21"/>
          <w:highlight w:val="none"/>
          <w:lang w:eastAsia="zh-CN" w:bidi="ar"/>
        </w:rPr>
        <w:t>供应商</w:t>
      </w:r>
      <w:r>
        <w:rPr>
          <w:rFonts w:hint="eastAsia" w:ascii="宋体" w:hAnsi="宋体" w:cs="宋体"/>
          <w:color w:val="auto"/>
          <w:sz w:val="21"/>
          <w:szCs w:val="21"/>
          <w:highlight w:val="none"/>
          <w:lang w:bidi="ar"/>
        </w:rPr>
        <w:t>承担。</w:t>
      </w:r>
    </w:p>
    <w:p w14:paraId="0382B583">
      <w:pPr>
        <w:widowControl/>
        <w:spacing w:line="360" w:lineRule="auto"/>
        <w:ind w:firstLine="422" w:firstLineChars="200"/>
        <w:outlineLvl w:val="2"/>
        <w:rPr>
          <w:rFonts w:ascii="宋体" w:hAnsi="宋体" w:cs="宋体"/>
          <w:b/>
          <w:bCs/>
          <w:color w:val="auto"/>
          <w:sz w:val="21"/>
          <w:szCs w:val="21"/>
          <w:highlight w:val="none"/>
          <w:lang w:bidi="ar"/>
        </w:rPr>
      </w:pPr>
      <w:r>
        <w:rPr>
          <w:rFonts w:hint="eastAsia" w:ascii="宋体" w:hAnsi="宋体" w:cs="宋体"/>
          <w:b/>
          <w:bCs/>
          <w:color w:val="auto"/>
          <w:sz w:val="21"/>
          <w:szCs w:val="21"/>
          <w:highlight w:val="none"/>
          <w:lang w:bidi="ar"/>
        </w:rPr>
        <w:t>（四）付款方式</w:t>
      </w:r>
    </w:p>
    <w:p w14:paraId="189E150A">
      <w:pPr>
        <w:widowControl/>
        <w:spacing w:line="360" w:lineRule="auto"/>
        <w:ind w:firstLine="420" w:firstLineChars="200"/>
        <w:rPr>
          <w:rFonts w:ascii="宋体" w:hAnsi="宋体" w:cs="宋体"/>
          <w:color w:val="auto"/>
          <w:sz w:val="21"/>
          <w:szCs w:val="21"/>
          <w:highlight w:val="none"/>
          <w:lang w:bidi="ar"/>
        </w:rPr>
      </w:pPr>
      <w:r>
        <w:rPr>
          <w:rFonts w:hint="eastAsia" w:ascii="宋体" w:hAnsi="宋体" w:cs="宋体"/>
          <w:color w:val="auto"/>
          <w:sz w:val="21"/>
          <w:szCs w:val="21"/>
          <w:highlight w:val="none"/>
          <w:lang w:eastAsia="zh-CN" w:bidi="ar"/>
        </w:rPr>
        <w:t>采购人</w:t>
      </w:r>
      <w:r>
        <w:rPr>
          <w:rFonts w:hint="eastAsia" w:ascii="宋体" w:hAnsi="宋体" w:cs="宋体"/>
          <w:color w:val="auto"/>
          <w:sz w:val="21"/>
          <w:szCs w:val="21"/>
          <w:highlight w:val="none"/>
          <w:lang w:bidi="ar"/>
        </w:rPr>
        <w:t>根据</w:t>
      </w:r>
      <w:r>
        <w:rPr>
          <w:rFonts w:hint="eastAsia" w:ascii="宋体" w:hAnsi="宋体" w:cs="宋体"/>
          <w:color w:val="auto"/>
          <w:sz w:val="21"/>
          <w:szCs w:val="21"/>
          <w:highlight w:val="none"/>
          <w:lang w:eastAsia="zh-CN" w:bidi="ar"/>
        </w:rPr>
        <w:t>供应商</w:t>
      </w:r>
      <w:r>
        <w:rPr>
          <w:rFonts w:hint="eastAsia" w:ascii="宋体" w:hAnsi="宋体" w:cs="宋体"/>
          <w:color w:val="auto"/>
          <w:sz w:val="21"/>
          <w:szCs w:val="21"/>
          <w:highlight w:val="none"/>
          <w:lang w:bidi="ar"/>
        </w:rPr>
        <w:t>的工作进度，分期支付合同价款。</w:t>
      </w:r>
      <w:r>
        <w:rPr>
          <w:rFonts w:hint="eastAsia" w:ascii="宋体" w:hAnsi="宋体" w:cs="宋体"/>
          <w:color w:val="auto"/>
          <w:sz w:val="21"/>
          <w:szCs w:val="21"/>
          <w:highlight w:val="none"/>
          <w:lang w:eastAsia="zh-CN" w:bidi="ar"/>
        </w:rPr>
        <w:t>供应商</w:t>
      </w:r>
      <w:r>
        <w:rPr>
          <w:rFonts w:hint="eastAsia" w:ascii="宋体" w:hAnsi="宋体" w:cs="宋体"/>
          <w:color w:val="auto"/>
          <w:sz w:val="21"/>
          <w:szCs w:val="21"/>
          <w:highlight w:val="none"/>
          <w:lang w:bidi="ar"/>
        </w:rPr>
        <w:t>根据工作进度，向</w:t>
      </w:r>
      <w:r>
        <w:rPr>
          <w:rFonts w:hint="eastAsia" w:ascii="宋体" w:hAnsi="宋体" w:cs="宋体"/>
          <w:color w:val="auto"/>
          <w:sz w:val="21"/>
          <w:szCs w:val="21"/>
          <w:highlight w:val="none"/>
          <w:lang w:eastAsia="zh-CN" w:bidi="ar"/>
        </w:rPr>
        <w:t>采购人</w:t>
      </w:r>
      <w:r>
        <w:rPr>
          <w:rFonts w:hint="eastAsia" w:ascii="宋体" w:hAnsi="宋体" w:cs="宋体"/>
          <w:color w:val="auto"/>
          <w:sz w:val="21"/>
          <w:szCs w:val="21"/>
          <w:highlight w:val="none"/>
          <w:lang w:bidi="ar"/>
        </w:rPr>
        <w:t>提交支付申请，并附相应的支持性证明文件。</w:t>
      </w:r>
    </w:p>
    <w:p w14:paraId="5078F432">
      <w:pPr>
        <w:widowControl/>
        <w:spacing w:line="360" w:lineRule="auto"/>
        <w:ind w:firstLine="420" w:firstLineChars="200"/>
        <w:rPr>
          <w:rFonts w:ascii="宋体" w:hAnsi="宋体" w:cs="宋体"/>
          <w:color w:val="auto"/>
          <w:sz w:val="21"/>
          <w:szCs w:val="21"/>
          <w:highlight w:val="none"/>
          <w:lang w:bidi="ar"/>
        </w:rPr>
      </w:pPr>
      <w:r>
        <w:rPr>
          <w:rFonts w:hint="eastAsia" w:ascii="宋体" w:hAnsi="宋体" w:cs="宋体"/>
          <w:color w:val="auto"/>
          <w:sz w:val="21"/>
          <w:szCs w:val="21"/>
          <w:highlight w:val="none"/>
          <w:lang w:bidi="ar"/>
        </w:rPr>
        <w:t>因本项目经费为财政性资金，由于财政资金未按时到位或财政资金管理原因暂时不能支付的，合同价款的支付时间相应顺延，并且</w:t>
      </w:r>
      <w:r>
        <w:rPr>
          <w:rFonts w:hint="eastAsia" w:ascii="宋体" w:hAnsi="宋体" w:cs="宋体"/>
          <w:color w:val="auto"/>
          <w:sz w:val="21"/>
          <w:szCs w:val="21"/>
          <w:highlight w:val="none"/>
          <w:lang w:eastAsia="zh-CN" w:bidi="ar"/>
        </w:rPr>
        <w:t>采购人</w:t>
      </w:r>
      <w:r>
        <w:rPr>
          <w:rFonts w:hint="eastAsia" w:ascii="宋体" w:hAnsi="宋体" w:cs="宋体"/>
          <w:color w:val="auto"/>
          <w:sz w:val="21"/>
          <w:szCs w:val="21"/>
          <w:highlight w:val="none"/>
          <w:lang w:bidi="ar"/>
        </w:rPr>
        <w:t>不因此承担逾期付款的违约责任。</w:t>
      </w:r>
    </w:p>
    <w:p w14:paraId="44B31947">
      <w:pPr>
        <w:widowControl/>
        <w:spacing w:line="360" w:lineRule="auto"/>
        <w:ind w:firstLine="420" w:firstLineChars="200"/>
        <w:rPr>
          <w:rFonts w:ascii="宋体" w:hAnsi="宋体" w:cs="宋体"/>
          <w:color w:val="auto"/>
          <w:sz w:val="21"/>
          <w:szCs w:val="21"/>
          <w:highlight w:val="none"/>
          <w:lang w:bidi="ar"/>
        </w:rPr>
      </w:pPr>
      <w:r>
        <w:rPr>
          <w:rFonts w:hint="eastAsia" w:ascii="宋体" w:hAnsi="宋体" w:cs="宋体"/>
          <w:color w:val="auto"/>
          <w:sz w:val="21"/>
          <w:szCs w:val="21"/>
          <w:highlight w:val="none"/>
          <w:lang w:bidi="ar"/>
        </w:rPr>
        <w:t>1. 第一期付款</w:t>
      </w:r>
      <w:r>
        <w:rPr>
          <w:rFonts w:hint="eastAsia" w:ascii="宋体" w:hAnsi="宋体" w:cs="宋体"/>
          <w:color w:val="auto"/>
          <w:sz w:val="21"/>
          <w:szCs w:val="21"/>
          <w:highlight w:val="none"/>
          <w:lang w:eastAsia="zh-CN" w:bidi="ar"/>
        </w:rPr>
        <w:t>（预付款）</w:t>
      </w:r>
      <w:r>
        <w:rPr>
          <w:rFonts w:hint="eastAsia" w:ascii="宋体" w:hAnsi="宋体" w:cs="宋体"/>
          <w:color w:val="auto"/>
          <w:sz w:val="21"/>
          <w:szCs w:val="21"/>
          <w:highlight w:val="none"/>
          <w:lang w:bidi="ar"/>
        </w:rPr>
        <w:t>：</w:t>
      </w:r>
      <w:r>
        <w:rPr>
          <w:rFonts w:hint="eastAsia" w:ascii="宋体" w:hAnsi="宋体" w:cs="宋体"/>
          <w:color w:val="auto"/>
          <w:sz w:val="21"/>
          <w:szCs w:val="21"/>
          <w:highlight w:val="none"/>
          <w:lang w:eastAsia="zh-CN" w:bidi="ar"/>
        </w:rPr>
        <w:t>合同签署后，由供应商提交预付款支付申请，采购人收到预付款支付申请后的14天内，向供应商支付合同价的</w:t>
      </w:r>
      <w:r>
        <w:rPr>
          <w:rFonts w:hint="eastAsia" w:ascii="宋体" w:hAnsi="宋体" w:cs="宋体"/>
          <w:color w:val="auto"/>
          <w:sz w:val="21"/>
          <w:szCs w:val="21"/>
          <w:highlight w:val="none"/>
          <w:lang w:val="en-US" w:eastAsia="zh-CN" w:bidi="ar"/>
        </w:rPr>
        <w:t>3</w:t>
      </w:r>
      <w:r>
        <w:rPr>
          <w:rFonts w:hint="eastAsia" w:ascii="宋体" w:hAnsi="宋体" w:cs="宋体"/>
          <w:color w:val="auto"/>
          <w:sz w:val="21"/>
          <w:szCs w:val="21"/>
          <w:highlight w:val="none"/>
          <w:lang w:eastAsia="zh-CN" w:bidi="ar"/>
        </w:rPr>
        <w:t>0%作为预付款；供应商应当提供等额的增值税普通发票；本合同履行后，预付款抵作进度款，如因发生不可抗力事件导致预付款已支付但合同无法继续履行的情况，供应商应向采购人退还尚未开展工作内容对应的款项</w:t>
      </w:r>
      <w:r>
        <w:rPr>
          <w:rFonts w:hint="eastAsia" w:ascii="宋体" w:hAnsi="宋体" w:cs="宋体"/>
          <w:color w:val="auto"/>
          <w:sz w:val="21"/>
          <w:szCs w:val="21"/>
          <w:highlight w:val="none"/>
          <w:lang w:bidi="ar"/>
        </w:rPr>
        <w:t>。</w:t>
      </w:r>
    </w:p>
    <w:p w14:paraId="507CE862">
      <w:pPr>
        <w:widowControl/>
        <w:spacing w:line="360" w:lineRule="auto"/>
        <w:ind w:firstLine="420" w:firstLineChars="200"/>
        <w:rPr>
          <w:rFonts w:ascii="宋体" w:hAnsi="宋体" w:cs="宋体"/>
          <w:color w:val="auto"/>
          <w:sz w:val="24"/>
          <w:highlight w:val="none"/>
          <w:lang w:bidi="ar"/>
        </w:rPr>
      </w:pPr>
      <w:r>
        <w:rPr>
          <w:rFonts w:hint="eastAsia" w:ascii="宋体" w:hAnsi="宋体" w:cs="宋体"/>
          <w:color w:val="auto"/>
          <w:sz w:val="21"/>
          <w:szCs w:val="21"/>
          <w:highlight w:val="none"/>
          <w:lang w:val="en-US" w:eastAsia="zh-CN" w:bidi="ar"/>
        </w:rPr>
        <w:t>2</w:t>
      </w:r>
      <w:r>
        <w:rPr>
          <w:rFonts w:hint="eastAsia" w:ascii="宋体" w:hAnsi="宋体" w:cs="宋体"/>
          <w:color w:val="auto"/>
          <w:sz w:val="21"/>
          <w:szCs w:val="21"/>
          <w:highlight w:val="none"/>
          <w:lang w:bidi="ar"/>
        </w:rPr>
        <w:t>. 第二期付款</w:t>
      </w:r>
      <w:r>
        <w:rPr>
          <w:rFonts w:hint="eastAsia" w:ascii="宋体" w:hAnsi="宋体" w:cs="宋体"/>
          <w:color w:val="auto"/>
          <w:sz w:val="21"/>
          <w:szCs w:val="21"/>
          <w:highlight w:val="none"/>
          <w:lang w:eastAsia="zh-CN" w:bidi="ar"/>
        </w:rPr>
        <w:t>（尾款）</w:t>
      </w:r>
      <w:r>
        <w:rPr>
          <w:rFonts w:hint="eastAsia" w:ascii="宋体" w:hAnsi="宋体" w:cs="宋体"/>
          <w:color w:val="auto"/>
          <w:sz w:val="21"/>
          <w:szCs w:val="21"/>
          <w:highlight w:val="none"/>
          <w:lang w:bidi="ar"/>
        </w:rPr>
        <w:t>：在</w:t>
      </w:r>
      <w:r>
        <w:rPr>
          <w:rFonts w:hint="eastAsia" w:ascii="宋体" w:hAnsi="宋体" w:cs="宋体"/>
          <w:color w:val="auto"/>
          <w:sz w:val="21"/>
          <w:szCs w:val="21"/>
          <w:highlight w:val="none"/>
          <w:lang w:eastAsia="zh-CN" w:bidi="ar"/>
        </w:rPr>
        <w:t>所有合同工作完成且评审验收合格</w:t>
      </w:r>
      <w:r>
        <w:rPr>
          <w:rFonts w:hint="eastAsia" w:ascii="宋体" w:hAnsi="宋体" w:cs="宋体"/>
          <w:color w:val="auto"/>
          <w:sz w:val="21"/>
          <w:szCs w:val="21"/>
          <w:highlight w:val="none"/>
          <w:lang w:bidi="ar"/>
        </w:rPr>
        <w:t>，</w:t>
      </w:r>
      <w:r>
        <w:rPr>
          <w:rFonts w:hint="eastAsia" w:ascii="宋体" w:hAnsi="宋体" w:cs="宋体"/>
          <w:color w:val="auto"/>
          <w:sz w:val="21"/>
          <w:szCs w:val="21"/>
          <w:highlight w:val="none"/>
          <w:lang w:eastAsia="zh-CN" w:bidi="ar"/>
        </w:rPr>
        <w:t>供应商提交专题研究报告最终稿后，由供应商提交进度款支付申请，采购人收到进度款支付申请后的14天内，向供应商支付至签约合同价的100%；供应商应当提供等额的增值税发票</w:t>
      </w:r>
      <w:r>
        <w:rPr>
          <w:rFonts w:hint="eastAsia" w:ascii="宋体" w:hAnsi="宋体" w:cs="宋体"/>
          <w:color w:val="auto"/>
          <w:sz w:val="21"/>
          <w:szCs w:val="21"/>
          <w:highlight w:val="none"/>
          <w:lang w:bidi="ar"/>
        </w:rPr>
        <w:t>。</w:t>
      </w:r>
    </w:p>
    <w:p w14:paraId="740B92DC">
      <w:pPr>
        <w:widowControl/>
        <w:spacing w:line="360" w:lineRule="auto"/>
        <w:ind w:firstLine="422" w:firstLineChars="200"/>
        <w:outlineLvl w:val="2"/>
        <w:rPr>
          <w:rFonts w:hint="eastAsia" w:ascii="宋体" w:hAnsi="宋体" w:eastAsia="宋体" w:cs="宋体"/>
          <w:b/>
          <w:bCs/>
          <w:color w:val="auto"/>
          <w:sz w:val="21"/>
          <w:szCs w:val="21"/>
          <w:highlight w:val="none"/>
          <w:lang w:bidi="ar"/>
        </w:rPr>
      </w:pPr>
      <w:r>
        <w:rPr>
          <w:rFonts w:hint="eastAsia" w:ascii="宋体" w:hAnsi="宋体" w:eastAsia="宋体" w:cs="宋体"/>
          <w:b/>
          <w:bCs/>
          <w:color w:val="auto"/>
          <w:sz w:val="21"/>
          <w:szCs w:val="21"/>
          <w:highlight w:val="none"/>
          <w:lang w:eastAsia="zh-CN" w:bidi="ar"/>
        </w:rPr>
        <w:t>（五）</w:t>
      </w:r>
      <w:r>
        <w:rPr>
          <w:rFonts w:hint="eastAsia" w:ascii="宋体" w:hAnsi="宋体" w:eastAsia="宋体" w:cs="宋体"/>
          <w:b/>
          <w:bCs/>
          <w:color w:val="auto"/>
          <w:sz w:val="21"/>
          <w:szCs w:val="21"/>
          <w:highlight w:val="none"/>
          <w:lang w:bidi="ar"/>
        </w:rPr>
        <w:t>履约保证金</w:t>
      </w:r>
    </w:p>
    <w:p w14:paraId="595D6855">
      <w:pPr>
        <w:widowControl/>
        <w:spacing w:line="360" w:lineRule="auto"/>
        <w:ind w:firstLine="420" w:firstLineChars="200"/>
        <w:rPr>
          <w:rFonts w:hint="eastAsia" w:ascii="宋体" w:hAnsi="宋体" w:cs="宋体"/>
          <w:color w:val="auto"/>
          <w:sz w:val="21"/>
          <w:szCs w:val="21"/>
          <w:highlight w:val="none"/>
          <w:lang w:bidi="ar"/>
        </w:rPr>
      </w:pPr>
      <w:r>
        <w:rPr>
          <w:rFonts w:hint="eastAsia" w:ascii="宋体" w:hAnsi="宋体" w:cs="宋体"/>
          <w:color w:val="auto"/>
          <w:sz w:val="21"/>
          <w:szCs w:val="21"/>
          <w:highlight w:val="none"/>
          <w:lang w:bidi="ar"/>
        </w:rPr>
        <w:t>在签订合同之前，</w:t>
      </w:r>
      <w:r>
        <w:rPr>
          <w:rFonts w:hint="eastAsia" w:ascii="宋体" w:hAnsi="宋体" w:cs="宋体"/>
          <w:color w:val="auto"/>
          <w:sz w:val="21"/>
          <w:szCs w:val="21"/>
          <w:highlight w:val="none"/>
          <w:lang w:eastAsia="zh-CN" w:bidi="ar"/>
        </w:rPr>
        <w:t>供应商</w:t>
      </w:r>
      <w:r>
        <w:rPr>
          <w:rFonts w:hint="eastAsia" w:ascii="宋体" w:hAnsi="宋体" w:cs="宋体"/>
          <w:color w:val="auto"/>
          <w:sz w:val="21"/>
          <w:szCs w:val="21"/>
          <w:highlight w:val="none"/>
          <w:lang w:bidi="ar"/>
        </w:rPr>
        <w:t>向</w:t>
      </w:r>
      <w:r>
        <w:rPr>
          <w:rFonts w:hint="eastAsia" w:ascii="宋体" w:hAnsi="宋体" w:cs="宋体"/>
          <w:color w:val="auto"/>
          <w:sz w:val="21"/>
          <w:szCs w:val="21"/>
          <w:highlight w:val="none"/>
          <w:lang w:eastAsia="zh-CN" w:bidi="ar"/>
        </w:rPr>
        <w:t>采购人</w:t>
      </w:r>
      <w:r>
        <w:rPr>
          <w:rFonts w:hint="eastAsia" w:ascii="宋体" w:hAnsi="宋体" w:cs="宋体"/>
          <w:color w:val="auto"/>
          <w:sz w:val="21"/>
          <w:szCs w:val="21"/>
          <w:highlight w:val="none"/>
          <w:lang w:bidi="ar"/>
        </w:rPr>
        <w:t>提交金额为签约合同价5%（或2%，如</w:t>
      </w:r>
      <w:r>
        <w:rPr>
          <w:rFonts w:hint="eastAsia" w:ascii="宋体" w:hAnsi="宋体" w:cs="宋体"/>
          <w:color w:val="auto"/>
          <w:sz w:val="21"/>
          <w:szCs w:val="21"/>
          <w:highlight w:val="none"/>
          <w:lang w:eastAsia="zh-CN" w:bidi="ar"/>
        </w:rPr>
        <w:t>供应商</w:t>
      </w:r>
      <w:r>
        <w:rPr>
          <w:rFonts w:hint="eastAsia" w:ascii="宋体" w:hAnsi="宋体" w:cs="宋体"/>
          <w:color w:val="auto"/>
          <w:sz w:val="21"/>
          <w:szCs w:val="21"/>
          <w:highlight w:val="none"/>
          <w:lang w:bidi="ar"/>
        </w:rPr>
        <w:t>为中小微企业时）的履约保证金。</w:t>
      </w:r>
      <w:r>
        <w:rPr>
          <w:rFonts w:hint="eastAsia" w:ascii="宋体" w:hAnsi="宋体" w:cs="宋体"/>
          <w:color w:val="auto"/>
          <w:sz w:val="21"/>
          <w:szCs w:val="21"/>
          <w:highlight w:val="none"/>
          <w:lang w:eastAsia="zh-CN" w:bidi="ar"/>
        </w:rPr>
        <w:t>供应商</w:t>
      </w:r>
      <w:r>
        <w:rPr>
          <w:rFonts w:hint="eastAsia" w:ascii="宋体" w:hAnsi="宋体" w:cs="宋体"/>
          <w:color w:val="auto"/>
          <w:sz w:val="21"/>
          <w:szCs w:val="21"/>
          <w:highlight w:val="none"/>
          <w:lang w:bidi="ar"/>
        </w:rPr>
        <w:t>未按约定提交履约保证金的，视为放弃中标资格，</w:t>
      </w:r>
      <w:r>
        <w:rPr>
          <w:rFonts w:hint="eastAsia" w:ascii="宋体" w:hAnsi="宋体" w:cs="宋体"/>
          <w:color w:val="auto"/>
          <w:sz w:val="21"/>
          <w:szCs w:val="21"/>
          <w:highlight w:val="none"/>
          <w:lang w:eastAsia="zh-CN" w:bidi="ar"/>
        </w:rPr>
        <w:t>采购人</w:t>
      </w:r>
      <w:r>
        <w:rPr>
          <w:rFonts w:hint="eastAsia" w:ascii="宋体" w:hAnsi="宋体" w:cs="宋体"/>
          <w:color w:val="auto"/>
          <w:sz w:val="21"/>
          <w:szCs w:val="21"/>
          <w:highlight w:val="none"/>
          <w:lang w:bidi="ar"/>
        </w:rPr>
        <w:t>有权不予与其签订合同；因此给</w:t>
      </w:r>
      <w:r>
        <w:rPr>
          <w:rFonts w:hint="eastAsia" w:ascii="宋体" w:hAnsi="宋体" w:cs="宋体"/>
          <w:color w:val="auto"/>
          <w:sz w:val="21"/>
          <w:szCs w:val="21"/>
          <w:highlight w:val="none"/>
          <w:lang w:eastAsia="zh-CN" w:bidi="ar"/>
        </w:rPr>
        <w:t>采购人</w:t>
      </w:r>
      <w:r>
        <w:rPr>
          <w:rFonts w:hint="eastAsia" w:ascii="宋体" w:hAnsi="宋体" w:cs="宋体"/>
          <w:color w:val="auto"/>
          <w:sz w:val="21"/>
          <w:szCs w:val="21"/>
          <w:highlight w:val="none"/>
          <w:lang w:bidi="ar"/>
        </w:rPr>
        <w:t>造成损失的，</w:t>
      </w:r>
      <w:r>
        <w:rPr>
          <w:rFonts w:hint="eastAsia" w:ascii="宋体" w:hAnsi="宋体" w:cs="宋体"/>
          <w:color w:val="auto"/>
          <w:sz w:val="21"/>
          <w:szCs w:val="21"/>
          <w:highlight w:val="none"/>
          <w:lang w:eastAsia="zh-CN" w:bidi="ar"/>
        </w:rPr>
        <w:t>供应商</w:t>
      </w:r>
      <w:r>
        <w:rPr>
          <w:rFonts w:hint="eastAsia" w:ascii="宋体" w:hAnsi="宋体" w:cs="宋体"/>
          <w:color w:val="auto"/>
          <w:sz w:val="21"/>
          <w:szCs w:val="21"/>
          <w:highlight w:val="none"/>
          <w:lang w:bidi="ar"/>
        </w:rPr>
        <w:t>还应承担相应的赔偿责任。</w:t>
      </w:r>
    </w:p>
    <w:p w14:paraId="358D6E5D">
      <w:pPr>
        <w:widowControl/>
        <w:spacing w:line="360" w:lineRule="auto"/>
        <w:ind w:firstLine="420" w:firstLineChars="200"/>
        <w:rPr>
          <w:rFonts w:hint="eastAsia" w:ascii="宋体" w:hAnsi="宋体" w:cs="宋体"/>
          <w:color w:val="auto"/>
          <w:sz w:val="21"/>
          <w:szCs w:val="21"/>
          <w:highlight w:val="none"/>
          <w:lang w:bidi="ar"/>
        </w:rPr>
      </w:pPr>
    </w:p>
    <w:p w14:paraId="0D3023D7">
      <w:pPr>
        <w:widowControl/>
        <w:spacing w:line="360" w:lineRule="auto"/>
        <w:ind w:firstLine="420" w:firstLineChars="200"/>
        <w:rPr>
          <w:rFonts w:hint="eastAsia" w:ascii="宋体" w:hAnsi="宋体" w:cs="宋体"/>
          <w:color w:val="auto"/>
          <w:sz w:val="21"/>
          <w:szCs w:val="21"/>
          <w:highlight w:val="none"/>
          <w:lang w:bidi="ar"/>
        </w:rPr>
      </w:pPr>
    </w:p>
    <w:p w14:paraId="2E90F7C7">
      <w:pPr>
        <w:rPr>
          <w:color w:val="auto"/>
          <w:sz w:val="28"/>
          <w:szCs w:val="28"/>
          <w:highlight w:val="none"/>
        </w:rPr>
      </w:pPr>
      <w:bookmarkStart w:id="75" w:name="_Toc23331"/>
      <w:bookmarkStart w:id="76" w:name="_Toc6863"/>
      <w:bookmarkStart w:id="77" w:name="_Toc12517"/>
      <w:r>
        <w:rPr>
          <w:rFonts w:hint="eastAsia"/>
          <w:color w:val="auto"/>
          <w:sz w:val="28"/>
          <w:szCs w:val="28"/>
          <w:highlight w:val="none"/>
        </w:rPr>
        <w:br w:type="page"/>
      </w:r>
    </w:p>
    <w:p w14:paraId="3304DF77">
      <w:pPr>
        <w:pStyle w:val="2"/>
        <w:spacing w:before="0" w:after="0" w:line="360" w:lineRule="auto"/>
        <w:jc w:val="center"/>
        <w:rPr>
          <w:color w:val="auto"/>
          <w:sz w:val="28"/>
          <w:szCs w:val="28"/>
          <w:highlight w:val="none"/>
        </w:rPr>
      </w:pPr>
      <w:bookmarkStart w:id="78" w:name="_Toc23860"/>
      <w:bookmarkStart w:id="79" w:name="_Toc22370"/>
      <w:bookmarkStart w:id="80" w:name="_Toc5075"/>
      <w:bookmarkStart w:id="81" w:name="_Toc8715"/>
      <w:bookmarkStart w:id="82" w:name="_Toc3595"/>
      <w:bookmarkStart w:id="83" w:name="_Toc26212"/>
      <w:bookmarkStart w:id="84" w:name="_Toc6744"/>
      <w:bookmarkStart w:id="85" w:name="_Toc27586"/>
      <w:bookmarkStart w:id="86" w:name="_Toc10480"/>
      <w:bookmarkStart w:id="87" w:name="_Toc28647"/>
      <w:bookmarkStart w:id="88" w:name="_Toc24083"/>
      <w:bookmarkStart w:id="89" w:name="_Toc16772"/>
      <w:bookmarkStart w:id="90" w:name="_Toc17103"/>
      <w:r>
        <w:rPr>
          <w:rFonts w:hint="eastAsia"/>
          <w:color w:val="auto"/>
          <w:sz w:val="28"/>
          <w:szCs w:val="28"/>
          <w:highlight w:val="none"/>
        </w:rPr>
        <w:t>第四章  评审办法</w:t>
      </w:r>
      <w:bookmarkEnd w:id="75"/>
      <w:bookmarkEnd w:id="76"/>
      <w:bookmarkEnd w:id="78"/>
      <w:bookmarkEnd w:id="79"/>
      <w:bookmarkEnd w:id="80"/>
      <w:bookmarkEnd w:id="81"/>
      <w:bookmarkEnd w:id="82"/>
      <w:bookmarkEnd w:id="83"/>
      <w:bookmarkEnd w:id="84"/>
      <w:bookmarkEnd w:id="85"/>
      <w:bookmarkEnd w:id="86"/>
      <w:bookmarkEnd w:id="87"/>
      <w:bookmarkEnd w:id="88"/>
      <w:bookmarkEnd w:id="89"/>
      <w:bookmarkEnd w:id="90"/>
    </w:p>
    <w:p w14:paraId="65225332">
      <w:pPr>
        <w:spacing w:line="360" w:lineRule="auto"/>
        <w:jc w:val="center"/>
        <w:outlineLvl w:val="1"/>
        <w:rPr>
          <w:rFonts w:ascii="宋体" w:hAnsi="宋体"/>
          <w:b/>
          <w:color w:val="auto"/>
          <w:sz w:val="24"/>
          <w:highlight w:val="none"/>
        </w:rPr>
      </w:pPr>
      <w:bookmarkStart w:id="91" w:name="_Toc24809"/>
      <w:bookmarkStart w:id="92" w:name="_Toc28533"/>
      <w:bookmarkStart w:id="93" w:name="_Toc16989"/>
      <w:bookmarkStart w:id="94" w:name="_Toc14190"/>
      <w:bookmarkStart w:id="95" w:name="_Toc32449"/>
      <w:bookmarkStart w:id="96" w:name="_Toc22297"/>
      <w:bookmarkStart w:id="97" w:name="_Toc17459"/>
      <w:bookmarkStart w:id="98" w:name="_Toc6364"/>
      <w:bookmarkStart w:id="99" w:name="_Toc32309"/>
      <w:bookmarkStart w:id="100" w:name="_Toc19504"/>
      <w:bookmarkStart w:id="101" w:name="_Toc24776"/>
      <w:bookmarkStart w:id="102" w:name="_Toc26385"/>
      <w:bookmarkStart w:id="103" w:name="_Toc11870"/>
      <w:bookmarkStart w:id="104" w:name="_Toc21905"/>
      <w:bookmarkStart w:id="105" w:name="_Toc13494"/>
      <w:r>
        <w:rPr>
          <w:rFonts w:hint="eastAsia" w:ascii="宋体" w:hAnsi="宋体"/>
          <w:b/>
          <w:color w:val="auto"/>
          <w:sz w:val="24"/>
          <w:highlight w:val="none"/>
        </w:rPr>
        <w:t>第一节  评审程序和评审方法</w:t>
      </w:r>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p>
    <w:bookmarkEnd w:id="77"/>
    <w:p w14:paraId="6B9EB64B">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根据《中华人民共和国政府采购法》《中华人民共和国民法典》《</w:t>
      </w:r>
      <w:r>
        <w:rPr>
          <w:rFonts w:hint="eastAsia" w:ascii="宋体" w:hAnsi="宋体" w:cs="宋体"/>
          <w:color w:val="auto"/>
          <w:szCs w:val="21"/>
          <w:highlight w:val="none"/>
          <w:lang w:eastAsia="zh-CN"/>
        </w:rPr>
        <w:t>广西壮族自治区港航发展中心</w:t>
      </w:r>
      <w:r>
        <w:rPr>
          <w:rFonts w:ascii="宋体" w:hAnsi="宋体" w:cs="宋体"/>
          <w:color w:val="auto"/>
          <w:szCs w:val="21"/>
          <w:highlight w:val="none"/>
        </w:rPr>
        <w:t>自行采购管理办法》等有关规定，采购人组建合议小组（评审小组）按本采购文件规定，对响应文件进行评审。</w:t>
      </w:r>
      <w:r>
        <w:rPr>
          <w:rFonts w:hint="eastAsia" w:ascii="宋体" w:hAnsi="宋体" w:cs="宋体"/>
          <w:color w:val="auto"/>
          <w:szCs w:val="21"/>
          <w:highlight w:val="none"/>
        </w:rPr>
        <w:t>本次采购采用综合评估法。</w:t>
      </w:r>
    </w:p>
    <w:p w14:paraId="083953B8">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一、资格审查</w:t>
      </w:r>
    </w:p>
    <w:p w14:paraId="1B6A4676">
      <w:pPr>
        <w:snapToGrid w:val="0"/>
        <w:spacing w:line="360" w:lineRule="auto"/>
        <w:ind w:firstLine="420" w:firstLineChars="200"/>
        <w:rPr>
          <w:rFonts w:ascii="宋体" w:hAnsi="宋体"/>
          <w:color w:val="auto"/>
          <w:szCs w:val="21"/>
          <w:highlight w:val="none"/>
        </w:rPr>
      </w:pPr>
      <w:r>
        <w:rPr>
          <w:rFonts w:hint="eastAsia" w:ascii="宋体" w:hAnsi="宋体" w:cs="宋体"/>
          <w:color w:val="auto"/>
          <w:szCs w:val="21"/>
          <w:highlight w:val="none"/>
        </w:rPr>
        <w:t>（一）</w:t>
      </w:r>
      <w:r>
        <w:rPr>
          <w:rFonts w:hint="eastAsia" w:ascii="宋体" w:hAnsi="宋体"/>
          <w:color w:val="auto"/>
          <w:szCs w:val="21"/>
          <w:highlight w:val="none"/>
        </w:rPr>
        <w:t>评审小组依法对供应商的响应文件中资格证明文件进行审查。</w:t>
      </w:r>
    </w:p>
    <w:p w14:paraId="39288E29">
      <w:pPr>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1.查询渠道：</w:t>
      </w:r>
      <w:r>
        <w:rPr>
          <w:rFonts w:ascii="宋体" w:hAnsi="宋体" w:cs="宋体"/>
          <w:color w:val="auto"/>
          <w:szCs w:val="21"/>
          <w:highlight w:val="none"/>
        </w:rPr>
        <w:t>“信用中国”网站、中国政府采购网</w:t>
      </w:r>
      <w:r>
        <w:rPr>
          <w:rFonts w:hint="eastAsia" w:ascii="宋体" w:hAnsi="宋体" w:cs="宋体"/>
          <w:color w:val="auto"/>
          <w:szCs w:val="21"/>
          <w:highlight w:val="none"/>
        </w:rPr>
        <w:t>。</w:t>
      </w:r>
    </w:p>
    <w:p w14:paraId="60233D5A">
      <w:pPr>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2.信用查询截止时点：</w:t>
      </w:r>
      <w:r>
        <w:rPr>
          <w:rFonts w:ascii="宋体" w:hAnsi="宋体" w:cs="宋体"/>
          <w:color w:val="auto"/>
          <w:szCs w:val="21"/>
          <w:highlight w:val="none"/>
        </w:rPr>
        <w:t>资格审查结束前</w:t>
      </w:r>
    </w:p>
    <w:p w14:paraId="392563E5">
      <w:pPr>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3.查询记录和证据留存方式：将查询网站中的查询记录截图并作为评审资料保存。</w:t>
      </w:r>
    </w:p>
    <w:p w14:paraId="7C58C74B">
      <w:pPr>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4.信用信息使用规则：</w:t>
      </w:r>
    </w:p>
    <w:p w14:paraId="28430165">
      <w:pPr>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对在“信用中国”网站、中国政府采购网被列入失信被执行人、重大税收违法案件当事人名单、政府采购严重违法失信行为记录名单及其他不符合《中华人民共和国政府采购法》第二十二条规定条件的供应商，不得参与本次采购活动。</w:t>
      </w:r>
    </w:p>
    <w:p w14:paraId="2ADDD505">
      <w:pPr>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（2)资格审查标准为本采购文件中载明对供应商资格要求的条件。资格审查采用合格制，凡符合采购文件规定的供应商资格要求的响应文件均通过资格审查。</w:t>
      </w:r>
    </w:p>
    <w:p w14:paraId="7E13C05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(3)供应商资格审查不通过的，其响应文件按无效响应处理。</w:t>
      </w:r>
    </w:p>
    <w:p w14:paraId="31C0A3BE">
      <w:pPr>
        <w:tabs>
          <w:tab w:val="left" w:pos="3150"/>
        </w:tabs>
        <w:spacing w:line="360" w:lineRule="auto"/>
        <w:ind w:firstLine="420" w:firstLineChars="200"/>
        <w:rPr>
          <w:color w:val="auto"/>
          <w:highlight w:val="none"/>
        </w:rPr>
      </w:pPr>
      <w:r>
        <w:rPr>
          <w:rFonts w:hint="eastAsia" w:ascii="宋体" w:hAnsi="宋体" w:cs="宋体"/>
          <w:color w:val="auto"/>
          <w:szCs w:val="21"/>
          <w:highlight w:val="none"/>
        </w:rPr>
        <w:t>(4)</w:t>
      </w:r>
      <w:r>
        <w:rPr>
          <w:rFonts w:hint="eastAsia"/>
          <w:color w:val="auto"/>
          <w:highlight w:val="none"/>
        </w:rPr>
        <w:t>凡是不满足资格审查中的任意一条，均为不通过资格审查。</w:t>
      </w:r>
    </w:p>
    <w:p w14:paraId="008B1140">
      <w:pPr>
        <w:tabs>
          <w:tab w:val="left" w:pos="3150"/>
        </w:tabs>
        <w:spacing w:line="360" w:lineRule="auto"/>
        <w:ind w:firstLine="420" w:firstLineChars="200"/>
        <w:rPr>
          <w:color w:val="auto"/>
          <w:highlight w:val="none"/>
        </w:rPr>
      </w:pPr>
      <w:r>
        <w:rPr>
          <w:rFonts w:hint="eastAsia" w:ascii="宋体" w:hAnsi="宋体" w:cs="宋体"/>
          <w:color w:val="auto"/>
          <w:szCs w:val="21"/>
          <w:highlight w:val="none"/>
        </w:rPr>
        <w:t>(5)</w:t>
      </w:r>
      <w:r>
        <w:rPr>
          <w:rFonts w:hint="eastAsia"/>
          <w:color w:val="auto"/>
          <w:highlight w:val="none"/>
        </w:rPr>
        <w:t>如果通过资格审查的投标供应商不足三家：</w:t>
      </w:r>
    </w:p>
    <w:p w14:paraId="7EF076D7">
      <w:pPr>
        <w:tabs>
          <w:tab w:val="left" w:pos="3150"/>
        </w:tabs>
        <w:spacing w:line="360" w:lineRule="auto"/>
        <w:ind w:firstLine="420" w:firstLineChars="200"/>
        <w:rPr>
          <w:color w:val="auto"/>
          <w:highlight w:val="none"/>
        </w:rPr>
      </w:pPr>
      <w:r>
        <w:rPr>
          <w:rFonts w:hint="eastAsia" w:ascii="宋体" w:hAnsi="宋体" w:cs="宋体"/>
          <w:color w:val="auto"/>
          <w:highlight w:val="none"/>
        </w:rPr>
        <w:t>①</w:t>
      </w:r>
      <w:r>
        <w:rPr>
          <w:rFonts w:hint="eastAsia"/>
          <w:color w:val="auto"/>
          <w:highlight w:val="none"/>
        </w:rPr>
        <w:t>延长采购公告时间，延期3个工作日。</w:t>
      </w:r>
    </w:p>
    <w:p w14:paraId="058C34E0">
      <w:pPr>
        <w:tabs>
          <w:tab w:val="left" w:pos="3150"/>
        </w:tabs>
        <w:spacing w:line="360" w:lineRule="auto"/>
        <w:ind w:firstLine="420" w:firstLineChars="200"/>
        <w:rPr>
          <w:color w:val="auto"/>
          <w:highlight w:val="none"/>
        </w:rPr>
      </w:pPr>
      <w:r>
        <w:rPr>
          <w:rFonts w:hint="eastAsia" w:ascii="宋体" w:hAnsi="宋体" w:cs="宋体"/>
          <w:color w:val="auto"/>
          <w:highlight w:val="none"/>
        </w:rPr>
        <w:t>②</w:t>
      </w:r>
      <w:r>
        <w:rPr>
          <w:rFonts w:hint="eastAsia"/>
          <w:color w:val="auto"/>
          <w:highlight w:val="none"/>
        </w:rPr>
        <w:t>延期时间截止，响应供应商为2家或2家以上的，按照正常采购流程开展。</w:t>
      </w:r>
    </w:p>
    <w:p w14:paraId="28F3AD09">
      <w:pPr>
        <w:snapToGrid w:val="0"/>
        <w:spacing w:line="360" w:lineRule="auto"/>
        <w:ind w:firstLine="420" w:firstLineChars="200"/>
        <w:jc w:val="left"/>
        <w:rPr>
          <w:rFonts w:ascii="宋体" w:hAnsi="宋体" w:cs="宋体"/>
          <w:color w:val="auto"/>
          <w:szCs w:val="21"/>
          <w:highlight w:val="none"/>
        </w:rPr>
      </w:pPr>
      <w:r>
        <w:rPr>
          <w:rFonts w:hint="eastAsia" w:ascii="仿宋" w:hAnsi="仿宋" w:eastAsia="仿宋" w:cs="仿宋"/>
          <w:color w:val="auto"/>
          <w:highlight w:val="none"/>
        </w:rPr>
        <w:t>③</w:t>
      </w:r>
      <w:r>
        <w:rPr>
          <w:rFonts w:hint="eastAsia"/>
          <w:color w:val="auto"/>
          <w:highlight w:val="none"/>
        </w:rPr>
        <w:t>延期时间截止，响应供应商为1家的，由</w:t>
      </w:r>
      <w:r>
        <w:rPr>
          <w:rFonts w:hint="eastAsia" w:ascii="宋体" w:hAnsi="宋体" w:cs="宋体"/>
          <w:color w:val="auto"/>
          <w:szCs w:val="21"/>
          <w:highlight w:val="none"/>
        </w:rPr>
        <w:t>采购人</w:t>
      </w:r>
      <w:r>
        <w:rPr>
          <w:rFonts w:hint="eastAsia"/>
          <w:color w:val="auto"/>
          <w:highlight w:val="none"/>
        </w:rPr>
        <w:t>审核供应商投标文件，</w:t>
      </w:r>
      <w:r>
        <w:rPr>
          <w:rFonts w:hint="eastAsia" w:ascii="宋体" w:hAnsi="宋体" w:cs="宋体"/>
          <w:color w:val="auto"/>
          <w:szCs w:val="21"/>
          <w:highlight w:val="none"/>
        </w:rPr>
        <w:t>确定满足采购方案的条件后，组成谈判小组与供应商谈判。根据采购人内部程序，确定中标人，签订采购合同、支付合同款等。</w:t>
      </w:r>
    </w:p>
    <w:p w14:paraId="7EB209C2">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二、符合性审查</w:t>
      </w:r>
    </w:p>
    <w:p w14:paraId="6777F258">
      <w:pPr>
        <w:spacing w:line="360" w:lineRule="auto"/>
        <w:ind w:firstLine="420" w:firstLineChars="200"/>
        <w:rPr>
          <w:rFonts w:ascii="宋体" w:hAnsi="宋体" w:cs="宋体"/>
          <w:color w:val="auto"/>
          <w:szCs w:val="21"/>
          <w:highlight w:val="none"/>
        </w:rPr>
      </w:pPr>
      <w:bookmarkStart w:id="106" w:name="_Hlk42528882"/>
      <w:r>
        <w:rPr>
          <w:rFonts w:hint="eastAsia" w:ascii="宋体" w:hAnsi="宋体" w:cs="宋体"/>
          <w:color w:val="auto"/>
          <w:szCs w:val="21"/>
          <w:highlight w:val="none"/>
        </w:rPr>
        <w:t>（一）由评审小组对</w:t>
      </w:r>
      <w:r>
        <w:rPr>
          <w:rFonts w:hint="eastAsia" w:ascii="宋体" w:hAnsi="宋体"/>
          <w:color w:val="auto"/>
          <w:szCs w:val="21"/>
          <w:highlight w:val="none"/>
        </w:rPr>
        <w:t>资格审查的合格供应商</w:t>
      </w:r>
      <w:r>
        <w:rPr>
          <w:rFonts w:hint="eastAsia" w:ascii="宋体" w:hAnsi="宋体" w:cs="宋体"/>
          <w:color w:val="auto"/>
          <w:szCs w:val="21"/>
          <w:highlight w:val="none"/>
        </w:rPr>
        <w:t>的响应文件进行符合性审查，以确定其是否满足采购文件的实质性要求。</w:t>
      </w:r>
    </w:p>
    <w:bookmarkEnd w:id="106"/>
    <w:p w14:paraId="72D2E50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二）评审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3F631412">
      <w:pPr>
        <w:spacing w:line="360" w:lineRule="auto"/>
        <w:ind w:firstLine="420" w:firstLineChars="200"/>
        <w:rPr>
          <w:rFonts w:ascii="宋体" w:hAnsi="宋体" w:cs="宋体"/>
          <w:color w:val="auto"/>
          <w:spacing w:val="-6"/>
          <w:szCs w:val="21"/>
          <w:highlight w:val="none"/>
        </w:rPr>
      </w:pPr>
      <w:r>
        <w:rPr>
          <w:rFonts w:hint="eastAsia" w:ascii="宋体" w:hAnsi="宋体" w:cs="宋体"/>
          <w:color w:val="auto"/>
          <w:szCs w:val="21"/>
          <w:highlight w:val="none"/>
        </w:rPr>
        <w:t>（三）评审小组要求供应商澄清、说明或者更正响应文件应当以正式函形式作出。供应商的澄清、说明或者更正应当以正式形式按照评审小组的要求作出明确的澄清、说明或者更正，未按评审小组的要求作出明确澄清、说明或者更正的供应商的响应文件将按照有利于采购人的原则由评审小组进行判定。供应商的澄清、说明或者更正必须由法定代表人或者其授权代表签字或加盖供应商公章</w:t>
      </w:r>
      <w:r>
        <w:rPr>
          <w:rFonts w:hint="eastAsia" w:ascii="宋体" w:hAnsi="宋体" w:cs="宋体"/>
          <w:color w:val="auto"/>
          <w:spacing w:val="-6"/>
          <w:szCs w:val="21"/>
          <w:highlight w:val="none"/>
        </w:rPr>
        <w:t>。</w:t>
      </w:r>
    </w:p>
    <w:p w14:paraId="7E6F0E20">
      <w:pPr>
        <w:spacing w:line="360" w:lineRule="auto"/>
        <w:ind w:firstLine="396" w:firstLineChars="200"/>
        <w:rPr>
          <w:rFonts w:ascii="宋体" w:hAnsi="宋体" w:cs="宋体"/>
          <w:color w:val="auto"/>
          <w:szCs w:val="21"/>
          <w:highlight w:val="none"/>
        </w:rPr>
      </w:pPr>
      <w:r>
        <w:rPr>
          <w:rFonts w:hint="eastAsia" w:ascii="宋体" w:hAnsi="宋体" w:cs="宋体"/>
          <w:color w:val="auto"/>
          <w:spacing w:val="-6"/>
          <w:szCs w:val="21"/>
          <w:highlight w:val="none"/>
        </w:rPr>
        <w:t>（四）</w:t>
      </w:r>
      <w:r>
        <w:rPr>
          <w:rFonts w:hint="eastAsia" w:ascii="宋体" w:hAnsi="宋体" w:cs="宋体"/>
          <w:color w:val="auto"/>
          <w:szCs w:val="21"/>
          <w:highlight w:val="none"/>
        </w:rPr>
        <w:t xml:space="preserve">响应文件报价出现前后不一致的，按照下列规定修正： </w:t>
      </w:r>
    </w:p>
    <w:p w14:paraId="649B47C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1.响应文件中报价表内容与响应文件中相应内容不一致的，以报价表为准；</w:t>
      </w:r>
    </w:p>
    <w:p w14:paraId="1571A17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2.大写金额和小写金额不一致的，以大写金额为准；</w:t>
      </w:r>
    </w:p>
    <w:p w14:paraId="1447D6A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3.单价金额小数点或者百分比有明显错位的，以报价表的总价为准，并修改单价；</w:t>
      </w:r>
    </w:p>
    <w:p w14:paraId="39723EB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4.总价金额与按单价汇总金额不一致的，以单价金额计算结果为准。</w:t>
      </w:r>
    </w:p>
    <w:p w14:paraId="27BD161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同时出现两种以上不一致的，按照以上1-4规定的顺序逐条进行修正。修正后的报价经供应商确认后产生约束力，供应商不确认的，其响应文件按无效响应处理。</w:t>
      </w:r>
    </w:p>
    <w:p w14:paraId="5C431A22">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（五）商务技术及报价评审</w:t>
      </w:r>
    </w:p>
    <w:p w14:paraId="526D4229">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在评审时，如发现下列情形之一的，将被视为响应文件无效响应处理：</w:t>
      </w:r>
    </w:p>
    <w:p w14:paraId="710DF11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1.商务技术评审</w:t>
      </w:r>
    </w:p>
    <w:p w14:paraId="177BE00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（1）响应文件未按采购文件要求签署、盖章；</w:t>
      </w:r>
    </w:p>
    <w:p w14:paraId="6CDA58E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（2）委托代理人未能出具有效身份证或者出具的身份证与授权委托书中的信息不符的； </w:t>
      </w:r>
    </w:p>
    <w:p w14:paraId="22F0379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（3）响应文件的实质性内容未使用中文表述、使用计量单位不符合采购文件要求；</w:t>
      </w:r>
    </w:p>
    <w:p w14:paraId="0AE3BE1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（4）响应文件中的文件资料因填写不齐全或者内容虚假或者出现其他情形而导致被评审小组认定无效；</w:t>
      </w:r>
    </w:p>
    <w:p w14:paraId="1F405ED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（5）响应文件含有采购人不能接受的附加条件；</w:t>
      </w:r>
    </w:p>
    <w:p w14:paraId="4FB92A6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（6）虚假投标，或者出现其他情形而导致被评审小组认定无效；</w:t>
      </w:r>
    </w:p>
    <w:p w14:paraId="64439326">
      <w:pPr>
        <w:spacing w:line="360" w:lineRule="auto"/>
        <w:ind w:firstLine="420" w:firstLineChars="200"/>
        <w:rPr>
          <w:rFonts w:ascii="宋体" w:hAnsi="宋体" w:cs="宋体"/>
          <w:color w:val="auto"/>
          <w:szCs w:val="21"/>
          <w:highlight w:val="none"/>
        </w:rPr>
      </w:pPr>
      <w:bookmarkStart w:id="107" w:name="_Hlk71704147"/>
      <w:r>
        <w:rPr>
          <w:rFonts w:hint="eastAsia" w:ascii="宋体" w:hAnsi="宋体" w:cs="宋体"/>
          <w:color w:val="auto"/>
          <w:szCs w:val="21"/>
          <w:highlight w:val="none"/>
        </w:rPr>
        <w:t>（7）采购文件未载明允许提供备选（替代）投标方案或明确不允许提供备选（替代）投标方案时，供应商提供了备选（替代）投标方案的；</w:t>
      </w:r>
      <w:bookmarkEnd w:id="107"/>
    </w:p>
    <w:p w14:paraId="1FCEF51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（8）响应文件标注的项目名称或者项目编号与采购文件标注的项目名称或者项目编号不一致的；</w:t>
      </w:r>
    </w:p>
    <w:p w14:paraId="2F68DCA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（9）</w:t>
      </w:r>
      <w:r>
        <w:rPr>
          <w:rFonts w:hint="eastAsia" w:ascii="宋体" w:hAnsi="宋体"/>
          <w:color w:val="auto"/>
          <w:szCs w:val="21"/>
          <w:highlight w:val="none"/>
        </w:rPr>
        <w:t>采购文件明确不允许分包，响应文件拟分包的；</w:t>
      </w:r>
    </w:p>
    <w:p w14:paraId="2C59621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（10）未响应采购文件的采购内容、工期要求、质量要求等实质性要求；</w:t>
      </w:r>
    </w:p>
    <w:p w14:paraId="5174098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（11）法律、法规和采购文件规定的其他无效情形。</w:t>
      </w:r>
    </w:p>
    <w:p w14:paraId="706E0BC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2.报价评审</w:t>
      </w:r>
    </w:p>
    <w:p w14:paraId="3B7771B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（1）响应文件未提供采购文件中规定的“投标报价表”；</w:t>
      </w:r>
    </w:p>
    <w:p w14:paraId="2367B33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（2）未采用人民币报价或者未按照采购文件标明的币种报价；</w:t>
      </w:r>
    </w:p>
    <w:p w14:paraId="47B6A66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供应商未就所投标分标进行报价或者存在漏项报价；供应商未就所投标分标的单项内容作唯一报价；供应商未就所投标分标的全部内容作完整唯一总价报价；供应商响应文件中存在有选择、有条件报价的（采购文件允许有备选方案或者其他约定的除外）；</w:t>
      </w:r>
    </w:p>
    <w:p w14:paraId="109E17F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（4）报价超过最高限价的（如本项目公布了最高限价）；</w:t>
      </w:r>
      <w:bookmarkStart w:id="108" w:name="_Hlk42596405"/>
      <w:r>
        <w:rPr>
          <w:rFonts w:hint="eastAsia" w:ascii="宋体" w:hAnsi="宋体" w:cs="宋体"/>
          <w:color w:val="auto"/>
          <w:szCs w:val="21"/>
          <w:highlight w:val="none"/>
        </w:rPr>
        <w:t xml:space="preserve"> </w:t>
      </w:r>
      <w:bookmarkEnd w:id="108"/>
    </w:p>
    <w:p w14:paraId="7AF7DCB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（5）修正后的报价，供应商不确认的；或者经供应商确认修正后的最后报价超过最高限价（如本项目公布了最高限价）；</w:t>
      </w:r>
    </w:p>
    <w:p w14:paraId="4E7CBCA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w:t>
      </w:r>
      <w:r>
        <w:rPr>
          <w:rFonts w:hint="eastAsia" w:ascii="宋体" w:hAnsi="宋体"/>
          <w:color w:val="auto"/>
          <w:szCs w:val="21"/>
          <w:highlight w:val="none"/>
        </w:rPr>
        <w:t>响应文件响应的标的数量及单位与采购文件要求实质性不一致的。</w:t>
      </w:r>
    </w:p>
    <w:p w14:paraId="54ED53D8">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三、比较与评分</w:t>
      </w:r>
    </w:p>
    <w:p w14:paraId="688040A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（一）评审方法：综合评分法。</w:t>
      </w:r>
    </w:p>
    <w:p w14:paraId="127901C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（二）由评审小组采用综合评分法对有效响应文件进行综合评分。</w:t>
      </w:r>
    </w:p>
    <w:p w14:paraId="77FE2C6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（三）评审时，评审小组各成员应当对每个有效响应的文件进行评价、打分，然后汇总每个供应商每项评分因素的得分。</w:t>
      </w:r>
    </w:p>
    <w:p w14:paraId="5B095C0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1.评审小组按照采购文件中规定的评审标准计算各供应商的报价得分。项目评审过程中，不得去掉最后报价中的最高报价和最低报价。</w:t>
      </w:r>
    </w:p>
    <w:p w14:paraId="32E545B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2.以投标人的有效报价的算术平均值为基准价，报价与基准价的差取绝对值。</w:t>
      </w:r>
    </w:p>
    <w:p w14:paraId="075E9DEF">
      <w:pPr>
        <w:spacing w:line="360" w:lineRule="auto"/>
        <w:ind w:firstLine="420" w:firstLineChars="200"/>
        <w:rPr>
          <w:rFonts w:ascii="宋体" w:hAnsi="宋体"/>
          <w:color w:val="auto"/>
          <w:kern w:val="0"/>
          <w:szCs w:val="21"/>
          <w:highlight w:val="none"/>
        </w:rPr>
      </w:pPr>
      <w:r>
        <w:rPr>
          <w:rFonts w:hint="eastAsia" w:ascii="宋体" w:hAnsi="宋体" w:cs="宋体"/>
          <w:color w:val="auto"/>
          <w:szCs w:val="21"/>
          <w:highlight w:val="none"/>
        </w:rPr>
        <w:t>（四）由评审小组根据综合评分情况，按照评审得分由高到低顺序推荐3名成交候选供应商，并编写评</w:t>
      </w:r>
      <w:r>
        <w:rPr>
          <w:rFonts w:hint="eastAsia" w:ascii="宋体" w:hAnsi="宋体"/>
          <w:color w:val="auto"/>
          <w:kern w:val="0"/>
          <w:szCs w:val="21"/>
          <w:highlight w:val="none"/>
        </w:rPr>
        <w:t>审报告。评审得分相同的，按照最后报价由低到高的顺序推荐。</w:t>
      </w:r>
    </w:p>
    <w:p w14:paraId="0225D0EA">
      <w:pPr>
        <w:spacing w:line="360" w:lineRule="auto"/>
        <w:ind w:firstLine="420" w:firstLineChars="200"/>
        <w:rPr>
          <w:rFonts w:ascii="宋体" w:hAnsi="宋体" w:cs="宋体"/>
          <w:color w:val="auto"/>
          <w:szCs w:val="21"/>
          <w:highlight w:val="none"/>
        </w:rPr>
      </w:pPr>
      <w:r>
        <w:rPr>
          <w:rFonts w:hint="eastAsia" w:ascii="宋体" w:hAnsi="宋体"/>
          <w:color w:val="auto"/>
          <w:kern w:val="0"/>
          <w:szCs w:val="21"/>
          <w:highlight w:val="none"/>
        </w:rPr>
        <w:t>（五）评审报告应当由评审小组全体人员签字认可。评审小组成员对评审报告有异议的，评审小组按照少数服从多数的原则推荐成交候选供应商，采购程序继续进行。对评审报告有异议的评审小组成员，应当在报告上签署不同意见并说明理由，由评审小组书面记录相关情况。评审小组成员拒绝在报告上签字又不书面说明其不同意见和理由的，视为同意评审报告。</w:t>
      </w:r>
    </w:p>
    <w:p w14:paraId="507D1396">
      <w:pPr>
        <w:widowControl/>
        <w:spacing w:line="360" w:lineRule="auto"/>
        <w:jc w:val="center"/>
        <w:outlineLvl w:val="1"/>
        <w:rPr>
          <w:rFonts w:ascii="宋体" w:hAnsi="宋体"/>
          <w:b/>
          <w:color w:val="auto"/>
          <w:sz w:val="24"/>
          <w:highlight w:val="none"/>
        </w:rPr>
      </w:pPr>
      <w:r>
        <w:rPr>
          <w:rFonts w:ascii="宋体" w:hAnsi="宋体"/>
          <w:b/>
          <w:color w:val="auto"/>
          <w:sz w:val="32"/>
          <w:szCs w:val="32"/>
          <w:highlight w:val="none"/>
        </w:rPr>
        <w:br w:type="page"/>
      </w:r>
      <w:bookmarkStart w:id="109" w:name="_Toc11826"/>
      <w:bookmarkStart w:id="110" w:name="_Toc12457"/>
      <w:bookmarkStart w:id="111" w:name="_Toc31098"/>
      <w:bookmarkStart w:id="112" w:name="_Toc19299"/>
      <w:bookmarkStart w:id="113" w:name="_Toc5926"/>
      <w:bookmarkStart w:id="114" w:name="_Toc30766"/>
      <w:bookmarkStart w:id="115" w:name="_Toc8831"/>
      <w:bookmarkStart w:id="116" w:name="_Toc12111"/>
      <w:bookmarkStart w:id="117" w:name="_Toc27999"/>
      <w:bookmarkStart w:id="118" w:name="_Toc7508"/>
      <w:bookmarkStart w:id="119" w:name="_Toc17577"/>
      <w:bookmarkStart w:id="120" w:name="_Toc8537"/>
      <w:bookmarkStart w:id="121" w:name="_Toc7639"/>
      <w:bookmarkStart w:id="122" w:name="_Toc2435"/>
      <w:bookmarkStart w:id="123" w:name="_Toc29563"/>
      <w:bookmarkStart w:id="124" w:name="_Toc9482"/>
      <w:r>
        <w:rPr>
          <w:rFonts w:hint="eastAsia" w:ascii="宋体" w:hAnsi="宋体"/>
          <w:b/>
          <w:color w:val="auto"/>
          <w:sz w:val="24"/>
          <w:highlight w:val="none"/>
        </w:rPr>
        <w:t>第二节  评审标准</w:t>
      </w:r>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p>
    <w:p w14:paraId="17931352">
      <w:pPr>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评审小组将以采购文件为评审依据，对</w:t>
      </w:r>
      <w:r>
        <w:rPr>
          <w:rFonts w:hint="eastAsia" w:ascii="宋体" w:hAnsi="宋体"/>
          <w:bCs/>
          <w:color w:val="auto"/>
          <w:szCs w:val="21"/>
          <w:highlight w:val="none"/>
          <w:lang w:eastAsia="zh-CN"/>
        </w:rPr>
        <w:t>投标人</w:t>
      </w:r>
      <w:r>
        <w:rPr>
          <w:rFonts w:hint="eastAsia" w:ascii="宋体" w:hAnsi="宋体"/>
          <w:bCs/>
          <w:color w:val="auto"/>
          <w:szCs w:val="21"/>
          <w:highlight w:val="none"/>
        </w:rPr>
        <w:t>的报价、技术、商务等方面内容按百分制打分。（计分方法按四舍五入取至百分位）</w:t>
      </w:r>
    </w:p>
    <w:tbl>
      <w:tblPr>
        <w:tblStyle w:val="24"/>
        <w:tblW w:w="9118" w:type="dxa"/>
        <w:jc w:val="center"/>
        <w:tblLayout w:type="fixed"/>
        <w:tblCellMar>
          <w:top w:w="28" w:type="dxa"/>
          <w:left w:w="28" w:type="dxa"/>
          <w:bottom w:w="28" w:type="dxa"/>
          <w:right w:w="28" w:type="dxa"/>
        </w:tblCellMar>
      </w:tblPr>
      <w:tblGrid>
        <w:gridCol w:w="592"/>
        <w:gridCol w:w="1385"/>
        <w:gridCol w:w="7141"/>
      </w:tblGrid>
      <w:tr w14:paraId="0873908C">
        <w:tblPrEx>
          <w:tblCellMar>
            <w:top w:w="28" w:type="dxa"/>
            <w:left w:w="28" w:type="dxa"/>
            <w:bottom w:w="28" w:type="dxa"/>
            <w:right w:w="28" w:type="dxa"/>
          </w:tblCellMar>
        </w:tblPrEx>
        <w:trPr>
          <w:trHeight w:val="407" w:hRule="atLeast"/>
          <w:jc w:val="center"/>
        </w:trPr>
        <w:tc>
          <w:tcPr>
            <w:tcW w:w="592" w:type="dxa"/>
            <w:tcBorders>
              <w:top w:val="single" w:color="000000" w:sz="4" w:space="0"/>
              <w:left w:val="single" w:color="000000" w:sz="4" w:space="0"/>
              <w:bottom w:val="single" w:color="000000" w:sz="4" w:space="0"/>
              <w:right w:val="single" w:color="000000" w:sz="4" w:space="0"/>
            </w:tcBorders>
            <w:vAlign w:val="center"/>
          </w:tcPr>
          <w:p w14:paraId="3215C2A5">
            <w:pPr>
              <w:spacing w:line="264" w:lineRule="auto"/>
              <w:jc w:val="center"/>
              <w:rPr>
                <w:rFonts w:ascii="宋体" w:hAnsi="宋体" w:cs="宋体"/>
                <w:b/>
                <w:bCs/>
                <w:color w:val="auto"/>
                <w:szCs w:val="21"/>
                <w:highlight w:val="none"/>
              </w:rPr>
            </w:pPr>
            <w:r>
              <w:rPr>
                <w:rFonts w:hint="eastAsia" w:ascii="宋体" w:hAnsi="宋体" w:cs="宋体"/>
                <w:b/>
                <w:bCs/>
                <w:color w:val="auto"/>
                <w:szCs w:val="21"/>
                <w:highlight w:val="none"/>
              </w:rPr>
              <w:t>序号</w:t>
            </w:r>
          </w:p>
        </w:tc>
        <w:tc>
          <w:tcPr>
            <w:tcW w:w="1385" w:type="dxa"/>
            <w:tcBorders>
              <w:top w:val="single" w:color="000000" w:sz="4" w:space="0"/>
              <w:left w:val="single" w:color="000000" w:sz="4" w:space="0"/>
              <w:bottom w:val="single" w:color="000000" w:sz="4" w:space="0"/>
              <w:right w:val="single" w:color="000000" w:sz="4" w:space="0"/>
            </w:tcBorders>
            <w:vAlign w:val="center"/>
          </w:tcPr>
          <w:p w14:paraId="1F72ACB5">
            <w:pPr>
              <w:widowControl/>
              <w:spacing w:line="264" w:lineRule="auto"/>
              <w:jc w:val="center"/>
              <w:textAlignment w:val="center"/>
              <w:rPr>
                <w:rFonts w:ascii="宋体" w:hAnsi="宋体" w:cs="宋体"/>
                <w:b/>
                <w:bCs/>
                <w:color w:val="auto"/>
                <w:szCs w:val="21"/>
                <w:highlight w:val="none"/>
              </w:rPr>
            </w:pPr>
            <w:r>
              <w:rPr>
                <w:rFonts w:hint="eastAsia" w:ascii="宋体" w:hAnsi="宋体" w:cs="宋体"/>
                <w:b/>
                <w:bCs/>
                <w:color w:val="auto"/>
                <w:szCs w:val="21"/>
                <w:highlight w:val="none"/>
              </w:rPr>
              <w:t>评审因素</w:t>
            </w:r>
          </w:p>
        </w:tc>
        <w:tc>
          <w:tcPr>
            <w:tcW w:w="7141" w:type="dxa"/>
            <w:tcBorders>
              <w:top w:val="single" w:color="000000" w:sz="4" w:space="0"/>
              <w:left w:val="single" w:color="000000" w:sz="4" w:space="0"/>
              <w:bottom w:val="single" w:color="000000" w:sz="4" w:space="0"/>
              <w:right w:val="single" w:color="000000" w:sz="4" w:space="0"/>
            </w:tcBorders>
            <w:vAlign w:val="center"/>
          </w:tcPr>
          <w:p w14:paraId="6A508BE3">
            <w:pPr>
              <w:widowControl/>
              <w:spacing w:line="264" w:lineRule="auto"/>
              <w:jc w:val="center"/>
              <w:textAlignment w:val="center"/>
              <w:rPr>
                <w:rFonts w:ascii="宋体" w:hAnsi="宋体" w:cs="宋体"/>
                <w:b/>
                <w:bCs/>
                <w:color w:val="auto"/>
                <w:szCs w:val="21"/>
                <w:highlight w:val="none"/>
              </w:rPr>
            </w:pPr>
            <w:r>
              <w:rPr>
                <w:rFonts w:hint="eastAsia" w:ascii="宋体" w:hAnsi="宋体" w:cs="宋体"/>
                <w:b/>
                <w:bCs/>
                <w:color w:val="auto"/>
                <w:szCs w:val="21"/>
                <w:highlight w:val="none"/>
              </w:rPr>
              <w:t>评分标准</w:t>
            </w:r>
          </w:p>
        </w:tc>
      </w:tr>
      <w:tr w14:paraId="0C8E1539">
        <w:tblPrEx>
          <w:tblCellMar>
            <w:top w:w="28" w:type="dxa"/>
            <w:left w:w="28" w:type="dxa"/>
            <w:bottom w:w="28" w:type="dxa"/>
            <w:right w:w="28" w:type="dxa"/>
          </w:tblCellMar>
        </w:tblPrEx>
        <w:trPr>
          <w:trHeight w:val="1647" w:hRule="atLeast"/>
          <w:jc w:val="center"/>
        </w:trPr>
        <w:tc>
          <w:tcPr>
            <w:tcW w:w="592" w:type="dxa"/>
            <w:tcBorders>
              <w:top w:val="single" w:color="000000" w:sz="4" w:space="0"/>
              <w:left w:val="single" w:color="000000" w:sz="4" w:space="0"/>
              <w:bottom w:val="single" w:color="000000" w:sz="4" w:space="0"/>
              <w:right w:val="single" w:color="000000" w:sz="4" w:space="0"/>
            </w:tcBorders>
            <w:vAlign w:val="center"/>
          </w:tcPr>
          <w:p w14:paraId="1CAC359B">
            <w:pPr>
              <w:spacing w:line="264" w:lineRule="auto"/>
              <w:jc w:val="center"/>
              <w:rPr>
                <w:rFonts w:ascii="宋体" w:hAnsi="宋体" w:cs="宋体"/>
                <w:color w:val="auto"/>
                <w:szCs w:val="21"/>
                <w:highlight w:val="none"/>
              </w:rPr>
            </w:pPr>
            <w:r>
              <w:rPr>
                <w:rFonts w:hint="eastAsia" w:ascii="宋体" w:hAnsi="宋体" w:cs="宋体"/>
                <w:color w:val="auto"/>
                <w:szCs w:val="21"/>
                <w:highlight w:val="none"/>
              </w:rPr>
              <w:t>一</w:t>
            </w:r>
          </w:p>
        </w:tc>
        <w:tc>
          <w:tcPr>
            <w:tcW w:w="1385" w:type="dxa"/>
            <w:tcBorders>
              <w:top w:val="single" w:color="000000" w:sz="4" w:space="0"/>
              <w:left w:val="single" w:color="000000" w:sz="4" w:space="0"/>
              <w:bottom w:val="single" w:color="000000" w:sz="4" w:space="0"/>
              <w:right w:val="single" w:color="000000" w:sz="4" w:space="0"/>
            </w:tcBorders>
            <w:vAlign w:val="center"/>
          </w:tcPr>
          <w:p w14:paraId="7143D028">
            <w:pPr>
              <w:widowControl/>
              <w:spacing w:line="264" w:lineRule="auto"/>
              <w:jc w:val="center"/>
              <w:textAlignment w:val="center"/>
              <w:rPr>
                <w:rFonts w:ascii="宋体" w:hAnsi="宋体" w:cs="宋体"/>
                <w:color w:val="auto"/>
                <w:szCs w:val="21"/>
                <w:highlight w:val="none"/>
              </w:rPr>
            </w:pPr>
            <w:r>
              <w:rPr>
                <w:rFonts w:hint="eastAsia" w:ascii="宋体" w:hAnsi="宋体" w:cs="宋体"/>
                <w:color w:val="auto"/>
                <w:szCs w:val="21"/>
                <w:highlight w:val="none"/>
              </w:rPr>
              <w:t>价格</w:t>
            </w:r>
          </w:p>
          <w:p w14:paraId="67C0D360">
            <w:pPr>
              <w:widowControl/>
              <w:spacing w:line="264" w:lineRule="auto"/>
              <w:jc w:val="center"/>
              <w:textAlignment w:val="center"/>
              <w:rPr>
                <w:rFonts w:ascii="宋体" w:hAnsi="宋体" w:cs="宋体"/>
                <w:color w:val="auto"/>
                <w:szCs w:val="21"/>
                <w:highlight w:val="none"/>
              </w:rPr>
            </w:pPr>
            <w:r>
              <w:rPr>
                <w:rFonts w:hint="eastAsia" w:ascii="宋体" w:hAnsi="宋体" w:cs="宋体"/>
                <w:color w:val="auto"/>
                <w:szCs w:val="21"/>
                <w:highlight w:val="none"/>
              </w:rPr>
              <w:t>（满分</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0分）</w:t>
            </w:r>
          </w:p>
        </w:tc>
        <w:tc>
          <w:tcPr>
            <w:tcW w:w="7141" w:type="dxa"/>
            <w:tcBorders>
              <w:top w:val="single" w:color="000000" w:sz="4" w:space="0"/>
              <w:left w:val="single" w:color="000000" w:sz="4" w:space="0"/>
              <w:bottom w:val="single" w:color="000000" w:sz="4" w:space="0"/>
              <w:right w:val="single" w:color="000000" w:sz="4" w:space="0"/>
            </w:tcBorders>
            <w:vAlign w:val="center"/>
          </w:tcPr>
          <w:p w14:paraId="7F6E8BA7">
            <w:pPr>
              <w:widowControl/>
              <w:spacing w:line="264" w:lineRule="auto"/>
              <w:ind w:firstLine="420" w:firstLineChars="200"/>
              <w:textAlignment w:val="center"/>
              <w:rPr>
                <w:rFonts w:ascii="宋体" w:hAnsi="宋体" w:cs="宋体"/>
                <w:color w:val="auto"/>
                <w:szCs w:val="21"/>
                <w:highlight w:val="none"/>
              </w:rPr>
            </w:pPr>
            <w:r>
              <w:rPr>
                <w:rFonts w:hint="eastAsia" w:ascii="宋体" w:hAnsi="宋体" w:cs="宋体"/>
                <w:color w:val="auto"/>
                <w:szCs w:val="21"/>
                <w:highlight w:val="none"/>
              </w:rPr>
              <w:t>以投标人的有效报价的算术平均值为基准价。有效报价为：投标人的报价未超过最高控制价，且投标人符合参与条件要求。</w:t>
            </w:r>
          </w:p>
          <w:p w14:paraId="01815249">
            <w:pPr>
              <w:widowControl/>
              <w:spacing w:line="264" w:lineRule="auto"/>
              <w:ind w:firstLine="420" w:firstLineChars="200"/>
              <w:textAlignment w:val="center"/>
              <w:rPr>
                <w:rFonts w:ascii="宋体" w:hAnsi="宋体" w:cs="宋体"/>
                <w:color w:val="auto"/>
                <w:szCs w:val="21"/>
                <w:highlight w:val="none"/>
              </w:rPr>
            </w:pPr>
            <w:r>
              <w:rPr>
                <w:rFonts w:hint="eastAsia" w:ascii="宋体" w:hAnsi="宋体" w:cs="宋体"/>
                <w:color w:val="auto"/>
                <w:szCs w:val="21"/>
                <w:highlight w:val="none"/>
              </w:rPr>
              <w:t>偏差率=100%×（报价-基准价）/基准价。</w:t>
            </w:r>
          </w:p>
          <w:p w14:paraId="14F87E7E">
            <w:pPr>
              <w:widowControl/>
              <w:spacing w:line="264" w:lineRule="auto"/>
              <w:ind w:firstLine="420" w:firstLineChars="200"/>
              <w:textAlignment w:val="center"/>
              <w:rPr>
                <w:rFonts w:ascii="宋体" w:hAnsi="宋体" w:cs="宋体"/>
                <w:color w:val="auto"/>
                <w:szCs w:val="21"/>
                <w:highlight w:val="none"/>
              </w:rPr>
            </w:pPr>
            <w:r>
              <w:rPr>
                <w:rFonts w:hint="eastAsia" w:ascii="宋体" w:hAnsi="宋体" w:cs="宋体"/>
                <w:color w:val="auto"/>
                <w:szCs w:val="21"/>
                <w:highlight w:val="none"/>
              </w:rPr>
              <w:t>若投标人报价&gt;评标基准价，则得分=</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0-∣偏差率∣×100×0.</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w:t>
            </w:r>
          </w:p>
          <w:p w14:paraId="13D1F377">
            <w:pPr>
              <w:widowControl/>
              <w:spacing w:line="264" w:lineRule="auto"/>
              <w:ind w:firstLine="420" w:firstLineChars="200"/>
              <w:textAlignment w:val="center"/>
              <w:rPr>
                <w:rFonts w:ascii="宋体" w:hAnsi="宋体" w:cs="宋体"/>
                <w:color w:val="auto"/>
                <w:szCs w:val="21"/>
                <w:highlight w:val="none"/>
              </w:rPr>
            </w:pPr>
            <w:r>
              <w:rPr>
                <w:rFonts w:hint="eastAsia" w:ascii="宋体" w:hAnsi="宋体" w:cs="宋体"/>
                <w:color w:val="auto"/>
                <w:szCs w:val="21"/>
                <w:highlight w:val="none"/>
              </w:rPr>
              <w:t>若投标人报价≤评标基准价，则得分=</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0-∣偏差率∣×100×0.</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w:t>
            </w:r>
          </w:p>
          <w:p w14:paraId="63902A49">
            <w:pPr>
              <w:widowControl/>
              <w:spacing w:line="264" w:lineRule="auto"/>
              <w:textAlignment w:val="center"/>
              <w:rPr>
                <w:rFonts w:ascii="宋体" w:hAnsi="宋体" w:cs="宋体"/>
                <w:color w:val="auto"/>
                <w:szCs w:val="21"/>
                <w:highlight w:val="none"/>
              </w:rPr>
            </w:pPr>
            <w:r>
              <w:rPr>
                <w:rFonts w:hint="eastAsia" w:ascii="宋体" w:hAnsi="宋体" w:cs="宋体"/>
                <w:color w:val="auto"/>
                <w:szCs w:val="21"/>
                <w:highlight w:val="none"/>
              </w:rPr>
              <w:t>注：分数取小数点后两位。</w:t>
            </w:r>
          </w:p>
        </w:tc>
      </w:tr>
      <w:tr w14:paraId="092F8C1C">
        <w:tblPrEx>
          <w:tblCellMar>
            <w:top w:w="28" w:type="dxa"/>
            <w:left w:w="28" w:type="dxa"/>
            <w:bottom w:w="28" w:type="dxa"/>
            <w:right w:w="28" w:type="dxa"/>
          </w:tblCellMar>
        </w:tblPrEx>
        <w:trPr>
          <w:trHeight w:val="632" w:hRule="atLeast"/>
          <w:jc w:val="center"/>
        </w:trPr>
        <w:tc>
          <w:tcPr>
            <w:tcW w:w="592" w:type="dxa"/>
            <w:tcBorders>
              <w:top w:val="single" w:color="000000" w:sz="4" w:space="0"/>
              <w:left w:val="single" w:color="000000" w:sz="4" w:space="0"/>
              <w:bottom w:val="single" w:color="auto" w:sz="4" w:space="0"/>
              <w:right w:val="single" w:color="auto" w:sz="4" w:space="0"/>
            </w:tcBorders>
            <w:vAlign w:val="center"/>
          </w:tcPr>
          <w:p w14:paraId="1188173B">
            <w:pPr>
              <w:widowControl/>
              <w:spacing w:line="264" w:lineRule="auto"/>
              <w:jc w:val="center"/>
              <w:textAlignment w:val="center"/>
              <w:rPr>
                <w:rFonts w:ascii="宋体" w:hAnsi="宋体" w:cs="宋体"/>
                <w:color w:val="auto"/>
                <w:szCs w:val="21"/>
                <w:highlight w:val="none"/>
              </w:rPr>
            </w:pPr>
            <w:r>
              <w:rPr>
                <w:rFonts w:hint="eastAsia" w:ascii="宋体" w:hAnsi="宋体" w:cs="宋体"/>
                <w:color w:val="auto"/>
                <w:szCs w:val="21"/>
                <w:highlight w:val="none"/>
              </w:rPr>
              <w:t>二</w:t>
            </w:r>
          </w:p>
        </w:tc>
        <w:tc>
          <w:tcPr>
            <w:tcW w:w="1385" w:type="dxa"/>
            <w:tcBorders>
              <w:top w:val="single" w:color="000000" w:sz="4" w:space="0"/>
              <w:left w:val="single" w:color="auto" w:sz="4" w:space="0"/>
              <w:bottom w:val="single" w:color="000000" w:sz="4" w:space="0"/>
              <w:right w:val="single" w:color="000000" w:sz="4" w:space="0"/>
            </w:tcBorders>
            <w:vAlign w:val="center"/>
          </w:tcPr>
          <w:p w14:paraId="6DF6DA27">
            <w:pPr>
              <w:widowControl/>
              <w:spacing w:line="264" w:lineRule="auto"/>
              <w:jc w:val="center"/>
              <w:textAlignment w:val="center"/>
              <w:rPr>
                <w:rFonts w:ascii="宋体" w:hAnsi="宋体" w:cs="宋体"/>
                <w:color w:val="auto"/>
                <w:szCs w:val="21"/>
                <w:highlight w:val="none"/>
              </w:rPr>
            </w:pPr>
            <w:r>
              <w:rPr>
                <w:rFonts w:hint="eastAsia" w:ascii="宋体" w:hAnsi="宋体" w:cs="宋体"/>
                <w:color w:val="auto"/>
                <w:szCs w:val="21"/>
                <w:highlight w:val="none"/>
              </w:rPr>
              <w:t>资信业绩</w:t>
            </w:r>
          </w:p>
          <w:p w14:paraId="595D1BA4">
            <w:pPr>
              <w:widowControl/>
              <w:spacing w:line="264" w:lineRule="auto"/>
              <w:jc w:val="center"/>
              <w:textAlignment w:val="center"/>
              <w:rPr>
                <w:rFonts w:ascii="宋体" w:hAnsi="宋体" w:cs="宋体"/>
                <w:color w:val="auto"/>
                <w:szCs w:val="21"/>
                <w:highlight w:val="none"/>
              </w:rPr>
            </w:pPr>
            <w:r>
              <w:rPr>
                <w:rFonts w:hint="eastAsia" w:ascii="宋体" w:hAnsi="宋体" w:cs="宋体"/>
                <w:color w:val="auto"/>
                <w:szCs w:val="21"/>
                <w:highlight w:val="none"/>
              </w:rPr>
              <w:t>（满分</w:t>
            </w:r>
            <w:r>
              <w:rPr>
                <w:rFonts w:hint="eastAsia" w:ascii="宋体" w:hAnsi="宋体" w:cs="宋体"/>
                <w:color w:val="auto"/>
                <w:szCs w:val="21"/>
                <w:highlight w:val="none"/>
                <w:lang w:val="en-US" w:eastAsia="zh-CN"/>
              </w:rPr>
              <w:t>20</w:t>
            </w:r>
            <w:r>
              <w:rPr>
                <w:rFonts w:hint="eastAsia" w:ascii="宋体" w:hAnsi="宋体" w:cs="宋体"/>
                <w:color w:val="auto"/>
                <w:szCs w:val="21"/>
                <w:highlight w:val="none"/>
              </w:rPr>
              <w:t>分）</w:t>
            </w:r>
          </w:p>
        </w:tc>
        <w:tc>
          <w:tcPr>
            <w:tcW w:w="7141" w:type="dxa"/>
            <w:tcBorders>
              <w:top w:val="nil"/>
              <w:left w:val="single" w:color="000000" w:sz="4" w:space="0"/>
              <w:bottom w:val="single" w:color="000000" w:sz="4" w:space="0"/>
              <w:right w:val="single" w:color="000000" w:sz="4" w:space="0"/>
            </w:tcBorders>
            <w:vAlign w:val="center"/>
          </w:tcPr>
          <w:p w14:paraId="496B0DE6">
            <w:pPr>
              <w:pStyle w:val="34"/>
              <w:spacing w:after="0" w:line="264" w:lineRule="auto"/>
              <w:ind w:firstLine="420" w:firstLineChars="200"/>
              <w:jc w:val="both"/>
              <w:rPr>
                <w:rFonts w:hint="eastAsia" w:ascii="宋体" w:hAnsi="宋体" w:eastAsia="宋体" w:cs="宋体"/>
                <w:bCs w:val="0"/>
                <w:color w:val="auto"/>
                <w:spacing w:val="0"/>
                <w:kern w:val="2"/>
                <w:sz w:val="21"/>
                <w:szCs w:val="21"/>
                <w:highlight w:val="none"/>
              </w:rPr>
            </w:pPr>
            <w:r>
              <w:rPr>
                <w:rFonts w:hint="eastAsia" w:ascii="宋体" w:hAnsi="宋体" w:eastAsia="宋体" w:cs="宋体"/>
                <w:bCs w:val="0"/>
                <w:color w:val="auto"/>
                <w:spacing w:val="0"/>
                <w:kern w:val="2"/>
                <w:sz w:val="21"/>
                <w:szCs w:val="21"/>
                <w:highlight w:val="none"/>
              </w:rPr>
              <w:t>1.自2021年1月1日起至投标截止之日止，投标人完成类似项目（码头、航道或锚地工程）的内河丰枯两季或海洋春秋生态环境现状调查（包含水质、生物体质量、生态及渔业资源，不可缺项且至少有一季包含沉积物）业绩，且该项目省级及以上鱼类自然保护区或国家级水产种质资源保护区影响专题论证报告已获得批复的，每个业绩得</w:t>
            </w:r>
            <w:r>
              <w:rPr>
                <w:rFonts w:hint="eastAsia" w:ascii="宋体" w:hAnsi="宋体" w:cs="宋体"/>
                <w:bCs w:val="0"/>
                <w:color w:val="auto"/>
                <w:spacing w:val="0"/>
                <w:kern w:val="2"/>
                <w:sz w:val="21"/>
                <w:szCs w:val="21"/>
                <w:highlight w:val="none"/>
                <w:lang w:val="en-US" w:eastAsia="zh-CN"/>
              </w:rPr>
              <w:t>5</w:t>
            </w:r>
            <w:r>
              <w:rPr>
                <w:rFonts w:hint="eastAsia" w:ascii="宋体" w:hAnsi="宋体" w:eastAsia="宋体" w:cs="宋体"/>
                <w:bCs w:val="0"/>
                <w:color w:val="auto"/>
                <w:spacing w:val="0"/>
                <w:kern w:val="2"/>
                <w:sz w:val="21"/>
                <w:szCs w:val="21"/>
                <w:highlight w:val="none"/>
              </w:rPr>
              <w:t>分，</w:t>
            </w:r>
            <w:r>
              <w:rPr>
                <w:rFonts w:hint="eastAsia" w:ascii="宋体" w:hAnsi="宋体" w:cs="宋体"/>
                <w:bCs w:val="0"/>
                <w:color w:val="auto"/>
                <w:spacing w:val="0"/>
                <w:kern w:val="2"/>
                <w:sz w:val="21"/>
                <w:szCs w:val="21"/>
                <w:highlight w:val="none"/>
                <w:lang w:eastAsia="zh-CN"/>
              </w:rPr>
              <w:t>本项满分</w:t>
            </w:r>
            <w:r>
              <w:rPr>
                <w:rFonts w:hint="eastAsia" w:ascii="宋体" w:hAnsi="宋体" w:cs="宋体"/>
                <w:bCs w:val="0"/>
                <w:color w:val="auto"/>
                <w:spacing w:val="0"/>
                <w:kern w:val="2"/>
                <w:sz w:val="21"/>
                <w:szCs w:val="21"/>
                <w:highlight w:val="none"/>
                <w:lang w:val="en-US" w:eastAsia="zh-CN"/>
              </w:rPr>
              <w:t>10</w:t>
            </w:r>
            <w:r>
              <w:rPr>
                <w:rFonts w:hint="eastAsia" w:ascii="宋体" w:hAnsi="宋体" w:eastAsia="宋体" w:cs="宋体"/>
                <w:bCs w:val="0"/>
                <w:color w:val="auto"/>
                <w:spacing w:val="0"/>
                <w:kern w:val="2"/>
                <w:sz w:val="21"/>
                <w:szCs w:val="21"/>
                <w:highlight w:val="none"/>
              </w:rPr>
              <w:t>分。</w:t>
            </w:r>
          </w:p>
          <w:p w14:paraId="4B9AC9A8">
            <w:pPr>
              <w:pStyle w:val="34"/>
              <w:spacing w:after="0" w:line="264" w:lineRule="auto"/>
              <w:ind w:firstLine="420" w:firstLineChars="200"/>
              <w:jc w:val="both"/>
              <w:rPr>
                <w:rFonts w:hint="eastAsia" w:ascii="宋体" w:hAnsi="宋体" w:eastAsia="宋体" w:cs="宋体"/>
                <w:bCs w:val="0"/>
                <w:color w:val="auto"/>
                <w:spacing w:val="0"/>
                <w:kern w:val="2"/>
                <w:sz w:val="21"/>
                <w:szCs w:val="21"/>
                <w:highlight w:val="none"/>
              </w:rPr>
            </w:pPr>
            <w:r>
              <w:rPr>
                <w:rFonts w:hint="eastAsia" w:ascii="宋体" w:hAnsi="宋体" w:cs="宋体"/>
                <w:bCs w:val="0"/>
                <w:color w:val="auto"/>
                <w:spacing w:val="0"/>
                <w:kern w:val="2"/>
                <w:sz w:val="21"/>
                <w:szCs w:val="21"/>
                <w:highlight w:val="none"/>
              </w:rPr>
              <w:t>2.自2021年1月1日起至投标截止之日止，投标人完成类似项目（含码头、航道或锚地工程等）对省级及以上鱼类自然保护区或国家级水产种质资源保护区影响专题论证报告或鱼类生态保护红线不可避让论证报告编制</w:t>
            </w:r>
            <w:r>
              <w:rPr>
                <w:rFonts w:hint="eastAsia" w:ascii="宋体" w:hAnsi="宋体" w:cs="宋体"/>
                <w:bCs w:val="0"/>
                <w:color w:val="auto"/>
                <w:spacing w:val="0"/>
                <w:kern w:val="2"/>
                <w:sz w:val="21"/>
                <w:szCs w:val="21"/>
                <w:highlight w:val="none"/>
                <w:lang w:eastAsia="zh-CN"/>
              </w:rPr>
              <w:t>，且取得批复</w:t>
            </w:r>
            <w:r>
              <w:rPr>
                <w:rFonts w:hint="eastAsia" w:ascii="宋体" w:hAnsi="宋体" w:cs="宋体"/>
                <w:bCs w:val="0"/>
                <w:color w:val="auto"/>
                <w:spacing w:val="0"/>
                <w:kern w:val="2"/>
                <w:sz w:val="21"/>
                <w:szCs w:val="21"/>
                <w:highlight w:val="none"/>
              </w:rPr>
              <w:t>的，每个业绩得2分，本项满分10分。</w:t>
            </w:r>
          </w:p>
          <w:p w14:paraId="1B2BEEA7">
            <w:pPr>
              <w:pStyle w:val="34"/>
              <w:spacing w:after="0" w:line="264" w:lineRule="auto"/>
              <w:ind w:firstLine="420" w:firstLineChars="200"/>
              <w:jc w:val="both"/>
              <w:rPr>
                <w:rFonts w:hint="eastAsia" w:ascii="宋体" w:hAnsi="宋体" w:eastAsia="宋体" w:cs="宋体"/>
                <w:bCs w:val="0"/>
                <w:color w:val="auto"/>
                <w:spacing w:val="0"/>
                <w:kern w:val="2"/>
                <w:sz w:val="21"/>
                <w:szCs w:val="21"/>
                <w:highlight w:val="none"/>
              </w:rPr>
            </w:pPr>
            <w:r>
              <w:rPr>
                <w:rFonts w:hint="eastAsia" w:ascii="宋体" w:hAnsi="宋体" w:eastAsia="宋体" w:cs="宋体"/>
                <w:bCs w:val="0"/>
                <w:color w:val="auto"/>
                <w:spacing w:val="0"/>
                <w:kern w:val="2"/>
                <w:sz w:val="21"/>
                <w:szCs w:val="21"/>
                <w:highlight w:val="none"/>
              </w:rPr>
              <w:t>注：（1）生态环境现状调查业绩须提供以下证明材料扫描件或复印件：</w:t>
            </w:r>
            <w:r>
              <w:rPr>
                <w:rFonts w:hint="eastAsia" w:ascii="宋体" w:hAnsi="宋体" w:eastAsia="宋体" w:cs="宋体"/>
                <w:bCs w:val="0"/>
                <w:color w:val="auto"/>
                <w:spacing w:val="0"/>
                <w:kern w:val="2"/>
                <w:sz w:val="21"/>
                <w:szCs w:val="21"/>
                <w:highlight w:val="none"/>
              </w:rPr>
              <w:fldChar w:fldCharType="begin"/>
            </w:r>
            <w:r>
              <w:rPr>
                <w:rFonts w:hint="eastAsia" w:ascii="宋体" w:hAnsi="宋体" w:eastAsia="宋体" w:cs="宋体"/>
                <w:bCs w:val="0"/>
                <w:color w:val="auto"/>
                <w:spacing w:val="0"/>
                <w:kern w:val="2"/>
                <w:sz w:val="21"/>
                <w:szCs w:val="21"/>
                <w:highlight w:val="none"/>
              </w:rPr>
              <w:instrText xml:space="preserve"> = 1 \* GB3 </w:instrText>
            </w:r>
            <w:r>
              <w:rPr>
                <w:rFonts w:hint="eastAsia" w:ascii="宋体" w:hAnsi="宋体" w:eastAsia="宋体" w:cs="宋体"/>
                <w:bCs w:val="0"/>
                <w:color w:val="auto"/>
                <w:spacing w:val="0"/>
                <w:kern w:val="2"/>
                <w:sz w:val="21"/>
                <w:szCs w:val="21"/>
                <w:highlight w:val="none"/>
              </w:rPr>
              <w:fldChar w:fldCharType="separate"/>
            </w:r>
            <w:r>
              <w:rPr>
                <w:rFonts w:hint="eastAsia" w:ascii="宋体" w:hAnsi="宋体" w:eastAsia="宋体" w:cs="宋体"/>
                <w:bCs w:val="0"/>
                <w:color w:val="auto"/>
                <w:spacing w:val="0"/>
                <w:kern w:val="2"/>
                <w:sz w:val="21"/>
                <w:szCs w:val="21"/>
                <w:highlight w:val="none"/>
              </w:rPr>
              <w:t>①</w:t>
            </w:r>
            <w:r>
              <w:rPr>
                <w:rFonts w:hint="eastAsia" w:ascii="宋体" w:hAnsi="宋体" w:eastAsia="宋体" w:cs="宋体"/>
                <w:bCs w:val="0"/>
                <w:color w:val="auto"/>
                <w:spacing w:val="0"/>
                <w:kern w:val="2"/>
                <w:sz w:val="21"/>
                <w:szCs w:val="21"/>
                <w:highlight w:val="none"/>
              </w:rPr>
              <w:fldChar w:fldCharType="end"/>
            </w:r>
            <w:r>
              <w:rPr>
                <w:rFonts w:hint="eastAsia" w:ascii="宋体" w:hAnsi="宋体" w:eastAsia="宋体" w:cs="宋体"/>
                <w:bCs w:val="0"/>
                <w:color w:val="auto"/>
                <w:spacing w:val="0"/>
                <w:kern w:val="2"/>
                <w:sz w:val="21"/>
                <w:szCs w:val="21"/>
                <w:highlight w:val="none"/>
              </w:rPr>
              <w:t>业绩合同（至少包含首页和盖章页，且须体现服务内容）；</w:t>
            </w:r>
            <w:r>
              <w:rPr>
                <w:rFonts w:hint="eastAsia" w:ascii="宋体" w:hAnsi="宋体" w:eastAsia="宋体" w:cs="宋体"/>
                <w:bCs w:val="0"/>
                <w:color w:val="auto"/>
                <w:spacing w:val="0"/>
                <w:kern w:val="2"/>
                <w:sz w:val="21"/>
                <w:szCs w:val="21"/>
                <w:highlight w:val="none"/>
              </w:rPr>
              <w:fldChar w:fldCharType="begin"/>
            </w:r>
            <w:r>
              <w:rPr>
                <w:rFonts w:hint="eastAsia" w:ascii="宋体" w:hAnsi="宋体" w:eastAsia="宋体" w:cs="宋体"/>
                <w:bCs w:val="0"/>
                <w:color w:val="auto"/>
                <w:spacing w:val="0"/>
                <w:kern w:val="2"/>
                <w:sz w:val="21"/>
                <w:szCs w:val="21"/>
                <w:highlight w:val="none"/>
              </w:rPr>
              <w:instrText xml:space="preserve"> = 2 \* GB3 </w:instrText>
            </w:r>
            <w:r>
              <w:rPr>
                <w:rFonts w:hint="eastAsia" w:ascii="宋体" w:hAnsi="宋体" w:eastAsia="宋体" w:cs="宋体"/>
                <w:bCs w:val="0"/>
                <w:color w:val="auto"/>
                <w:spacing w:val="0"/>
                <w:kern w:val="2"/>
                <w:sz w:val="21"/>
                <w:szCs w:val="21"/>
                <w:highlight w:val="none"/>
              </w:rPr>
              <w:fldChar w:fldCharType="separate"/>
            </w:r>
            <w:r>
              <w:rPr>
                <w:rFonts w:hint="eastAsia" w:ascii="宋体" w:hAnsi="宋体" w:eastAsia="宋体" w:cs="宋体"/>
                <w:bCs w:val="0"/>
                <w:color w:val="auto"/>
                <w:spacing w:val="0"/>
                <w:kern w:val="2"/>
                <w:sz w:val="21"/>
                <w:szCs w:val="21"/>
                <w:highlight w:val="none"/>
              </w:rPr>
              <w:t>②</w:t>
            </w:r>
            <w:r>
              <w:rPr>
                <w:rFonts w:hint="eastAsia" w:ascii="宋体" w:hAnsi="宋体" w:eastAsia="宋体" w:cs="宋体"/>
                <w:bCs w:val="0"/>
                <w:color w:val="auto"/>
                <w:spacing w:val="0"/>
                <w:kern w:val="2"/>
                <w:sz w:val="21"/>
                <w:szCs w:val="21"/>
                <w:highlight w:val="none"/>
              </w:rPr>
              <w:fldChar w:fldCharType="end"/>
            </w:r>
            <w:r>
              <w:rPr>
                <w:rFonts w:hint="eastAsia" w:ascii="宋体" w:hAnsi="宋体" w:eastAsia="宋体" w:cs="宋体"/>
                <w:bCs w:val="0"/>
                <w:color w:val="auto"/>
                <w:spacing w:val="0"/>
                <w:kern w:val="2"/>
                <w:sz w:val="21"/>
                <w:szCs w:val="21"/>
                <w:highlight w:val="none"/>
              </w:rPr>
              <w:t>业绩对应的内河丰枯两季或海洋春秋两季生态环境现状调查分析评价报告（至少包含封面和著录页）和CMA检测报告（至少包含封面和体现检测项目页，检测报告由第三方检测机构出具的须附投标人与检测机构签订的合同）；</w:t>
            </w:r>
            <w:r>
              <w:rPr>
                <w:rFonts w:hint="eastAsia" w:ascii="宋体" w:hAnsi="宋体" w:eastAsia="宋体" w:cs="宋体"/>
                <w:bCs w:val="0"/>
                <w:color w:val="auto"/>
                <w:spacing w:val="0"/>
                <w:kern w:val="2"/>
                <w:sz w:val="21"/>
                <w:szCs w:val="21"/>
                <w:highlight w:val="none"/>
              </w:rPr>
              <w:fldChar w:fldCharType="begin"/>
            </w:r>
            <w:r>
              <w:rPr>
                <w:rFonts w:hint="eastAsia" w:ascii="宋体" w:hAnsi="宋体" w:eastAsia="宋体" w:cs="宋体"/>
                <w:bCs w:val="0"/>
                <w:color w:val="auto"/>
                <w:spacing w:val="0"/>
                <w:kern w:val="2"/>
                <w:sz w:val="21"/>
                <w:szCs w:val="21"/>
                <w:highlight w:val="none"/>
              </w:rPr>
              <w:instrText xml:space="preserve"> = 3 \* GB3 </w:instrText>
            </w:r>
            <w:r>
              <w:rPr>
                <w:rFonts w:hint="eastAsia" w:ascii="宋体" w:hAnsi="宋体" w:eastAsia="宋体" w:cs="宋体"/>
                <w:bCs w:val="0"/>
                <w:color w:val="auto"/>
                <w:spacing w:val="0"/>
                <w:kern w:val="2"/>
                <w:sz w:val="21"/>
                <w:szCs w:val="21"/>
                <w:highlight w:val="none"/>
              </w:rPr>
              <w:fldChar w:fldCharType="separate"/>
            </w:r>
            <w:r>
              <w:rPr>
                <w:rFonts w:hint="eastAsia" w:ascii="宋体" w:hAnsi="宋体" w:eastAsia="宋体" w:cs="宋体"/>
                <w:bCs w:val="0"/>
                <w:color w:val="auto"/>
                <w:spacing w:val="0"/>
                <w:kern w:val="2"/>
                <w:sz w:val="21"/>
                <w:szCs w:val="21"/>
                <w:highlight w:val="none"/>
              </w:rPr>
              <w:t>③</w:t>
            </w:r>
            <w:r>
              <w:rPr>
                <w:rFonts w:hint="eastAsia" w:ascii="宋体" w:hAnsi="宋体" w:eastAsia="宋体" w:cs="宋体"/>
                <w:bCs w:val="0"/>
                <w:color w:val="auto"/>
                <w:spacing w:val="0"/>
                <w:kern w:val="2"/>
                <w:sz w:val="21"/>
                <w:szCs w:val="21"/>
                <w:highlight w:val="none"/>
              </w:rPr>
              <w:fldChar w:fldCharType="end"/>
            </w:r>
            <w:r>
              <w:rPr>
                <w:rFonts w:hint="eastAsia" w:ascii="宋体" w:hAnsi="宋体" w:eastAsia="宋体" w:cs="宋体"/>
                <w:bCs w:val="0"/>
                <w:color w:val="auto"/>
                <w:spacing w:val="0"/>
                <w:kern w:val="2"/>
                <w:sz w:val="21"/>
                <w:szCs w:val="21"/>
                <w:highlight w:val="none"/>
              </w:rPr>
              <w:t>业绩对应的项目省级及以上鱼类自然保护区或国家级水产种质资源保护区影响专题论证报告批复文件。</w:t>
            </w:r>
          </w:p>
          <w:p w14:paraId="5B1E3ECF">
            <w:pPr>
              <w:pStyle w:val="34"/>
              <w:spacing w:after="0" w:line="264" w:lineRule="auto"/>
              <w:ind w:firstLine="420" w:firstLineChars="200"/>
              <w:jc w:val="both"/>
              <w:rPr>
                <w:rFonts w:hint="eastAsia" w:ascii="宋体" w:hAnsi="宋体" w:eastAsia="宋体" w:cs="宋体"/>
                <w:bCs w:val="0"/>
                <w:color w:val="auto"/>
                <w:spacing w:val="0"/>
                <w:kern w:val="2"/>
                <w:sz w:val="21"/>
                <w:szCs w:val="21"/>
                <w:highlight w:val="none"/>
              </w:rPr>
            </w:pPr>
            <w:r>
              <w:rPr>
                <w:rFonts w:hint="eastAsia" w:ascii="宋体" w:hAnsi="宋体" w:eastAsia="宋体" w:cs="宋体"/>
                <w:bCs w:val="0"/>
                <w:color w:val="auto"/>
                <w:spacing w:val="0"/>
                <w:kern w:val="2"/>
                <w:sz w:val="21"/>
                <w:szCs w:val="21"/>
                <w:highlight w:val="none"/>
              </w:rPr>
              <w:t>（2）省级及以上鱼类自然保护区或国家级水产种质资源保护区影响专题论证报告编制业绩提供合同（或业主委托书等证明材料）和省级及以上行政主管部门批复文件，鱼类生态保护红线不可避让论证报告编制业绩提供合同（或业主委托书等证明材料）和省级人民政府生态保护红线不可避让（或有限人为活动）认定意见。</w:t>
            </w:r>
          </w:p>
          <w:p w14:paraId="41509869">
            <w:pPr>
              <w:pStyle w:val="34"/>
              <w:spacing w:after="0" w:line="264" w:lineRule="auto"/>
              <w:ind w:firstLine="420" w:firstLineChars="200"/>
              <w:jc w:val="both"/>
              <w:rPr>
                <w:rFonts w:hint="eastAsia" w:ascii="宋体" w:hAnsi="宋体" w:eastAsia="宋体" w:cs="宋体"/>
                <w:bCs w:val="0"/>
                <w:color w:val="auto"/>
                <w:spacing w:val="0"/>
                <w:kern w:val="2"/>
                <w:sz w:val="21"/>
                <w:szCs w:val="21"/>
                <w:highlight w:val="none"/>
              </w:rPr>
            </w:pPr>
            <w:r>
              <w:rPr>
                <w:rFonts w:hint="eastAsia" w:ascii="宋体" w:hAnsi="宋体" w:eastAsia="宋体" w:cs="宋体"/>
                <w:bCs w:val="0"/>
                <w:color w:val="auto"/>
                <w:spacing w:val="0"/>
                <w:kern w:val="2"/>
                <w:sz w:val="21"/>
                <w:szCs w:val="21"/>
                <w:highlight w:val="none"/>
              </w:rPr>
              <w:t>（3）联合体各方业绩均予以认可。</w:t>
            </w:r>
          </w:p>
          <w:p w14:paraId="0B21DC0A">
            <w:pPr>
              <w:pStyle w:val="34"/>
              <w:spacing w:after="0" w:line="264" w:lineRule="auto"/>
              <w:ind w:firstLine="420" w:firstLineChars="200"/>
              <w:jc w:val="both"/>
              <w:rPr>
                <w:color w:val="auto"/>
                <w:highlight w:val="none"/>
              </w:rPr>
            </w:pPr>
            <w:r>
              <w:rPr>
                <w:rFonts w:hint="eastAsia" w:ascii="宋体" w:hAnsi="宋体" w:eastAsia="宋体" w:cs="宋体"/>
                <w:bCs w:val="0"/>
                <w:color w:val="auto"/>
                <w:spacing w:val="0"/>
                <w:kern w:val="2"/>
                <w:sz w:val="21"/>
                <w:szCs w:val="21"/>
                <w:highlight w:val="none"/>
              </w:rPr>
              <w:t>（4）证明材料均加盖公章，未按要求提供相关证明材料的不得分。</w:t>
            </w:r>
          </w:p>
        </w:tc>
      </w:tr>
      <w:tr w14:paraId="124095C7">
        <w:tblPrEx>
          <w:tblCellMar>
            <w:top w:w="28" w:type="dxa"/>
            <w:left w:w="28" w:type="dxa"/>
            <w:bottom w:w="28" w:type="dxa"/>
            <w:right w:w="28" w:type="dxa"/>
          </w:tblCellMar>
        </w:tblPrEx>
        <w:trPr>
          <w:trHeight w:val="1372" w:hRule="atLeast"/>
          <w:jc w:val="center"/>
        </w:trPr>
        <w:tc>
          <w:tcPr>
            <w:tcW w:w="592" w:type="dxa"/>
            <w:tcBorders>
              <w:top w:val="single" w:color="auto" w:sz="4" w:space="0"/>
              <w:left w:val="single" w:color="000000" w:sz="4" w:space="0"/>
              <w:bottom w:val="single" w:color="auto" w:sz="4" w:space="0"/>
              <w:right w:val="single" w:color="auto" w:sz="4" w:space="0"/>
            </w:tcBorders>
            <w:vAlign w:val="center"/>
          </w:tcPr>
          <w:p w14:paraId="70A8A053">
            <w:pPr>
              <w:spacing w:line="264" w:lineRule="auto"/>
              <w:jc w:val="center"/>
              <w:textAlignment w:val="center"/>
              <w:rPr>
                <w:rFonts w:ascii="宋体" w:hAnsi="宋体" w:cs="宋体"/>
                <w:color w:val="auto"/>
                <w:szCs w:val="21"/>
                <w:highlight w:val="none"/>
              </w:rPr>
            </w:pPr>
            <w:r>
              <w:rPr>
                <w:rFonts w:hint="eastAsia" w:ascii="宋体" w:hAnsi="宋体" w:cs="宋体"/>
                <w:color w:val="auto"/>
                <w:szCs w:val="21"/>
                <w:highlight w:val="none"/>
              </w:rPr>
              <w:t>三</w:t>
            </w:r>
          </w:p>
        </w:tc>
        <w:tc>
          <w:tcPr>
            <w:tcW w:w="1385" w:type="dxa"/>
            <w:tcBorders>
              <w:top w:val="single" w:color="000000" w:sz="4" w:space="0"/>
              <w:left w:val="single" w:color="auto" w:sz="4" w:space="0"/>
              <w:bottom w:val="single" w:color="000000" w:sz="4" w:space="0"/>
              <w:right w:val="single" w:color="000000" w:sz="4" w:space="0"/>
            </w:tcBorders>
            <w:vAlign w:val="center"/>
          </w:tcPr>
          <w:p w14:paraId="77D02185">
            <w:pPr>
              <w:widowControl/>
              <w:spacing w:line="264" w:lineRule="auto"/>
              <w:jc w:val="center"/>
              <w:textAlignment w:val="center"/>
              <w:rPr>
                <w:rFonts w:ascii="宋体" w:hAnsi="宋体" w:cs="宋体"/>
                <w:color w:val="auto"/>
                <w:szCs w:val="21"/>
                <w:highlight w:val="none"/>
              </w:rPr>
            </w:pPr>
            <w:r>
              <w:rPr>
                <w:rFonts w:hint="eastAsia" w:ascii="宋体" w:hAnsi="宋体" w:cs="宋体"/>
                <w:color w:val="auto"/>
                <w:szCs w:val="21"/>
                <w:highlight w:val="none"/>
              </w:rPr>
              <w:t>人员配置</w:t>
            </w:r>
          </w:p>
          <w:p w14:paraId="7E1B20DA">
            <w:pPr>
              <w:widowControl/>
              <w:spacing w:line="264" w:lineRule="auto"/>
              <w:jc w:val="center"/>
              <w:textAlignment w:val="center"/>
              <w:rPr>
                <w:rFonts w:ascii="宋体" w:hAnsi="宋体" w:cs="宋体"/>
                <w:color w:val="auto"/>
                <w:szCs w:val="21"/>
                <w:highlight w:val="none"/>
              </w:rPr>
            </w:pPr>
            <w:r>
              <w:rPr>
                <w:rFonts w:hint="eastAsia" w:ascii="宋体" w:hAnsi="宋体" w:cs="宋体"/>
                <w:color w:val="auto"/>
                <w:szCs w:val="21"/>
                <w:highlight w:val="none"/>
              </w:rPr>
              <w:t>（满分</w:t>
            </w:r>
            <w:r>
              <w:rPr>
                <w:rFonts w:hint="eastAsia" w:ascii="宋体" w:hAnsi="宋体" w:cs="宋体"/>
                <w:color w:val="auto"/>
                <w:szCs w:val="21"/>
                <w:highlight w:val="none"/>
                <w:lang w:val="en-US" w:eastAsia="zh-CN"/>
              </w:rPr>
              <w:t>20</w:t>
            </w:r>
            <w:r>
              <w:rPr>
                <w:rFonts w:hint="eastAsia" w:ascii="宋体" w:hAnsi="宋体" w:cs="宋体"/>
                <w:color w:val="auto"/>
                <w:szCs w:val="21"/>
                <w:highlight w:val="none"/>
              </w:rPr>
              <w:t>分）</w:t>
            </w:r>
          </w:p>
        </w:tc>
        <w:tc>
          <w:tcPr>
            <w:tcW w:w="7141" w:type="dxa"/>
            <w:tcBorders>
              <w:top w:val="single" w:color="000000" w:sz="4" w:space="0"/>
              <w:left w:val="single" w:color="000000" w:sz="4" w:space="0"/>
              <w:bottom w:val="single" w:color="000000" w:sz="4" w:space="0"/>
              <w:right w:val="single" w:color="000000" w:sz="4" w:space="0"/>
            </w:tcBorders>
            <w:vAlign w:val="center"/>
          </w:tcPr>
          <w:p w14:paraId="6A237DCF">
            <w:pPr>
              <w:pStyle w:val="34"/>
              <w:spacing w:before="0" w:after="0" w:line="264" w:lineRule="auto"/>
              <w:ind w:firstLine="420" w:firstLineChars="200"/>
              <w:rPr>
                <w:rFonts w:hint="eastAsia" w:ascii="宋体" w:hAnsi="宋体" w:cs="宋体"/>
                <w:bCs w:val="0"/>
                <w:color w:val="auto"/>
                <w:spacing w:val="0"/>
                <w:kern w:val="2"/>
                <w:sz w:val="21"/>
                <w:szCs w:val="21"/>
                <w:highlight w:val="none"/>
              </w:rPr>
            </w:pPr>
            <w:r>
              <w:rPr>
                <w:rFonts w:hint="eastAsia" w:ascii="宋体" w:hAnsi="宋体" w:cs="宋体"/>
                <w:bCs w:val="0"/>
                <w:color w:val="auto"/>
                <w:spacing w:val="0"/>
                <w:kern w:val="2"/>
                <w:sz w:val="21"/>
                <w:szCs w:val="21"/>
                <w:highlight w:val="none"/>
              </w:rPr>
              <w:t>拟投入人员具有正高级职称，并持有省级及以上生态环境主管部门颁发的环境监测上岗证书或环境影响评价工程师职业资格证书的，每人</w:t>
            </w:r>
            <w:r>
              <w:rPr>
                <w:rFonts w:hint="eastAsia" w:ascii="宋体" w:hAnsi="宋体" w:cs="宋体"/>
                <w:bCs w:val="0"/>
                <w:color w:val="auto"/>
                <w:spacing w:val="0"/>
                <w:kern w:val="2"/>
                <w:sz w:val="21"/>
                <w:szCs w:val="21"/>
                <w:highlight w:val="none"/>
                <w:lang w:eastAsia="zh-CN"/>
              </w:rPr>
              <w:t>得</w:t>
            </w:r>
            <w:r>
              <w:rPr>
                <w:rFonts w:hint="eastAsia" w:ascii="宋体" w:hAnsi="宋体" w:cs="宋体"/>
                <w:bCs w:val="0"/>
                <w:color w:val="auto"/>
                <w:spacing w:val="0"/>
                <w:kern w:val="2"/>
                <w:sz w:val="21"/>
                <w:szCs w:val="21"/>
                <w:highlight w:val="none"/>
              </w:rPr>
              <w:t>3分；具有副高级职称，并持有省级及以上生态环境主管部门颁发的环境监测上岗证书或环境影响评价工程师职业资格证书的，每人</w:t>
            </w:r>
            <w:r>
              <w:rPr>
                <w:rFonts w:hint="eastAsia" w:ascii="宋体" w:hAnsi="宋体" w:cs="宋体"/>
                <w:bCs w:val="0"/>
                <w:color w:val="auto"/>
                <w:spacing w:val="0"/>
                <w:kern w:val="2"/>
                <w:sz w:val="21"/>
                <w:szCs w:val="21"/>
                <w:highlight w:val="none"/>
                <w:lang w:eastAsia="zh-CN"/>
              </w:rPr>
              <w:t>得</w:t>
            </w:r>
            <w:r>
              <w:rPr>
                <w:rFonts w:hint="eastAsia" w:ascii="宋体" w:hAnsi="宋体" w:cs="宋体"/>
                <w:bCs w:val="0"/>
                <w:color w:val="auto"/>
                <w:spacing w:val="0"/>
                <w:kern w:val="2"/>
                <w:sz w:val="21"/>
                <w:szCs w:val="21"/>
                <w:highlight w:val="none"/>
              </w:rPr>
              <w:t>2分。本项满分</w:t>
            </w:r>
            <w:r>
              <w:rPr>
                <w:rFonts w:hint="eastAsia" w:ascii="宋体" w:hAnsi="宋体" w:cs="宋体"/>
                <w:bCs w:val="0"/>
                <w:color w:val="auto"/>
                <w:spacing w:val="0"/>
                <w:kern w:val="2"/>
                <w:sz w:val="21"/>
                <w:szCs w:val="21"/>
                <w:highlight w:val="none"/>
                <w:lang w:val="en-US" w:eastAsia="zh-CN"/>
              </w:rPr>
              <w:t>2</w:t>
            </w:r>
            <w:r>
              <w:rPr>
                <w:rFonts w:hint="eastAsia" w:ascii="宋体" w:hAnsi="宋体" w:cs="宋体"/>
                <w:bCs w:val="0"/>
                <w:color w:val="auto"/>
                <w:spacing w:val="0"/>
                <w:kern w:val="2"/>
                <w:sz w:val="21"/>
                <w:szCs w:val="21"/>
                <w:highlight w:val="none"/>
              </w:rPr>
              <w:t>0分。</w:t>
            </w:r>
          </w:p>
          <w:p w14:paraId="76E189AD">
            <w:pPr>
              <w:pStyle w:val="34"/>
              <w:spacing w:before="0" w:after="0" w:line="264" w:lineRule="auto"/>
              <w:ind w:firstLine="420" w:firstLineChars="200"/>
              <w:rPr>
                <w:rFonts w:hint="eastAsia" w:ascii="宋体" w:hAnsi="宋体" w:eastAsia="宋体" w:cs="宋体"/>
                <w:color w:val="auto"/>
                <w:sz w:val="21"/>
                <w:szCs w:val="21"/>
                <w:highlight w:val="none"/>
                <w:lang w:eastAsia="zh-CN"/>
              </w:rPr>
            </w:pPr>
            <w:r>
              <w:rPr>
                <w:rFonts w:hint="eastAsia" w:ascii="宋体" w:hAnsi="宋体" w:cs="宋体"/>
                <w:bCs w:val="0"/>
                <w:color w:val="auto"/>
                <w:spacing w:val="0"/>
                <w:kern w:val="2"/>
                <w:sz w:val="21"/>
                <w:szCs w:val="21"/>
                <w:highlight w:val="none"/>
              </w:rPr>
              <w:t>注：同一人员不重复计分。需提</w:t>
            </w:r>
            <w:r>
              <w:rPr>
                <w:rFonts w:hint="eastAsia" w:ascii="宋体" w:hAnsi="宋体" w:cs="宋体"/>
                <w:bCs w:val="0"/>
                <w:color w:val="auto"/>
                <w:spacing w:val="0"/>
                <w:kern w:val="2"/>
                <w:sz w:val="21"/>
                <w:szCs w:val="21"/>
                <w:highlight w:val="none"/>
                <w:lang w:eastAsia="zh-CN"/>
              </w:rPr>
              <w:t>供职称</w:t>
            </w:r>
            <w:r>
              <w:rPr>
                <w:rFonts w:hint="eastAsia" w:ascii="宋体" w:hAnsi="宋体" w:cs="宋体"/>
                <w:bCs w:val="0"/>
                <w:color w:val="auto"/>
                <w:spacing w:val="0"/>
                <w:kern w:val="2"/>
                <w:sz w:val="21"/>
                <w:szCs w:val="21"/>
                <w:highlight w:val="none"/>
              </w:rPr>
              <w:t>证书复印件作为评审依据，证明材料均需加盖公章，未按要求提供相关证明材料的不得分</w:t>
            </w:r>
          </w:p>
        </w:tc>
      </w:tr>
      <w:tr w14:paraId="788A70E0">
        <w:tblPrEx>
          <w:tblCellMar>
            <w:top w:w="28" w:type="dxa"/>
            <w:left w:w="28" w:type="dxa"/>
            <w:bottom w:w="28" w:type="dxa"/>
            <w:right w:w="28" w:type="dxa"/>
          </w:tblCellMar>
        </w:tblPrEx>
        <w:trPr>
          <w:trHeight w:val="789" w:hRule="atLeast"/>
          <w:jc w:val="center"/>
        </w:trPr>
        <w:tc>
          <w:tcPr>
            <w:tcW w:w="592" w:type="dxa"/>
            <w:tcBorders>
              <w:top w:val="single" w:color="auto" w:sz="4" w:space="0"/>
              <w:left w:val="single" w:color="000000" w:sz="4" w:space="0"/>
              <w:bottom w:val="single" w:color="auto" w:sz="4" w:space="0"/>
              <w:right w:val="single" w:color="auto" w:sz="4" w:space="0"/>
            </w:tcBorders>
            <w:vAlign w:val="center"/>
          </w:tcPr>
          <w:p w14:paraId="0CF16A0C">
            <w:pPr>
              <w:spacing w:line="264" w:lineRule="auto"/>
              <w:jc w:val="center"/>
              <w:rPr>
                <w:rFonts w:ascii="宋体" w:hAnsi="宋体" w:cs="宋体"/>
                <w:color w:val="auto"/>
                <w:szCs w:val="21"/>
                <w:highlight w:val="none"/>
              </w:rPr>
            </w:pPr>
            <w:r>
              <w:rPr>
                <w:rFonts w:hint="eastAsia" w:ascii="宋体" w:hAnsi="宋体" w:cs="宋体"/>
                <w:color w:val="auto"/>
                <w:szCs w:val="21"/>
                <w:highlight w:val="none"/>
              </w:rPr>
              <w:t>四</w:t>
            </w:r>
          </w:p>
        </w:tc>
        <w:tc>
          <w:tcPr>
            <w:tcW w:w="1385" w:type="dxa"/>
            <w:tcBorders>
              <w:top w:val="single" w:color="000000" w:sz="4" w:space="0"/>
              <w:left w:val="single" w:color="auto" w:sz="4" w:space="0"/>
              <w:bottom w:val="single" w:color="000000" w:sz="4" w:space="0"/>
              <w:right w:val="single" w:color="000000" w:sz="4" w:space="0"/>
            </w:tcBorders>
            <w:vAlign w:val="center"/>
          </w:tcPr>
          <w:p w14:paraId="7353BBF3">
            <w:pPr>
              <w:widowControl/>
              <w:spacing w:line="264" w:lineRule="auto"/>
              <w:jc w:val="center"/>
              <w:textAlignment w:val="center"/>
              <w:rPr>
                <w:rFonts w:ascii="宋体" w:hAnsi="宋体" w:cs="宋体"/>
                <w:color w:val="auto"/>
                <w:szCs w:val="21"/>
                <w:highlight w:val="none"/>
              </w:rPr>
            </w:pPr>
            <w:r>
              <w:rPr>
                <w:rFonts w:hint="eastAsia" w:ascii="宋体" w:hAnsi="宋体" w:cs="宋体"/>
                <w:color w:val="auto"/>
                <w:szCs w:val="21"/>
                <w:highlight w:val="none"/>
                <w:lang w:eastAsia="zh-CN"/>
              </w:rPr>
              <w:t>调查与评价</w:t>
            </w:r>
            <w:r>
              <w:rPr>
                <w:rFonts w:hint="eastAsia" w:ascii="宋体" w:hAnsi="宋体" w:cs="宋体"/>
                <w:color w:val="auto"/>
                <w:szCs w:val="21"/>
                <w:highlight w:val="none"/>
              </w:rPr>
              <w:t>方案</w:t>
            </w:r>
          </w:p>
          <w:p w14:paraId="0E0E0A05">
            <w:pPr>
              <w:widowControl/>
              <w:spacing w:line="264" w:lineRule="auto"/>
              <w:jc w:val="center"/>
              <w:textAlignment w:val="center"/>
              <w:rPr>
                <w:rFonts w:ascii="宋体" w:hAnsi="宋体" w:cs="宋体"/>
                <w:color w:val="auto"/>
                <w:szCs w:val="21"/>
                <w:highlight w:val="none"/>
              </w:rPr>
            </w:pPr>
            <w:r>
              <w:rPr>
                <w:rFonts w:hint="eastAsia" w:ascii="宋体" w:hAnsi="宋体" w:cs="宋体"/>
                <w:color w:val="auto"/>
                <w:szCs w:val="21"/>
                <w:highlight w:val="none"/>
              </w:rPr>
              <w:t>（满分</w:t>
            </w:r>
            <w:r>
              <w:rPr>
                <w:rFonts w:hint="eastAsia" w:ascii="宋体" w:hAnsi="宋体" w:cs="宋体"/>
                <w:color w:val="auto"/>
                <w:szCs w:val="21"/>
                <w:highlight w:val="none"/>
                <w:lang w:val="en-US" w:eastAsia="zh-CN"/>
              </w:rPr>
              <w:t>40</w:t>
            </w:r>
            <w:r>
              <w:rPr>
                <w:rFonts w:hint="eastAsia" w:ascii="宋体" w:hAnsi="宋体" w:cs="宋体"/>
                <w:color w:val="auto"/>
                <w:szCs w:val="21"/>
                <w:highlight w:val="none"/>
              </w:rPr>
              <w:t>分）</w:t>
            </w:r>
          </w:p>
        </w:tc>
        <w:tc>
          <w:tcPr>
            <w:tcW w:w="7141" w:type="dxa"/>
            <w:tcBorders>
              <w:top w:val="single" w:color="000000" w:sz="4" w:space="0"/>
              <w:left w:val="single" w:color="000000" w:sz="4" w:space="0"/>
              <w:bottom w:val="single" w:color="000000" w:sz="4" w:space="0"/>
              <w:right w:val="single" w:color="000000" w:sz="4" w:space="0"/>
            </w:tcBorders>
            <w:vAlign w:val="center"/>
          </w:tcPr>
          <w:p w14:paraId="17A1D46C">
            <w:pPr>
              <w:widowControl/>
              <w:spacing w:line="264" w:lineRule="auto"/>
              <w:ind w:firstLine="422" w:firstLineChars="200"/>
              <w:textAlignment w:val="center"/>
              <w:rPr>
                <w:rFonts w:ascii="宋体" w:hAnsi="宋体" w:cs="宋体"/>
                <w:color w:val="auto"/>
                <w:szCs w:val="21"/>
                <w:highlight w:val="none"/>
              </w:rPr>
            </w:pPr>
            <w:r>
              <w:rPr>
                <w:rFonts w:hint="eastAsia" w:ascii="宋体" w:hAnsi="宋体" w:cs="宋体"/>
                <w:b/>
                <w:color w:val="auto"/>
                <w:szCs w:val="21"/>
                <w:highlight w:val="none"/>
              </w:rPr>
              <w:t>优：</w:t>
            </w:r>
            <w:r>
              <w:rPr>
                <w:rFonts w:hint="eastAsia" w:ascii="宋体" w:hAnsi="宋体" w:cs="宋体"/>
                <w:color w:val="auto"/>
                <w:szCs w:val="21"/>
                <w:highlight w:val="none"/>
              </w:rPr>
              <w:t>工作思路清晰，内容全面详实，对本项目重点难点分析准确到位，进度计划安排合理，各阶段工作安排得当，质量、进度保障措施合理、可行，针对性强，能很好地满足采购需求</w:t>
            </w:r>
            <w:r>
              <w:rPr>
                <w:rFonts w:hint="eastAsia" w:ascii="宋体" w:hAnsi="宋体" w:cs="宋体"/>
                <w:color w:val="auto"/>
                <w:szCs w:val="21"/>
                <w:highlight w:val="none"/>
                <w:lang w:eastAsia="zh-CN"/>
              </w:rPr>
              <w:t>的，得</w:t>
            </w:r>
            <w:r>
              <w:rPr>
                <w:rFonts w:hint="eastAsia" w:ascii="宋体" w:hAnsi="宋体" w:cs="宋体"/>
                <w:color w:val="auto"/>
                <w:szCs w:val="21"/>
                <w:highlight w:val="none"/>
                <w:lang w:val="en-US" w:eastAsia="zh-CN"/>
              </w:rPr>
              <w:t>40</w:t>
            </w:r>
            <w:r>
              <w:rPr>
                <w:rFonts w:hint="eastAsia" w:ascii="宋体" w:hAnsi="宋体" w:cs="宋体"/>
                <w:color w:val="auto"/>
                <w:szCs w:val="21"/>
                <w:highlight w:val="none"/>
              </w:rPr>
              <w:t>分；</w:t>
            </w:r>
          </w:p>
          <w:p w14:paraId="716E324A">
            <w:pPr>
              <w:widowControl/>
              <w:spacing w:line="264" w:lineRule="auto"/>
              <w:ind w:firstLine="422" w:firstLineChars="200"/>
              <w:textAlignment w:val="center"/>
              <w:rPr>
                <w:rFonts w:ascii="宋体" w:hAnsi="宋体" w:cs="宋体"/>
                <w:color w:val="auto"/>
                <w:szCs w:val="21"/>
                <w:highlight w:val="none"/>
              </w:rPr>
            </w:pPr>
            <w:r>
              <w:rPr>
                <w:rFonts w:hint="eastAsia" w:ascii="宋体" w:hAnsi="宋体" w:cs="宋体"/>
                <w:b/>
                <w:color w:val="auto"/>
                <w:szCs w:val="21"/>
                <w:highlight w:val="none"/>
              </w:rPr>
              <w:t>良：</w:t>
            </w:r>
            <w:r>
              <w:rPr>
                <w:rFonts w:hint="eastAsia" w:ascii="宋体" w:hAnsi="宋体" w:cs="宋体"/>
                <w:color w:val="auto"/>
                <w:szCs w:val="21"/>
                <w:highlight w:val="none"/>
              </w:rPr>
              <w:t>工作思路较清晰，内容较详实，对本项目重点难点分析比较准确到位，进度计划安排较合理，提出的工作保障措施可行、针对性较强，满足采购需求</w:t>
            </w:r>
            <w:r>
              <w:rPr>
                <w:rFonts w:hint="eastAsia" w:ascii="宋体" w:hAnsi="宋体" w:cs="宋体"/>
                <w:color w:val="auto"/>
                <w:szCs w:val="21"/>
                <w:highlight w:val="none"/>
                <w:lang w:eastAsia="zh-CN"/>
              </w:rPr>
              <w:t>的，得</w:t>
            </w:r>
            <w:r>
              <w:rPr>
                <w:rFonts w:hint="eastAsia" w:ascii="宋体" w:hAnsi="宋体" w:cs="宋体"/>
                <w:color w:val="auto"/>
                <w:szCs w:val="21"/>
                <w:highlight w:val="none"/>
                <w:lang w:val="en-US" w:eastAsia="zh-CN"/>
              </w:rPr>
              <w:t>35</w:t>
            </w:r>
            <w:r>
              <w:rPr>
                <w:rFonts w:hint="eastAsia" w:ascii="宋体" w:hAnsi="宋体" w:cs="宋体"/>
                <w:color w:val="auto"/>
                <w:szCs w:val="21"/>
                <w:highlight w:val="none"/>
              </w:rPr>
              <w:t>分；</w:t>
            </w:r>
          </w:p>
          <w:p w14:paraId="6999481F">
            <w:pPr>
              <w:widowControl/>
              <w:spacing w:line="264" w:lineRule="auto"/>
              <w:ind w:firstLine="422" w:firstLineChars="200"/>
              <w:textAlignment w:val="center"/>
              <w:rPr>
                <w:rFonts w:ascii="宋体" w:hAnsi="宋体" w:cs="宋体"/>
                <w:color w:val="auto"/>
                <w:szCs w:val="21"/>
                <w:highlight w:val="none"/>
              </w:rPr>
            </w:pPr>
            <w:r>
              <w:rPr>
                <w:rFonts w:hint="eastAsia" w:ascii="宋体" w:hAnsi="宋体" w:cs="宋体"/>
                <w:b/>
                <w:color w:val="auto"/>
                <w:szCs w:val="21"/>
                <w:highlight w:val="none"/>
              </w:rPr>
              <w:t>中：</w:t>
            </w:r>
            <w:r>
              <w:rPr>
                <w:rFonts w:hint="eastAsia" w:ascii="宋体" w:hAnsi="宋体" w:cs="宋体"/>
                <w:color w:val="auto"/>
                <w:szCs w:val="21"/>
                <w:highlight w:val="none"/>
              </w:rPr>
              <w:t>工作思路基本清晰，内容基本详实，对本项目重点要点分析基本准确到位，进度计划工期安排一般，提出的工作保障措施基本可行、针对性一般，基本满足采购需求的</w:t>
            </w:r>
            <w:r>
              <w:rPr>
                <w:rFonts w:hint="eastAsia" w:ascii="宋体" w:hAnsi="宋体" w:cs="宋体"/>
                <w:color w:val="auto"/>
                <w:szCs w:val="21"/>
                <w:highlight w:val="none"/>
                <w:lang w:eastAsia="zh-CN"/>
              </w:rPr>
              <w:t>，得</w:t>
            </w:r>
            <w:r>
              <w:rPr>
                <w:rFonts w:hint="eastAsia" w:ascii="宋体" w:hAnsi="宋体" w:cs="宋体"/>
                <w:color w:val="auto"/>
                <w:szCs w:val="21"/>
                <w:highlight w:val="none"/>
                <w:lang w:val="en-US" w:eastAsia="zh-CN"/>
              </w:rPr>
              <w:t>30</w:t>
            </w:r>
            <w:r>
              <w:rPr>
                <w:rFonts w:hint="eastAsia" w:ascii="宋体" w:hAnsi="宋体" w:cs="宋体"/>
                <w:color w:val="auto"/>
                <w:szCs w:val="21"/>
                <w:highlight w:val="none"/>
              </w:rPr>
              <w:t>分；</w:t>
            </w:r>
          </w:p>
          <w:p w14:paraId="5BD28164">
            <w:pPr>
              <w:widowControl/>
              <w:spacing w:line="264" w:lineRule="auto"/>
              <w:ind w:firstLine="422" w:firstLineChars="200"/>
              <w:textAlignment w:val="center"/>
              <w:rPr>
                <w:rFonts w:hint="eastAsia" w:ascii="宋体" w:hAnsi="宋体" w:cs="宋体"/>
                <w:b/>
                <w:color w:val="auto"/>
                <w:szCs w:val="21"/>
                <w:highlight w:val="none"/>
              </w:rPr>
            </w:pPr>
            <w:r>
              <w:rPr>
                <w:rFonts w:hint="eastAsia" w:ascii="宋体" w:hAnsi="宋体" w:cs="宋体"/>
                <w:b/>
                <w:color w:val="auto"/>
                <w:szCs w:val="21"/>
                <w:highlight w:val="none"/>
              </w:rPr>
              <w:t>差：方案不能满足采购需求</w:t>
            </w:r>
            <w:r>
              <w:rPr>
                <w:rFonts w:hint="eastAsia" w:ascii="宋体" w:hAnsi="宋体" w:cs="宋体"/>
                <w:b/>
                <w:color w:val="auto"/>
                <w:szCs w:val="21"/>
                <w:highlight w:val="none"/>
                <w:lang w:eastAsia="zh-CN"/>
              </w:rPr>
              <w:t>的</w:t>
            </w:r>
            <w:r>
              <w:rPr>
                <w:rFonts w:hint="eastAsia" w:ascii="宋体" w:hAnsi="宋体" w:cs="宋体"/>
                <w:b/>
                <w:color w:val="auto"/>
                <w:szCs w:val="21"/>
                <w:highlight w:val="none"/>
              </w:rPr>
              <w:t>（0分）。</w:t>
            </w:r>
          </w:p>
          <w:p w14:paraId="5AB444AB">
            <w:pPr>
              <w:widowControl/>
              <w:spacing w:line="264" w:lineRule="auto"/>
              <w:ind w:firstLine="422" w:firstLineChars="200"/>
              <w:textAlignment w:val="center"/>
              <w:rPr>
                <w:rFonts w:hint="eastAsia" w:ascii="宋体" w:hAnsi="宋体" w:cs="宋体"/>
                <w:b/>
                <w:color w:val="auto"/>
                <w:szCs w:val="21"/>
                <w:highlight w:val="none"/>
              </w:rPr>
            </w:pPr>
          </w:p>
        </w:tc>
      </w:tr>
      <w:tr w14:paraId="625A7B65">
        <w:tblPrEx>
          <w:tblCellMar>
            <w:top w:w="28" w:type="dxa"/>
            <w:left w:w="28" w:type="dxa"/>
            <w:bottom w:w="28" w:type="dxa"/>
            <w:right w:w="28" w:type="dxa"/>
          </w:tblCellMar>
        </w:tblPrEx>
        <w:trPr>
          <w:trHeight w:val="413" w:hRule="atLeast"/>
          <w:jc w:val="center"/>
        </w:trPr>
        <w:tc>
          <w:tcPr>
            <w:tcW w:w="592" w:type="dxa"/>
            <w:tcBorders>
              <w:top w:val="single" w:color="auto" w:sz="4" w:space="0"/>
              <w:left w:val="single" w:color="000000" w:sz="4" w:space="0"/>
              <w:bottom w:val="single" w:color="auto" w:sz="4" w:space="0"/>
              <w:right w:val="single" w:color="auto" w:sz="4" w:space="0"/>
            </w:tcBorders>
            <w:vAlign w:val="center"/>
          </w:tcPr>
          <w:p w14:paraId="11E988EF">
            <w:pPr>
              <w:widowControl/>
              <w:spacing w:line="264" w:lineRule="auto"/>
              <w:jc w:val="center"/>
              <w:textAlignment w:val="center"/>
              <w:rPr>
                <w:rFonts w:ascii="宋体" w:hAnsi="宋体" w:cs="宋体"/>
                <w:color w:val="auto"/>
                <w:szCs w:val="21"/>
                <w:highlight w:val="none"/>
              </w:rPr>
            </w:pPr>
            <w:r>
              <w:rPr>
                <w:rFonts w:hint="eastAsia" w:ascii="宋体" w:hAnsi="宋体" w:cs="宋体"/>
                <w:color w:val="auto"/>
                <w:szCs w:val="21"/>
                <w:highlight w:val="none"/>
              </w:rPr>
              <w:t>五</w:t>
            </w:r>
          </w:p>
        </w:tc>
        <w:tc>
          <w:tcPr>
            <w:tcW w:w="8526" w:type="dxa"/>
            <w:gridSpan w:val="2"/>
            <w:tcBorders>
              <w:top w:val="single" w:color="000000" w:sz="4" w:space="0"/>
              <w:left w:val="single" w:color="auto" w:sz="4" w:space="0"/>
              <w:bottom w:val="single" w:color="000000" w:sz="4" w:space="0"/>
              <w:right w:val="single" w:color="000000" w:sz="4" w:space="0"/>
            </w:tcBorders>
            <w:vAlign w:val="center"/>
          </w:tcPr>
          <w:p w14:paraId="4DB4D6B6">
            <w:pPr>
              <w:widowControl/>
              <w:spacing w:line="264" w:lineRule="auto"/>
              <w:textAlignment w:val="center"/>
              <w:rPr>
                <w:rFonts w:ascii="宋体" w:hAnsi="宋体" w:cs="宋体"/>
                <w:color w:val="auto"/>
                <w:szCs w:val="21"/>
                <w:highlight w:val="none"/>
              </w:rPr>
            </w:pPr>
            <w:r>
              <w:rPr>
                <w:rFonts w:hint="eastAsia" w:ascii="宋体" w:hAnsi="宋体" w:cs="宋体"/>
                <w:color w:val="auto"/>
                <w:szCs w:val="21"/>
                <w:highlight w:val="none"/>
              </w:rPr>
              <w:t>总分=价格分+业绩分+人员配置分+</w:t>
            </w:r>
            <w:r>
              <w:rPr>
                <w:rFonts w:hint="eastAsia" w:ascii="宋体" w:hAnsi="宋体" w:cs="宋体"/>
                <w:color w:val="auto"/>
                <w:szCs w:val="21"/>
                <w:highlight w:val="none"/>
                <w:lang w:eastAsia="zh-CN"/>
              </w:rPr>
              <w:t>调查与评价</w:t>
            </w:r>
            <w:r>
              <w:rPr>
                <w:rFonts w:hint="eastAsia" w:ascii="宋体" w:hAnsi="宋体" w:cs="宋体"/>
                <w:color w:val="auto"/>
                <w:szCs w:val="21"/>
                <w:highlight w:val="none"/>
              </w:rPr>
              <w:t>方案分</w:t>
            </w:r>
          </w:p>
        </w:tc>
      </w:tr>
    </w:tbl>
    <w:p w14:paraId="6B867BB2">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ascii="宋体" w:hAnsi="宋体"/>
          <w:bCs/>
          <w:color w:val="auto"/>
          <w:szCs w:val="21"/>
          <w:highlight w:val="none"/>
        </w:rPr>
      </w:pPr>
    </w:p>
    <w:p w14:paraId="5F987331">
      <w:pPr>
        <w:rPr>
          <w:color w:val="auto"/>
          <w:highlight w:val="none"/>
        </w:rPr>
      </w:pPr>
      <w:r>
        <w:rPr>
          <w:rFonts w:hint="eastAsia"/>
          <w:color w:val="auto"/>
          <w:highlight w:val="none"/>
        </w:rPr>
        <w:br w:type="page"/>
      </w:r>
    </w:p>
    <w:p w14:paraId="23DF3DC9">
      <w:pPr>
        <w:pStyle w:val="10"/>
        <w:rPr>
          <w:color w:val="auto"/>
          <w:highlight w:val="none"/>
        </w:rPr>
      </w:pPr>
    </w:p>
    <w:p w14:paraId="750F3B1C">
      <w:pPr>
        <w:rPr>
          <w:color w:val="auto"/>
          <w:highlight w:val="none"/>
        </w:rPr>
      </w:pPr>
    </w:p>
    <w:p w14:paraId="25F21A85">
      <w:pPr>
        <w:pStyle w:val="2"/>
        <w:spacing w:before="0" w:after="0" w:line="579" w:lineRule="auto"/>
        <w:jc w:val="center"/>
        <w:rPr>
          <w:color w:val="auto"/>
          <w:sz w:val="28"/>
          <w:szCs w:val="28"/>
          <w:highlight w:val="none"/>
        </w:rPr>
      </w:pPr>
      <w:bookmarkStart w:id="125" w:name="_Toc1525"/>
      <w:bookmarkStart w:id="126" w:name="_Toc7276"/>
      <w:bookmarkStart w:id="127" w:name="_Toc9218"/>
      <w:bookmarkStart w:id="128" w:name="_Toc2378"/>
      <w:bookmarkStart w:id="129" w:name="_Toc13809"/>
      <w:bookmarkStart w:id="130" w:name="_Toc16244"/>
      <w:bookmarkStart w:id="131" w:name="_Toc4151"/>
      <w:bookmarkStart w:id="132" w:name="_Toc5116"/>
      <w:bookmarkStart w:id="133" w:name="_Toc29925"/>
      <w:bookmarkStart w:id="134" w:name="_Toc14914"/>
      <w:bookmarkStart w:id="135" w:name="_Toc1499"/>
      <w:bookmarkStart w:id="136" w:name="_Toc31993"/>
      <w:bookmarkStart w:id="137" w:name="_Toc1264"/>
      <w:bookmarkStart w:id="138" w:name="_Toc15131"/>
      <w:bookmarkStart w:id="139" w:name="_Toc28359"/>
      <w:r>
        <w:rPr>
          <w:rFonts w:hint="eastAsia"/>
          <w:color w:val="auto"/>
          <w:sz w:val="28"/>
          <w:szCs w:val="28"/>
          <w:highlight w:val="none"/>
        </w:rPr>
        <w:t>第五章 响应文件格式</w:t>
      </w:r>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p>
    <w:p w14:paraId="28C68315">
      <w:pPr>
        <w:spacing w:line="240" w:lineRule="atLeast"/>
        <w:rPr>
          <w:rFonts w:ascii="仿宋_GB2312" w:hAnsi="仿宋_GB2312" w:eastAsia="仿宋_GB2312" w:cs="仿宋_GB2312"/>
          <w:bCs/>
          <w:color w:val="auto"/>
          <w:sz w:val="32"/>
          <w:szCs w:val="32"/>
          <w:highlight w:val="none"/>
        </w:rPr>
      </w:pPr>
    </w:p>
    <w:p w14:paraId="643C196C">
      <w:pPr>
        <w:snapToGrid w:val="0"/>
        <w:spacing w:before="120" w:beforeLines="50" w:after="50" w:line="360" w:lineRule="auto"/>
        <w:jc w:val="left"/>
        <w:rPr>
          <w:rFonts w:ascii="宋体" w:hAnsi="宋体"/>
          <w:b/>
          <w:color w:val="auto"/>
          <w:sz w:val="24"/>
          <w:highlight w:val="none"/>
        </w:rPr>
      </w:pPr>
      <w:bookmarkStart w:id="140" w:name="_Toc44229899"/>
      <w:bookmarkStart w:id="141" w:name="_Toc35611516"/>
      <w:bookmarkStart w:id="142" w:name="_Toc31728084"/>
      <w:bookmarkStart w:id="143" w:name="_Toc31723070"/>
      <w:bookmarkStart w:id="144" w:name="_Toc35611438"/>
      <w:bookmarkStart w:id="145" w:name="_Toc71365925"/>
      <w:r>
        <w:rPr>
          <w:b/>
          <w:color w:val="auto"/>
          <w:sz w:val="32"/>
          <w:szCs w:val="32"/>
          <w:highlight w:val="none"/>
        </w:rPr>
        <w:br w:type="page"/>
      </w:r>
      <w:bookmarkEnd w:id="140"/>
      <w:bookmarkEnd w:id="141"/>
      <w:bookmarkEnd w:id="142"/>
      <w:bookmarkEnd w:id="143"/>
      <w:bookmarkEnd w:id="144"/>
      <w:bookmarkEnd w:id="145"/>
    </w:p>
    <w:p w14:paraId="05B2FA97">
      <w:pPr>
        <w:snapToGrid w:val="0"/>
        <w:spacing w:before="120" w:beforeLines="50" w:after="50"/>
        <w:rPr>
          <w:rFonts w:ascii="宋体" w:hAnsi="宋体"/>
          <w:bCs/>
          <w:color w:val="auto"/>
          <w:sz w:val="32"/>
          <w:szCs w:val="20"/>
          <w:highlight w:val="none"/>
        </w:rPr>
      </w:pPr>
      <w:r>
        <w:rPr>
          <w:rFonts w:hint="eastAsia" w:ascii="宋体" w:hAnsi="宋体"/>
          <w:color w:val="auto"/>
          <w:sz w:val="24"/>
          <w:highlight w:val="none"/>
        </w:rPr>
        <w:t xml:space="preserve">                                                    </w:t>
      </w:r>
    </w:p>
    <w:p w14:paraId="5457F360">
      <w:pPr>
        <w:snapToGrid w:val="0"/>
        <w:spacing w:before="120" w:beforeLines="50" w:after="50"/>
        <w:rPr>
          <w:rFonts w:ascii="宋体" w:hAnsi="宋体"/>
          <w:color w:val="auto"/>
          <w:sz w:val="24"/>
          <w:szCs w:val="20"/>
          <w:highlight w:val="none"/>
        </w:rPr>
      </w:pPr>
    </w:p>
    <w:p w14:paraId="233DE10E">
      <w:pPr>
        <w:snapToGrid w:val="0"/>
        <w:spacing w:before="120" w:beforeLines="50" w:line="360" w:lineRule="auto"/>
        <w:jc w:val="center"/>
        <w:rPr>
          <w:rFonts w:ascii="黑体" w:hAnsi="黑体" w:eastAsia="黑体" w:cs="黑体"/>
          <w:color w:val="auto"/>
          <w:sz w:val="36"/>
          <w:szCs w:val="36"/>
          <w:highlight w:val="none"/>
        </w:rPr>
      </w:pPr>
      <w:r>
        <w:rPr>
          <w:rFonts w:hint="eastAsia" w:ascii="宋体" w:hAnsi="宋体" w:cs="宋体"/>
          <w:b/>
          <w:bCs/>
          <w:color w:val="auto"/>
          <w:sz w:val="36"/>
          <w:szCs w:val="36"/>
          <w:highlight w:val="none"/>
          <w:lang w:eastAsia="zh-CN"/>
        </w:rPr>
        <w:t>红水河（桥巩至宾港作业区）航道提升工程水生生态环境现状调查与评价服务</w:t>
      </w:r>
      <w:r>
        <w:rPr>
          <w:rFonts w:hint="eastAsia" w:ascii="宋体" w:hAnsi="宋体" w:cs="宋体"/>
          <w:b/>
          <w:bCs/>
          <w:color w:val="auto"/>
          <w:sz w:val="36"/>
          <w:szCs w:val="36"/>
          <w:highlight w:val="none"/>
        </w:rPr>
        <w:t>采购</w:t>
      </w:r>
    </w:p>
    <w:p w14:paraId="3638B3BC">
      <w:pPr>
        <w:snapToGrid w:val="0"/>
        <w:spacing w:before="120" w:beforeLines="50" w:after="50"/>
        <w:jc w:val="center"/>
        <w:rPr>
          <w:rFonts w:ascii="宋体" w:hAnsi="宋体" w:cs="宋体"/>
          <w:bCs/>
          <w:color w:val="auto"/>
          <w:sz w:val="32"/>
          <w:szCs w:val="32"/>
          <w:highlight w:val="none"/>
        </w:rPr>
      </w:pPr>
    </w:p>
    <w:p w14:paraId="7ECD192E">
      <w:pPr>
        <w:snapToGrid w:val="0"/>
        <w:spacing w:before="120" w:beforeLines="50" w:after="50"/>
        <w:jc w:val="center"/>
        <w:rPr>
          <w:rFonts w:ascii="黑体" w:hAnsi="黑体" w:eastAsia="黑体" w:cs="黑体"/>
          <w:bCs/>
          <w:color w:val="auto"/>
          <w:sz w:val="84"/>
          <w:szCs w:val="84"/>
          <w:highlight w:val="none"/>
        </w:rPr>
      </w:pPr>
      <w:r>
        <w:rPr>
          <w:rFonts w:hint="eastAsia" w:ascii="黑体" w:hAnsi="黑体" w:eastAsia="黑体" w:cs="黑体"/>
          <w:bCs/>
          <w:color w:val="auto"/>
          <w:sz w:val="84"/>
          <w:szCs w:val="84"/>
          <w:highlight w:val="none"/>
        </w:rPr>
        <w:t>响 应 文 件</w:t>
      </w:r>
    </w:p>
    <w:p w14:paraId="5D274D21">
      <w:pPr>
        <w:snapToGrid w:val="0"/>
        <w:spacing w:before="120" w:beforeLines="50" w:after="50"/>
        <w:jc w:val="center"/>
        <w:rPr>
          <w:rFonts w:ascii="方正小标宋简体" w:hAnsi="方正小标宋简体" w:eastAsia="方正小标宋简体" w:cs="方正小标宋简体"/>
          <w:bCs/>
          <w:color w:val="auto"/>
          <w:sz w:val="44"/>
          <w:szCs w:val="44"/>
          <w:highlight w:val="none"/>
        </w:rPr>
      </w:pPr>
    </w:p>
    <w:p w14:paraId="73D622CE">
      <w:pPr>
        <w:snapToGrid w:val="0"/>
        <w:spacing w:before="120" w:beforeLines="50" w:after="50"/>
        <w:jc w:val="center"/>
        <w:rPr>
          <w:rFonts w:ascii="方正小标宋简体" w:hAnsi="方正小标宋简体" w:eastAsia="方正小标宋简体" w:cs="方正小标宋简体"/>
          <w:bCs/>
          <w:color w:val="auto"/>
          <w:sz w:val="32"/>
          <w:szCs w:val="32"/>
          <w:highlight w:val="none"/>
        </w:rPr>
      </w:pPr>
    </w:p>
    <w:p w14:paraId="3214BA98">
      <w:pPr>
        <w:snapToGrid w:val="0"/>
        <w:spacing w:before="120" w:beforeLines="50" w:after="50"/>
        <w:rPr>
          <w:rFonts w:ascii="宋体" w:hAnsi="宋体"/>
          <w:bCs/>
          <w:color w:val="auto"/>
          <w:sz w:val="24"/>
          <w:szCs w:val="20"/>
          <w:highlight w:val="none"/>
        </w:rPr>
      </w:pPr>
    </w:p>
    <w:p w14:paraId="41941762">
      <w:pPr>
        <w:snapToGrid w:val="0"/>
        <w:spacing w:before="120" w:beforeLines="50" w:after="50"/>
        <w:rPr>
          <w:rFonts w:ascii="宋体" w:hAnsi="宋体"/>
          <w:bCs/>
          <w:color w:val="auto"/>
          <w:sz w:val="24"/>
          <w:szCs w:val="20"/>
          <w:highlight w:val="none"/>
        </w:rPr>
      </w:pPr>
    </w:p>
    <w:p w14:paraId="011F923C">
      <w:pPr>
        <w:snapToGrid w:val="0"/>
        <w:spacing w:before="120" w:beforeLines="50" w:after="50"/>
        <w:rPr>
          <w:rFonts w:ascii="宋体" w:hAnsi="宋体"/>
          <w:bCs/>
          <w:color w:val="auto"/>
          <w:sz w:val="24"/>
          <w:szCs w:val="20"/>
          <w:highlight w:val="none"/>
        </w:rPr>
      </w:pPr>
    </w:p>
    <w:p w14:paraId="6B9DCA68">
      <w:pPr>
        <w:snapToGrid w:val="0"/>
        <w:spacing w:before="120" w:beforeLines="50" w:after="50"/>
        <w:ind w:firstLine="640" w:firstLineChars="200"/>
        <w:rPr>
          <w:rFonts w:ascii="宋体" w:hAnsi="宋体" w:cs="仿宋_GB2312"/>
          <w:bCs/>
          <w:color w:val="auto"/>
          <w:sz w:val="32"/>
          <w:szCs w:val="32"/>
          <w:highlight w:val="none"/>
        </w:rPr>
      </w:pPr>
    </w:p>
    <w:p w14:paraId="28781C0B">
      <w:pPr>
        <w:snapToGrid w:val="0"/>
        <w:spacing w:before="120" w:beforeLines="50" w:after="50"/>
        <w:ind w:firstLine="720" w:firstLineChars="225"/>
        <w:rPr>
          <w:rFonts w:ascii="宋体" w:hAnsi="宋体" w:cs="仿宋_GB2312"/>
          <w:bCs/>
          <w:color w:val="auto"/>
          <w:sz w:val="32"/>
          <w:szCs w:val="32"/>
          <w:highlight w:val="none"/>
        </w:rPr>
      </w:pPr>
    </w:p>
    <w:p w14:paraId="0BFCADD2">
      <w:pPr>
        <w:snapToGrid w:val="0"/>
        <w:spacing w:before="120" w:beforeLines="50" w:after="50"/>
        <w:ind w:firstLine="720" w:firstLineChars="225"/>
        <w:rPr>
          <w:rFonts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r>
        <w:rPr>
          <w:rFonts w:hint="eastAsia" w:ascii="宋体" w:hAnsi="宋体" w:cs="仿宋_GB2312"/>
          <w:bCs/>
          <w:color w:val="auto"/>
          <w:sz w:val="32"/>
          <w:szCs w:val="32"/>
          <w:highlight w:val="none"/>
          <w:u w:val="single"/>
        </w:rPr>
        <w:t xml:space="preserve">                         </w:t>
      </w:r>
      <w:r>
        <w:rPr>
          <w:rFonts w:hint="eastAsia" w:ascii="宋体" w:hAnsi="宋体" w:cs="仿宋_GB2312"/>
          <w:bCs/>
          <w:color w:val="auto"/>
          <w:sz w:val="32"/>
          <w:szCs w:val="32"/>
          <w:highlight w:val="none"/>
        </w:rPr>
        <w:t>（盖单位公章）</w:t>
      </w:r>
    </w:p>
    <w:p w14:paraId="40B11F34">
      <w:pPr>
        <w:snapToGrid w:val="0"/>
        <w:spacing w:before="120" w:beforeLines="50" w:after="50"/>
        <w:ind w:firstLine="720" w:firstLineChars="225"/>
        <w:rPr>
          <w:rFonts w:ascii="宋体" w:hAnsi="宋体" w:cs="仿宋_GB2312"/>
          <w:bCs/>
          <w:color w:val="auto"/>
          <w:sz w:val="32"/>
          <w:szCs w:val="32"/>
          <w:highlight w:val="none"/>
        </w:rPr>
      </w:pPr>
      <w:r>
        <w:rPr>
          <w:rFonts w:hint="eastAsia" w:ascii="宋体" w:hAnsi="宋体" w:cs="仿宋_GB2312"/>
          <w:bCs/>
          <w:color w:val="auto"/>
          <w:sz w:val="32"/>
          <w:szCs w:val="32"/>
          <w:highlight w:val="none"/>
        </w:rPr>
        <w:t>法定代表人或其委托代理人：</w:t>
      </w:r>
      <w:r>
        <w:rPr>
          <w:rFonts w:hint="eastAsia" w:ascii="宋体" w:hAnsi="宋体" w:cs="仿宋_GB2312"/>
          <w:bCs/>
          <w:color w:val="auto"/>
          <w:sz w:val="32"/>
          <w:szCs w:val="32"/>
          <w:highlight w:val="none"/>
          <w:u w:val="single"/>
        </w:rPr>
        <w:t xml:space="preserve">           </w:t>
      </w:r>
      <w:r>
        <w:rPr>
          <w:rFonts w:hint="eastAsia" w:ascii="宋体" w:hAnsi="宋体" w:cs="仿宋_GB2312"/>
          <w:bCs/>
          <w:color w:val="auto"/>
          <w:sz w:val="32"/>
          <w:szCs w:val="32"/>
          <w:highlight w:val="none"/>
        </w:rPr>
        <w:t>（签字）</w:t>
      </w:r>
    </w:p>
    <w:p w14:paraId="08622B40">
      <w:pPr>
        <w:snapToGrid w:val="0"/>
        <w:spacing w:before="120" w:beforeLines="50" w:after="50"/>
        <w:ind w:firstLine="720" w:firstLineChars="225"/>
        <w:rPr>
          <w:rFonts w:ascii="宋体" w:hAnsi="宋体" w:cs="仿宋_GB2312"/>
          <w:bCs/>
          <w:color w:val="auto"/>
          <w:sz w:val="32"/>
          <w:szCs w:val="32"/>
          <w:highlight w:val="none"/>
        </w:rPr>
      </w:pPr>
    </w:p>
    <w:p w14:paraId="35C82ADA">
      <w:pPr>
        <w:pStyle w:val="5"/>
        <w:snapToGrid w:val="0"/>
        <w:spacing w:before="50" w:after="50"/>
        <w:ind w:firstLine="720" w:firstLineChars="225"/>
        <w:rPr>
          <w:rFonts w:ascii="宋体" w:hAnsi="宋体" w:cs="仿宋_GB2312"/>
          <w:bCs/>
          <w:color w:val="auto"/>
          <w:sz w:val="32"/>
          <w:szCs w:val="32"/>
          <w:highlight w:val="none"/>
        </w:rPr>
      </w:pPr>
    </w:p>
    <w:p w14:paraId="3D35DCE8">
      <w:pPr>
        <w:pStyle w:val="5"/>
        <w:snapToGrid w:val="0"/>
        <w:spacing w:before="50" w:after="50"/>
        <w:ind w:firstLine="720" w:firstLineChars="225"/>
        <w:rPr>
          <w:rFonts w:ascii="宋体" w:hAnsi="宋体" w:cs="仿宋_GB2312"/>
          <w:bCs/>
          <w:color w:val="auto"/>
          <w:sz w:val="32"/>
          <w:szCs w:val="32"/>
          <w:highlight w:val="none"/>
        </w:rPr>
      </w:pPr>
    </w:p>
    <w:p w14:paraId="2E8087B6">
      <w:pPr>
        <w:pStyle w:val="5"/>
        <w:snapToGrid w:val="0"/>
        <w:spacing w:before="50" w:after="50"/>
        <w:ind w:firstLine="720" w:firstLineChars="225"/>
        <w:rPr>
          <w:rFonts w:ascii="宋体" w:hAnsi="宋体" w:cs="仿宋_GB2312"/>
          <w:bCs/>
          <w:color w:val="auto"/>
          <w:sz w:val="32"/>
          <w:szCs w:val="32"/>
          <w:highlight w:val="none"/>
        </w:rPr>
      </w:pPr>
    </w:p>
    <w:p w14:paraId="341C3B28">
      <w:pPr>
        <w:pStyle w:val="5"/>
        <w:snapToGrid w:val="0"/>
        <w:spacing w:before="50" w:after="50"/>
        <w:ind w:firstLine="1280" w:firstLineChars="400"/>
        <w:rPr>
          <w:rFonts w:ascii="宋体" w:hAnsi="宋体" w:cs="仿宋_GB2312"/>
          <w:bCs/>
          <w:color w:val="auto"/>
          <w:sz w:val="32"/>
          <w:szCs w:val="32"/>
          <w:highlight w:val="none"/>
        </w:rPr>
      </w:pPr>
    </w:p>
    <w:p w14:paraId="37996249">
      <w:pPr>
        <w:snapToGrid w:val="0"/>
        <w:spacing w:before="120" w:beforeLines="50" w:after="50"/>
        <w:jc w:val="center"/>
        <w:rPr>
          <w:rFonts w:ascii="宋体" w:hAnsi="宋体" w:cs="仿宋_GB2312"/>
          <w:color w:val="auto"/>
          <w:sz w:val="32"/>
          <w:szCs w:val="32"/>
          <w:highlight w:val="none"/>
        </w:rPr>
      </w:pPr>
      <w:r>
        <w:rPr>
          <w:rFonts w:hint="eastAsia" w:ascii="宋体" w:hAnsi="宋体" w:cs="仿宋_GB2312"/>
          <w:color w:val="auto"/>
          <w:sz w:val="32"/>
          <w:szCs w:val="32"/>
          <w:highlight w:val="none"/>
          <w:u w:val="single"/>
        </w:rPr>
        <w:t xml:space="preserve">      </w:t>
      </w:r>
      <w:r>
        <w:rPr>
          <w:rFonts w:hint="eastAsia" w:ascii="宋体" w:hAnsi="宋体" w:cs="仿宋_GB2312"/>
          <w:color w:val="auto"/>
          <w:sz w:val="32"/>
          <w:szCs w:val="32"/>
          <w:highlight w:val="none"/>
        </w:rPr>
        <w:t>年</w:t>
      </w:r>
      <w:r>
        <w:rPr>
          <w:rFonts w:hint="eastAsia" w:ascii="宋体" w:hAnsi="宋体" w:cs="仿宋_GB2312"/>
          <w:color w:val="auto"/>
          <w:sz w:val="32"/>
          <w:szCs w:val="32"/>
          <w:highlight w:val="none"/>
          <w:u w:val="single"/>
        </w:rPr>
        <w:t xml:space="preserve">    </w:t>
      </w:r>
      <w:r>
        <w:rPr>
          <w:rFonts w:hint="eastAsia" w:ascii="宋体" w:hAnsi="宋体" w:cs="仿宋_GB2312"/>
          <w:color w:val="auto"/>
          <w:sz w:val="32"/>
          <w:szCs w:val="32"/>
          <w:highlight w:val="none"/>
        </w:rPr>
        <w:t>月</w:t>
      </w:r>
      <w:r>
        <w:rPr>
          <w:rFonts w:hint="eastAsia" w:ascii="宋体" w:hAnsi="宋体" w:cs="仿宋_GB2312"/>
          <w:color w:val="auto"/>
          <w:sz w:val="32"/>
          <w:szCs w:val="32"/>
          <w:highlight w:val="none"/>
          <w:u w:val="single"/>
        </w:rPr>
        <w:t xml:space="preserve">    </w:t>
      </w:r>
      <w:r>
        <w:rPr>
          <w:rFonts w:hint="eastAsia" w:ascii="宋体" w:hAnsi="宋体" w:cs="仿宋_GB2312"/>
          <w:color w:val="auto"/>
          <w:sz w:val="32"/>
          <w:szCs w:val="32"/>
          <w:highlight w:val="none"/>
        </w:rPr>
        <w:t>日</w:t>
      </w:r>
    </w:p>
    <w:p w14:paraId="4621B798">
      <w:pPr>
        <w:snapToGrid w:val="0"/>
        <w:spacing w:before="120" w:beforeLines="50" w:after="50" w:line="360" w:lineRule="auto"/>
        <w:jc w:val="center"/>
        <w:outlineLvl w:val="1"/>
        <w:rPr>
          <w:rFonts w:ascii="宋体" w:hAnsi="宋体"/>
          <w:b/>
          <w:bCs/>
          <w:color w:val="auto"/>
          <w:sz w:val="36"/>
          <w:szCs w:val="36"/>
          <w:highlight w:val="none"/>
        </w:rPr>
      </w:pPr>
      <w:r>
        <w:rPr>
          <w:rFonts w:ascii="宋体" w:hAnsi="宋体"/>
          <w:color w:val="auto"/>
          <w:sz w:val="24"/>
          <w:highlight w:val="none"/>
        </w:rPr>
        <w:br w:type="page"/>
      </w:r>
      <w:bookmarkStart w:id="146" w:name="_Toc5241"/>
      <w:bookmarkStart w:id="147" w:name="_Toc14424"/>
      <w:bookmarkStart w:id="148" w:name="_Toc13495"/>
      <w:bookmarkStart w:id="149" w:name="_Toc26665"/>
      <w:bookmarkStart w:id="150" w:name="_Toc30735"/>
      <w:bookmarkStart w:id="151" w:name="_Toc31133"/>
      <w:bookmarkStart w:id="152" w:name="_Toc13623"/>
      <w:bookmarkStart w:id="153" w:name="_Toc15878"/>
      <w:bookmarkStart w:id="154" w:name="_Toc16677"/>
      <w:bookmarkStart w:id="155" w:name="_Toc21413"/>
      <w:bookmarkStart w:id="156" w:name="_Toc28937"/>
      <w:bookmarkStart w:id="157" w:name="_Toc19485"/>
      <w:bookmarkStart w:id="158" w:name="_Toc5315"/>
      <w:bookmarkStart w:id="159" w:name="_Toc2725"/>
      <w:bookmarkStart w:id="160" w:name="_Toc2578"/>
      <w:r>
        <w:rPr>
          <w:rFonts w:hint="eastAsia" w:ascii="宋体" w:hAnsi="宋体"/>
          <w:b/>
          <w:bCs/>
          <w:color w:val="auto"/>
          <w:sz w:val="36"/>
          <w:szCs w:val="36"/>
          <w:highlight w:val="none"/>
        </w:rPr>
        <w:t>目录</w:t>
      </w:r>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p>
    <w:p w14:paraId="614AA498">
      <w:pPr>
        <w:snapToGrid w:val="0"/>
        <w:spacing w:before="120" w:beforeLines="50" w:after="50"/>
        <w:rPr>
          <w:rFonts w:ascii="宋体" w:hAnsi="宋体"/>
          <w:color w:val="auto"/>
          <w:sz w:val="24"/>
          <w:szCs w:val="20"/>
          <w:highlight w:val="none"/>
        </w:rPr>
      </w:pPr>
    </w:p>
    <w:p w14:paraId="6DA1A672">
      <w:pPr>
        <w:snapToGrid w:val="0"/>
        <w:spacing w:before="120" w:beforeLines="50" w:after="50"/>
        <w:ind w:firstLine="480" w:firstLineChars="200"/>
        <w:rPr>
          <w:rFonts w:ascii="宋体" w:hAnsi="宋体"/>
          <w:color w:val="auto"/>
          <w:sz w:val="24"/>
          <w:szCs w:val="20"/>
          <w:highlight w:val="none"/>
        </w:rPr>
      </w:pPr>
      <w:r>
        <w:rPr>
          <w:rFonts w:hint="eastAsia" w:ascii="宋体" w:hAnsi="宋体"/>
          <w:color w:val="auto"/>
          <w:sz w:val="24"/>
          <w:szCs w:val="20"/>
          <w:highlight w:val="none"/>
        </w:rPr>
        <w:t>一、投标函</w:t>
      </w:r>
    </w:p>
    <w:p w14:paraId="1BE99042">
      <w:pPr>
        <w:snapToGrid w:val="0"/>
        <w:spacing w:before="120" w:beforeLines="50" w:after="50"/>
        <w:ind w:firstLine="480" w:firstLineChars="200"/>
        <w:rPr>
          <w:rFonts w:ascii="宋体" w:hAnsi="宋体"/>
          <w:color w:val="auto"/>
          <w:sz w:val="24"/>
          <w:szCs w:val="20"/>
          <w:highlight w:val="none"/>
        </w:rPr>
      </w:pPr>
      <w:r>
        <w:rPr>
          <w:rFonts w:hint="eastAsia" w:ascii="宋体" w:hAnsi="宋体"/>
          <w:color w:val="auto"/>
          <w:sz w:val="24"/>
          <w:szCs w:val="20"/>
          <w:highlight w:val="none"/>
        </w:rPr>
        <w:t>二、法定代表人身份证明（适用于无委托代理人的情况）</w:t>
      </w:r>
    </w:p>
    <w:p w14:paraId="2AA70503">
      <w:pPr>
        <w:snapToGrid w:val="0"/>
        <w:spacing w:before="120" w:beforeLines="50" w:after="50"/>
        <w:ind w:firstLine="480" w:firstLineChars="200"/>
        <w:rPr>
          <w:rFonts w:ascii="宋体" w:hAnsi="宋体"/>
          <w:color w:val="auto"/>
          <w:sz w:val="24"/>
          <w:szCs w:val="20"/>
          <w:highlight w:val="none"/>
        </w:rPr>
      </w:pPr>
      <w:r>
        <w:rPr>
          <w:rFonts w:hint="eastAsia" w:ascii="宋体" w:hAnsi="宋体"/>
          <w:color w:val="auto"/>
          <w:sz w:val="24"/>
          <w:szCs w:val="20"/>
          <w:highlight w:val="none"/>
        </w:rPr>
        <w:t>二、授权委托书（适用于有委托代理人的情况）</w:t>
      </w:r>
    </w:p>
    <w:p w14:paraId="4183113A">
      <w:pPr>
        <w:snapToGrid w:val="0"/>
        <w:spacing w:before="120" w:beforeLines="50" w:after="50"/>
        <w:ind w:firstLine="480" w:firstLineChars="200"/>
        <w:rPr>
          <w:rFonts w:ascii="宋体" w:hAnsi="宋体"/>
          <w:color w:val="auto"/>
          <w:sz w:val="24"/>
          <w:szCs w:val="20"/>
          <w:highlight w:val="none"/>
        </w:rPr>
      </w:pPr>
      <w:r>
        <w:rPr>
          <w:rFonts w:hint="eastAsia" w:ascii="宋体" w:hAnsi="宋体"/>
          <w:color w:val="auto"/>
          <w:sz w:val="24"/>
          <w:szCs w:val="20"/>
          <w:highlight w:val="none"/>
        </w:rPr>
        <w:t>三、报价清单</w:t>
      </w:r>
    </w:p>
    <w:p w14:paraId="612628B4">
      <w:pPr>
        <w:snapToGrid w:val="0"/>
        <w:spacing w:before="120" w:beforeLines="50" w:after="50"/>
        <w:ind w:firstLine="480" w:firstLineChars="200"/>
        <w:rPr>
          <w:rFonts w:hint="eastAsia" w:ascii="宋体" w:hAnsi="宋体" w:eastAsia="宋体"/>
          <w:color w:val="auto"/>
          <w:sz w:val="24"/>
          <w:szCs w:val="20"/>
          <w:highlight w:val="none"/>
          <w:lang w:eastAsia="zh-CN"/>
        </w:rPr>
      </w:pPr>
      <w:r>
        <w:rPr>
          <w:rFonts w:hint="eastAsia" w:ascii="宋体" w:hAnsi="宋体"/>
          <w:color w:val="auto"/>
          <w:sz w:val="24"/>
          <w:szCs w:val="20"/>
          <w:highlight w:val="none"/>
          <w:lang w:eastAsia="zh-CN"/>
        </w:rPr>
        <w:t>四、联合体协议（如有）</w:t>
      </w:r>
    </w:p>
    <w:p w14:paraId="00DAB573">
      <w:pPr>
        <w:snapToGrid w:val="0"/>
        <w:spacing w:before="120" w:beforeLines="50" w:after="50"/>
        <w:ind w:firstLine="480" w:firstLineChars="200"/>
        <w:rPr>
          <w:rFonts w:ascii="宋体" w:hAnsi="宋体"/>
          <w:color w:val="auto"/>
          <w:sz w:val="24"/>
          <w:szCs w:val="20"/>
          <w:highlight w:val="none"/>
        </w:rPr>
      </w:pPr>
      <w:r>
        <w:rPr>
          <w:rFonts w:hint="eastAsia" w:ascii="宋体" w:hAnsi="宋体"/>
          <w:color w:val="auto"/>
          <w:sz w:val="24"/>
          <w:szCs w:val="20"/>
          <w:highlight w:val="none"/>
          <w:lang w:eastAsia="zh-CN"/>
        </w:rPr>
        <w:t>五</w:t>
      </w:r>
      <w:r>
        <w:rPr>
          <w:rFonts w:hint="eastAsia" w:ascii="宋体" w:hAnsi="宋体"/>
          <w:color w:val="auto"/>
          <w:sz w:val="24"/>
          <w:szCs w:val="20"/>
          <w:highlight w:val="none"/>
        </w:rPr>
        <w:t>、资格审查资料</w:t>
      </w:r>
    </w:p>
    <w:p w14:paraId="6342BB23">
      <w:pPr>
        <w:snapToGrid w:val="0"/>
        <w:spacing w:before="120" w:beforeLines="50" w:after="50"/>
        <w:ind w:firstLine="480" w:firstLineChars="200"/>
        <w:rPr>
          <w:rFonts w:ascii="宋体" w:hAnsi="宋体"/>
          <w:color w:val="auto"/>
          <w:sz w:val="24"/>
          <w:szCs w:val="20"/>
          <w:highlight w:val="none"/>
        </w:rPr>
      </w:pPr>
      <w:r>
        <w:rPr>
          <w:rFonts w:hint="eastAsia" w:ascii="宋体" w:hAnsi="宋体"/>
          <w:color w:val="auto"/>
          <w:sz w:val="24"/>
          <w:szCs w:val="20"/>
          <w:highlight w:val="none"/>
        </w:rPr>
        <w:t>(一)投标人基本情况表</w:t>
      </w:r>
    </w:p>
    <w:p w14:paraId="6BEA6655">
      <w:pPr>
        <w:snapToGrid w:val="0"/>
        <w:spacing w:before="120" w:beforeLines="50" w:after="50"/>
        <w:ind w:firstLine="480" w:firstLineChars="200"/>
        <w:rPr>
          <w:rFonts w:ascii="宋体" w:hAnsi="宋体"/>
          <w:color w:val="auto"/>
          <w:sz w:val="24"/>
          <w:szCs w:val="20"/>
          <w:highlight w:val="none"/>
        </w:rPr>
      </w:pPr>
      <w:r>
        <w:rPr>
          <w:rFonts w:hint="eastAsia" w:ascii="宋体" w:hAnsi="宋体"/>
          <w:color w:val="auto"/>
          <w:sz w:val="24"/>
          <w:szCs w:val="20"/>
          <w:highlight w:val="none"/>
        </w:rPr>
        <w:t>(二)近年的业绩证明文件</w:t>
      </w:r>
    </w:p>
    <w:p w14:paraId="686FA126">
      <w:pPr>
        <w:snapToGrid w:val="0"/>
        <w:spacing w:before="120" w:beforeLines="50" w:after="50"/>
        <w:ind w:firstLine="480" w:firstLineChars="200"/>
        <w:rPr>
          <w:rFonts w:ascii="宋体" w:hAnsi="宋体"/>
          <w:color w:val="auto"/>
          <w:sz w:val="24"/>
          <w:szCs w:val="20"/>
          <w:highlight w:val="none"/>
        </w:rPr>
      </w:pPr>
      <w:r>
        <w:rPr>
          <w:rFonts w:hint="eastAsia" w:ascii="宋体" w:hAnsi="宋体"/>
          <w:color w:val="auto"/>
          <w:sz w:val="24"/>
          <w:szCs w:val="20"/>
          <w:highlight w:val="none"/>
        </w:rPr>
        <w:t>(三)供应商信用及守法证明材料</w:t>
      </w:r>
    </w:p>
    <w:p w14:paraId="6A917961">
      <w:pPr>
        <w:snapToGrid w:val="0"/>
        <w:spacing w:before="120" w:beforeLines="50" w:after="50"/>
        <w:ind w:firstLine="480" w:firstLineChars="200"/>
        <w:rPr>
          <w:rFonts w:ascii="宋体" w:hAnsi="宋体"/>
          <w:color w:val="auto"/>
          <w:sz w:val="24"/>
          <w:szCs w:val="20"/>
          <w:highlight w:val="none"/>
        </w:rPr>
      </w:pPr>
      <w:r>
        <w:rPr>
          <w:rFonts w:hint="eastAsia" w:ascii="宋体" w:hAnsi="宋体"/>
          <w:color w:val="auto"/>
          <w:sz w:val="24"/>
          <w:szCs w:val="20"/>
          <w:highlight w:val="none"/>
        </w:rPr>
        <w:t>(四)拟投入的主要人员表</w:t>
      </w:r>
    </w:p>
    <w:p w14:paraId="67DD5C21">
      <w:pPr>
        <w:snapToGrid w:val="0"/>
        <w:spacing w:before="120" w:beforeLines="50" w:after="50"/>
        <w:ind w:firstLine="480" w:firstLineChars="200"/>
        <w:rPr>
          <w:rFonts w:ascii="宋体" w:hAnsi="宋体"/>
          <w:color w:val="auto"/>
          <w:sz w:val="24"/>
          <w:szCs w:val="20"/>
          <w:highlight w:val="none"/>
        </w:rPr>
      </w:pPr>
      <w:r>
        <w:rPr>
          <w:rFonts w:hint="eastAsia" w:ascii="宋体" w:hAnsi="宋体"/>
          <w:color w:val="auto"/>
          <w:sz w:val="24"/>
          <w:szCs w:val="20"/>
          <w:highlight w:val="none"/>
          <w:lang w:eastAsia="zh-CN"/>
        </w:rPr>
        <w:t>六</w:t>
      </w:r>
      <w:r>
        <w:rPr>
          <w:rFonts w:hint="eastAsia" w:ascii="宋体" w:hAnsi="宋体"/>
          <w:color w:val="auto"/>
          <w:sz w:val="24"/>
          <w:szCs w:val="20"/>
          <w:highlight w:val="none"/>
        </w:rPr>
        <w:t>、</w:t>
      </w:r>
      <w:r>
        <w:rPr>
          <w:rFonts w:hint="eastAsia" w:ascii="宋体" w:hAnsi="宋体"/>
          <w:color w:val="auto"/>
          <w:sz w:val="24"/>
          <w:szCs w:val="20"/>
          <w:highlight w:val="none"/>
          <w:lang w:eastAsia="zh-CN"/>
        </w:rPr>
        <w:t>调查与评价</w:t>
      </w:r>
      <w:r>
        <w:rPr>
          <w:rFonts w:hint="eastAsia" w:ascii="宋体" w:hAnsi="宋体"/>
          <w:color w:val="auto"/>
          <w:sz w:val="24"/>
          <w:szCs w:val="20"/>
          <w:highlight w:val="none"/>
        </w:rPr>
        <w:t>方案</w:t>
      </w:r>
    </w:p>
    <w:p w14:paraId="79B2A09A">
      <w:pPr>
        <w:snapToGrid w:val="0"/>
        <w:spacing w:before="120" w:beforeLines="50" w:after="50"/>
        <w:ind w:firstLine="480" w:firstLineChars="200"/>
        <w:rPr>
          <w:rFonts w:ascii="宋体" w:hAnsi="宋体"/>
          <w:color w:val="auto"/>
          <w:sz w:val="24"/>
          <w:szCs w:val="20"/>
          <w:highlight w:val="none"/>
        </w:rPr>
      </w:pPr>
      <w:r>
        <w:rPr>
          <w:rFonts w:hint="eastAsia" w:ascii="宋体" w:hAnsi="宋体"/>
          <w:color w:val="auto"/>
          <w:sz w:val="24"/>
          <w:szCs w:val="20"/>
          <w:highlight w:val="none"/>
          <w:lang w:eastAsia="zh-CN"/>
        </w:rPr>
        <w:t>七</w:t>
      </w:r>
      <w:r>
        <w:rPr>
          <w:rFonts w:hint="eastAsia" w:ascii="宋体" w:hAnsi="宋体"/>
          <w:color w:val="auto"/>
          <w:sz w:val="24"/>
          <w:szCs w:val="20"/>
          <w:highlight w:val="none"/>
        </w:rPr>
        <w:t>、其他资料</w:t>
      </w:r>
    </w:p>
    <w:p w14:paraId="030A5F1C">
      <w:pPr>
        <w:spacing w:line="300" w:lineRule="auto"/>
        <w:rPr>
          <w:rFonts w:ascii="宋体" w:hAnsi="宋体"/>
          <w:color w:val="auto"/>
          <w:szCs w:val="21"/>
          <w:highlight w:val="none"/>
        </w:rPr>
      </w:pPr>
    </w:p>
    <w:p w14:paraId="0A014649">
      <w:pPr>
        <w:spacing w:line="300" w:lineRule="auto"/>
        <w:rPr>
          <w:rFonts w:ascii="宋体" w:hAnsi="宋体"/>
          <w:color w:val="auto"/>
          <w:szCs w:val="21"/>
          <w:highlight w:val="none"/>
        </w:rPr>
      </w:pPr>
    </w:p>
    <w:p w14:paraId="60EE60F1">
      <w:pPr>
        <w:spacing w:line="300" w:lineRule="auto"/>
        <w:rPr>
          <w:rFonts w:ascii="宋体" w:hAnsi="宋体"/>
          <w:color w:val="auto"/>
          <w:szCs w:val="21"/>
          <w:highlight w:val="none"/>
        </w:rPr>
      </w:pPr>
    </w:p>
    <w:p w14:paraId="12E6A4BD">
      <w:pPr>
        <w:spacing w:line="300" w:lineRule="auto"/>
        <w:rPr>
          <w:rFonts w:ascii="宋体" w:hAnsi="宋体"/>
          <w:color w:val="auto"/>
          <w:szCs w:val="21"/>
          <w:highlight w:val="none"/>
        </w:rPr>
      </w:pPr>
    </w:p>
    <w:p w14:paraId="1FC873C1">
      <w:pPr>
        <w:jc w:val="center"/>
        <w:outlineLvl w:val="1"/>
        <w:rPr>
          <w:rFonts w:ascii="黑体" w:hAnsi="黑体" w:eastAsia="黑体" w:cs="黑体"/>
          <w:color w:val="auto"/>
          <w:sz w:val="36"/>
          <w:szCs w:val="36"/>
          <w:highlight w:val="none"/>
        </w:rPr>
      </w:pPr>
      <w:r>
        <w:rPr>
          <w:rFonts w:ascii="宋体" w:hAnsi="宋体"/>
          <w:color w:val="auto"/>
          <w:szCs w:val="21"/>
          <w:highlight w:val="none"/>
        </w:rPr>
        <w:br w:type="page"/>
      </w:r>
      <w:bookmarkStart w:id="161" w:name="_Toc12166"/>
      <w:bookmarkStart w:id="162" w:name="_Toc29629"/>
      <w:bookmarkStart w:id="163" w:name="_Toc22666"/>
      <w:bookmarkStart w:id="164" w:name="_Toc5505"/>
      <w:bookmarkStart w:id="165" w:name="_Toc1932"/>
      <w:bookmarkStart w:id="166" w:name="_Toc16202"/>
      <w:bookmarkStart w:id="167" w:name="_Toc1093"/>
      <w:bookmarkStart w:id="168" w:name="_Toc31846"/>
      <w:bookmarkStart w:id="169" w:name="_Toc22220"/>
      <w:bookmarkStart w:id="170" w:name="_Toc26818"/>
      <w:bookmarkStart w:id="171" w:name="_Toc1292"/>
      <w:bookmarkStart w:id="172" w:name="_Toc10457"/>
      <w:bookmarkStart w:id="173" w:name="_Toc30651"/>
      <w:bookmarkStart w:id="174" w:name="_Toc32689"/>
      <w:bookmarkStart w:id="175" w:name="_Toc13469"/>
      <w:r>
        <w:rPr>
          <w:rFonts w:hint="eastAsia" w:ascii="黑体" w:hAnsi="黑体" w:eastAsia="黑体" w:cs="黑体"/>
          <w:color w:val="auto"/>
          <w:sz w:val="36"/>
          <w:szCs w:val="36"/>
          <w:highlight w:val="none"/>
        </w:rPr>
        <w:t>一、投标函</w:t>
      </w:r>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p>
    <w:p w14:paraId="4F23C989">
      <w:pPr>
        <w:spacing w:line="320" w:lineRule="exact"/>
        <w:jc w:val="center"/>
        <w:rPr>
          <w:rFonts w:ascii="宋体" w:hAnsi="宋体"/>
          <w:b/>
          <w:color w:val="auto"/>
          <w:sz w:val="32"/>
          <w:szCs w:val="32"/>
          <w:highlight w:val="none"/>
        </w:rPr>
      </w:pPr>
    </w:p>
    <w:p w14:paraId="27D30725">
      <w:pPr>
        <w:jc w:val="center"/>
        <w:rPr>
          <w:rFonts w:ascii="宋体" w:hAnsi="宋体"/>
          <w:b/>
          <w:color w:val="auto"/>
          <w:sz w:val="32"/>
          <w:szCs w:val="32"/>
          <w:highlight w:val="none"/>
        </w:rPr>
      </w:pPr>
      <w:r>
        <w:rPr>
          <w:rFonts w:hint="eastAsia" w:ascii="宋体" w:hAnsi="宋体"/>
          <w:b/>
          <w:color w:val="auto"/>
          <w:sz w:val="32"/>
          <w:szCs w:val="32"/>
          <w:highlight w:val="none"/>
        </w:rPr>
        <w:t>投标函</w:t>
      </w:r>
    </w:p>
    <w:p w14:paraId="4706E6C2">
      <w:pPr>
        <w:spacing w:line="320" w:lineRule="exact"/>
        <w:jc w:val="center"/>
        <w:rPr>
          <w:rFonts w:ascii="宋体" w:hAnsi="宋体"/>
          <w:color w:val="auto"/>
          <w:sz w:val="24"/>
          <w:szCs w:val="20"/>
          <w:highlight w:val="none"/>
        </w:rPr>
      </w:pPr>
    </w:p>
    <w:p w14:paraId="25A07742">
      <w:pPr>
        <w:spacing w:line="360" w:lineRule="auto"/>
        <w:contextualSpacing/>
        <w:rPr>
          <w:rFonts w:ascii="宋体" w:hAnsi="宋体" w:cs="宋体"/>
          <w:color w:val="auto"/>
          <w:sz w:val="24"/>
          <w:highlight w:val="none"/>
        </w:rPr>
      </w:pPr>
      <w:r>
        <w:rPr>
          <w:rFonts w:hint="eastAsia" w:ascii="宋体" w:hAnsi="宋体" w:cs="宋体"/>
          <w:color w:val="auto"/>
          <w:sz w:val="24"/>
          <w:highlight w:val="none"/>
          <w:u w:val="single"/>
          <w:lang w:eastAsia="zh-CN"/>
        </w:rPr>
        <w:t>广西壮族自治区水运发展中心</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34143A41">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1.我方已仔细研究了</w:t>
      </w:r>
      <w:r>
        <w:rPr>
          <w:rFonts w:hint="eastAsia" w:ascii="宋体" w:hAnsi="宋体" w:cs="宋体"/>
          <w:color w:val="auto"/>
          <w:sz w:val="24"/>
          <w:highlight w:val="none"/>
          <w:u w:val="single"/>
        </w:rPr>
        <w:t xml:space="preserve"> </w:t>
      </w:r>
      <w:r>
        <w:rPr>
          <w:rFonts w:hint="eastAsia" w:ascii="宋体" w:hAnsi="宋体" w:cs="宋体"/>
          <w:bCs/>
          <w:color w:val="auto"/>
          <w:sz w:val="24"/>
          <w:highlight w:val="none"/>
          <w:u w:val="single"/>
          <w:lang w:eastAsia="zh-CN"/>
        </w:rPr>
        <w:t>红水河（桥巩至宾港作业区）航道提升工程水生生态环境现状调查与评价服务</w:t>
      </w:r>
      <w:r>
        <w:rPr>
          <w:rFonts w:hint="eastAsia" w:ascii="宋体" w:hAnsi="宋体" w:cs="宋体"/>
          <w:bCs/>
          <w:color w:val="auto"/>
          <w:sz w:val="24"/>
          <w:highlight w:val="none"/>
          <w:u w:val="single"/>
          <w:lang w:val="en-US" w:eastAsia="zh-CN"/>
        </w:rPr>
        <w:t xml:space="preserve"> </w:t>
      </w:r>
      <w:r>
        <w:rPr>
          <w:rFonts w:hint="eastAsia" w:ascii="宋体" w:hAnsi="宋体" w:cs="宋体"/>
          <w:bCs/>
          <w:color w:val="auto"/>
          <w:sz w:val="24"/>
          <w:highlight w:val="none"/>
          <w:u w:val="none"/>
          <w:lang w:eastAsia="zh-CN"/>
        </w:rPr>
        <w:t>采购文件的全部内容</w:t>
      </w:r>
      <w:r>
        <w:rPr>
          <w:rFonts w:hint="eastAsia" w:ascii="宋体" w:hAnsi="宋体" w:cs="宋体"/>
          <w:color w:val="auto"/>
          <w:sz w:val="24"/>
          <w:highlight w:val="none"/>
        </w:rPr>
        <w:t>，愿意以人民币（大写）</w:t>
      </w:r>
      <w:r>
        <w:rPr>
          <w:rFonts w:hint="eastAsia" w:ascii="宋体" w:hAnsi="宋体" w:cs="宋体"/>
          <w:color w:val="auto"/>
          <w:sz w:val="24"/>
          <w:highlight w:val="none"/>
          <w:u w:val="single"/>
        </w:rPr>
        <w:t xml:space="preserve">             （¥               ）</w:t>
      </w:r>
      <w:r>
        <w:rPr>
          <w:rFonts w:hint="eastAsia" w:ascii="宋体" w:hAnsi="宋体" w:cs="宋体"/>
          <w:color w:val="auto"/>
          <w:sz w:val="24"/>
          <w:highlight w:val="none"/>
        </w:rPr>
        <w:t>的投标总报价（其中，增值税税率为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），工期：</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日历天，按合同约定完成</w:t>
      </w:r>
      <w:r>
        <w:rPr>
          <w:rFonts w:hint="eastAsia" w:ascii="宋体" w:hAnsi="宋体" w:cs="宋体"/>
          <w:color w:val="auto"/>
          <w:sz w:val="24"/>
          <w:highlight w:val="none"/>
          <w:lang w:eastAsia="zh-CN"/>
        </w:rPr>
        <w:t>调查与评价</w:t>
      </w:r>
      <w:r>
        <w:rPr>
          <w:rFonts w:hint="eastAsia" w:ascii="宋体" w:hAnsi="宋体" w:cs="宋体"/>
          <w:color w:val="auto"/>
          <w:sz w:val="24"/>
          <w:highlight w:val="none"/>
        </w:rPr>
        <w:t>工作。</w:t>
      </w:r>
    </w:p>
    <w:p w14:paraId="4651286E">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2.我方的响应文件包括下列内容：：</w:t>
      </w:r>
    </w:p>
    <w:p w14:paraId="4D9CE094">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（1）投标函；</w:t>
      </w:r>
    </w:p>
    <w:p w14:paraId="2B5E26BA">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（2）法定代表人身份证明或授权委托书；</w:t>
      </w:r>
    </w:p>
    <w:p w14:paraId="2015A295">
      <w:pPr>
        <w:spacing w:line="360" w:lineRule="auto"/>
        <w:ind w:firstLine="480" w:firstLineChars="200"/>
        <w:contextualSpacing/>
        <w:rPr>
          <w:rFonts w:hint="eastAsia" w:ascii="宋体" w:hAnsi="宋体" w:eastAsia="宋体" w:cs="宋体"/>
          <w:color w:val="auto"/>
          <w:sz w:val="24"/>
          <w:highlight w:val="none"/>
          <w:lang w:eastAsia="zh-CN"/>
        </w:rPr>
      </w:pP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3</w:t>
      </w:r>
      <w:r>
        <w:rPr>
          <w:rFonts w:hint="eastAsia" w:ascii="宋体" w:hAnsi="宋体" w:cs="宋体"/>
          <w:color w:val="auto"/>
          <w:sz w:val="24"/>
          <w:highlight w:val="none"/>
          <w:lang w:eastAsia="zh-CN"/>
        </w:rPr>
        <w:t>）</w:t>
      </w:r>
      <w:r>
        <w:rPr>
          <w:rFonts w:hint="eastAsia" w:ascii="宋体" w:hAnsi="宋体" w:cs="宋体"/>
          <w:color w:val="auto"/>
          <w:sz w:val="24"/>
          <w:highlight w:val="none"/>
        </w:rPr>
        <w:t>联合体协议（如有）</w:t>
      </w:r>
    </w:p>
    <w:p w14:paraId="7592CA68">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w:t>
      </w:r>
      <w:r>
        <w:rPr>
          <w:rFonts w:hint="eastAsia" w:ascii="宋体" w:hAnsi="宋体" w:cs="宋体"/>
          <w:color w:val="auto"/>
          <w:sz w:val="24"/>
          <w:highlight w:val="none"/>
          <w:lang w:val="en-US" w:eastAsia="zh-CN"/>
        </w:rPr>
        <w:t>4</w:t>
      </w:r>
      <w:r>
        <w:rPr>
          <w:rFonts w:hint="eastAsia" w:ascii="宋体" w:hAnsi="宋体" w:cs="宋体"/>
          <w:color w:val="auto"/>
          <w:sz w:val="24"/>
          <w:highlight w:val="none"/>
        </w:rPr>
        <w:t>）报价清单；</w:t>
      </w:r>
    </w:p>
    <w:p w14:paraId="08739605">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w:t>
      </w:r>
      <w:r>
        <w:rPr>
          <w:rFonts w:hint="eastAsia" w:ascii="宋体" w:hAnsi="宋体" w:cs="宋体"/>
          <w:color w:val="auto"/>
          <w:sz w:val="24"/>
          <w:highlight w:val="none"/>
          <w:lang w:val="en-US" w:eastAsia="zh-CN"/>
        </w:rPr>
        <w:t>5</w:t>
      </w:r>
      <w:r>
        <w:rPr>
          <w:rFonts w:hint="eastAsia" w:ascii="宋体" w:hAnsi="宋体" w:cs="宋体"/>
          <w:color w:val="auto"/>
          <w:sz w:val="24"/>
          <w:highlight w:val="none"/>
        </w:rPr>
        <w:t>）资格审查资料；</w:t>
      </w:r>
    </w:p>
    <w:p w14:paraId="7A98833B">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w:t>
      </w:r>
      <w:r>
        <w:rPr>
          <w:rFonts w:hint="eastAsia" w:ascii="宋体" w:hAnsi="宋体" w:cs="宋体"/>
          <w:color w:val="auto"/>
          <w:sz w:val="24"/>
          <w:highlight w:val="none"/>
          <w:lang w:val="en-US" w:eastAsia="zh-CN"/>
        </w:rPr>
        <w:t>6</w:t>
      </w:r>
      <w:r>
        <w:rPr>
          <w:rFonts w:hint="eastAsia" w:ascii="宋体" w:hAnsi="宋体" w:cs="宋体"/>
          <w:color w:val="auto"/>
          <w:sz w:val="24"/>
          <w:highlight w:val="none"/>
        </w:rPr>
        <w:t>）</w:t>
      </w:r>
      <w:r>
        <w:rPr>
          <w:rFonts w:hint="eastAsia" w:ascii="宋体" w:hAnsi="宋体" w:cs="宋体"/>
          <w:color w:val="auto"/>
          <w:sz w:val="24"/>
          <w:highlight w:val="none"/>
          <w:lang w:eastAsia="zh-CN"/>
        </w:rPr>
        <w:t>调查与评价</w:t>
      </w:r>
      <w:r>
        <w:rPr>
          <w:rFonts w:hint="eastAsia" w:ascii="宋体" w:hAnsi="宋体" w:cs="宋体"/>
          <w:color w:val="auto"/>
          <w:sz w:val="24"/>
          <w:highlight w:val="none"/>
        </w:rPr>
        <w:t>方案。</w:t>
      </w:r>
    </w:p>
    <w:p w14:paraId="594D6233">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响应文件的上述组成部分如存在内容不一致的，以投标函为准。</w:t>
      </w:r>
    </w:p>
    <w:p w14:paraId="4D7F332E">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3.我方承诺在采购文件规定的投标有效期内不撤销响应文件。</w:t>
      </w:r>
    </w:p>
    <w:p w14:paraId="5BB65173">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4.如我方中标，我方承诺：</w:t>
      </w:r>
    </w:p>
    <w:p w14:paraId="6EF54532">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（1）在收到中标通知书后，在中标通知书规定的期限内与你方签订合同；</w:t>
      </w:r>
    </w:p>
    <w:p w14:paraId="1B451348">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（2）在签订合同时不向你方提出附加条件；</w:t>
      </w:r>
    </w:p>
    <w:p w14:paraId="61CB768F">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（3）在合同约定的期限内完成合同规定的全部义务。</w:t>
      </w:r>
    </w:p>
    <w:p w14:paraId="11B9D9A8">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5.我方在此声明，所递交的响应文件及有关资料内容完整、真实和准确。</w:t>
      </w:r>
    </w:p>
    <w:p w14:paraId="0FD88A2D">
      <w:pPr>
        <w:pStyle w:val="12"/>
        <w:tabs>
          <w:tab w:val="left" w:pos="939"/>
        </w:tabs>
        <w:spacing w:line="360" w:lineRule="auto"/>
        <w:ind w:left="0" w:leftChars="0" w:firstLine="480" w:firstLineChars="200"/>
        <w:rPr>
          <w:rFonts w:hint="default"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6.项目负责人姓名：</w:t>
      </w:r>
    </w:p>
    <w:p w14:paraId="68DED033">
      <w:pPr>
        <w:pStyle w:val="5"/>
        <w:overflowPunct w:val="0"/>
        <w:spacing w:line="520" w:lineRule="exact"/>
        <w:ind w:firstLine="0"/>
        <w:jc w:val="center"/>
        <w:rPr>
          <w:rFonts w:hint="eastAsia"/>
          <w:color w:val="auto"/>
          <w:sz w:val="24"/>
          <w:highlight w:val="none"/>
        </w:rPr>
      </w:pPr>
    </w:p>
    <w:p w14:paraId="741EA3AF">
      <w:pPr>
        <w:pStyle w:val="5"/>
        <w:overflowPunct w:val="0"/>
        <w:spacing w:line="520" w:lineRule="exact"/>
        <w:ind w:firstLine="0"/>
        <w:jc w:val="center"/>
        <w:rPr>
          <w:color w:val="auto"/>
          <w:sz w:val="24"/>
          <w:highlight w:val="none"/>
        </w:rPr>
      </w:pPr>
      <w:r>
        <w:rPr>
          <w:rFonts w:hint="eastAsia"/>
          <w:color w:val="auto"/>
          <w:sz w:val="24"/>
          <w:highlight w:val="none"/>
        </w:rPr>
        <w:t>供应商名称：</w:t>
      </w:r>
      <w:r>
        <w:rPr>
          <w:rFonts w:hint="eastAsia"/>
          <w:color w:val="auto"/>
          <w:sz w:val="24"/>
          <w:highlight w:val="none"/>
          <w:u w:val="single"/>
        </w:rPr>
        <w:t xml:space="preserve">                         </w:t>
      </w:r>
      <w:r>
        <w:rPr>
          <w:rFonts w:hint="eastAsia"/>
          <w:color w:val="auto"/>
          <w:sz w:val="24"/>
          <w:highlight w:val="none"/>
        </w:rPr>
        <w:t>（盖单位公章）</w:t>
      </w:r>
    </w:p>
    <w:p w14:paraId="4FE2CECE">
      <w:pPr>
        <w:pStyle w:val="5"/>
        <w:overflowPunct w:val="0"/>
        <w:spacing w:line="520" w:lineRule="exact"/>
        <w:ind w:firstLine="1478" w:firstLineChars="616"/>
        <w:rPr>
          <w:color w:val="auto"/>
          <w:sz w:val="24"/>
          <w:highlight w:val="none"/>
        </w:rPr>
      </w:pPr>
      <w:r>
        <w:rPr>
          <w:rFonts w:hint="eastAsia"/>
          <w:color w:val="auto"/>
          <w:sz w:val="24"/>
          <w:highlight w:val="none"/>
        </w:rPr>
        <w:t>法定代表人或其委托代理人：</w:t>
      </w:r>
      <w:r>
        <w:rPr>
          <w:rFonts w:hint="eastAsia"/>
          <w:color w:val="auto"/>
          <w:sz w:val="24"/>
          <w:highlight w:val="none"/>
          <w:u w:val="single"/>
        </w:rPr>
        <w:t xml:space="preserve">           </w:t>
      </w:r>
      <w:r>
        <w:rPr>
          <w:rFonts w:hint="eastAsia"/>
          <w:color w:val="auto"/>
          <w:sz w:val="24"/>
          <w:highlight w:val="none"/>
        </w:rPr>
        <w:t>（签字）</w:t>
      </w:r>
    </w:p>
    <w:p w14:paraId="31396F6C">
      <w:pPr>
        <w:pStyle w:val="5"/>
        <w:overflowPunct w:val="0"/>
        <w:spacing w:line="520" w:lineRule="exact"/>
        <w:ind w:firstLine="3998" w:firstLineChars="1666"/>
        <w:rPr>
          <w:color w:val="auto"/>
          <w:sz w:val="24"/>
          <w:highlight w:val="none"/>
        </w:rPr>
      </w:pPr>
      <w:r>
        <w:rPr>
          <w:rFonts w:hint="eastAsia"/>
          <w:color w:val="auto"/>
          <w:sz w:val="24"/>
          <w:highlight w:val="none"/>
          <w:u w:val="single"/>
        </w:rPr>
        <w:t xml:space="preserve">      </w:t>
      </w:r>
      <w:r>
        <w:rPr>
          <w:rFonts w:hint="eastAsia"/>
          <w:color w:val="auto"/>
          <w:sz w:val="24"/>
          <w:highlight w:val="none"/>
        </w:rPr>
        <w:t>年</w:t>
      </w:r>
      <w:r>
        <w:rPr>
          <w:rFonts w:hint="eastAsia"/>
          <w:color w:val="auto"/>
          <w:sz w:val="24"/>
          <w:highlight w:val="none"/>
          <w:u w:val="single"/>
        </w:rPr>
        <w:t xml:space="preserve">    </w:t>
      </w:r>
      <w:r>
        <w:rPr>
          <w:rFonts w:hint="eastAsia"/>
          <w:color w:val="auto"/>
          <w:sz w:val="24"/>
          <w:highlight w:val="none"/>
        </w:rPr>
        <w:t>月</w:t>
      </w:r>
      <w:r>
        <w:rPr>
          <w:rFonts w:hint="eastAsia"/>
          <w:color w:val="auto"/>
          <w:sz w:val="24"/>
          <w:highlight w:val="none"/>
          <w:u w:val="single"/>
        </w:rPr>
        <w:t xml:space="preserve">    </w:t>
      </w:r>
      <w:r>
        <w:rPr>
          <w:rFonts w:hint="eastAsia"/>
          <w:color w:val="auto"/>
          <w:sz w:val="24"/>
          <w:highlight w:val="none"/>
        </w:rPr>
        <w:t>日</w:t>
      </w:r>
    </w:p>
    <w:p w14:paraId="097F88C1">
      <w:pPr>
        <w:rPr>
          <w:rFonts w:ascii="宋体" w:hAnsi="宋体" w:cs="仿宋_GB2312"/>
          <w:color w:val="auto"/>
          <w:sz w:val="24"/>
          <w:highlight w:val="none"/>
        </w:rPr>
      </w:pPr>
      <w:r>
        <w:rPr>
          <w:rFonts w:hint="eastAsia" w:ascii="宋体" w:hAnsi="宋体" w:cs="仿宋_GB2312"/>
          <w:color w:val="auto"/>
          <w:sz w:val="24"/>
          <w:highlight w:val="none"/>
        </w:rPr>
        <w:br w:type="page"/>
      </w:r>
    </w:p>
    <w:p w14:paraId="6656C914">
      <w:pPr>
        <w:snapToGrid w:val="0"/>
        <w:spacing w:line="360" w:lineRule="auto"/>
        <w:jc w:val="center"/>
        <w:outlineLvl w:val="1"/>
        <w:rPr>
          <w:rFonts w:ascii="黑体" w:hAnsi="黑体" w:eastAsia="黑体" w:cs="黑体"/>
          <w:color w:val="auto"/>
          <w:sz w:val="36"/>
          <w:szCs w:val="36"/>
          <w:highlight w:val="none"/>
        </w:rPr>
      </w:pPr>
      <w:bookmarkStart w:id="176" w:name="_Toc32548"/>
      <w:bookmarkStart w:id="177" w:name="_Toc10185"/>
      <w:bookmarkStart w:id="178" w:name="_Toc19398"/>
      <w:bookmarkStart w:id="179" w:name="_Toc15603"/>
      <w:bookmarkStart w:id="180" w:name="_Toc11484"/>
      <w:bookmarkStart w:id="181" w:name="_Toc9179"/>
      <w:bookmarkStart w:id="182" w:name="_Toc18934"/>
      <w:bookmarkStart w:id="183" w:name="_Toc354"/>
      <w:bookmarkStart w:id="184" w:name="_Toc24718"/>
      <w:bookmarkStart w:id="185" w:name="_Toc26087"/>
      <w:bookmarkStart w:id="186" w:name="_Toc17695"/>
      <w:bookmarkStart w:id="187" w:name="_Toc27814"/>
      <w:bookmarkStart w:id="188" w:name="_Toc13937"/>
      <w:bookmarkStart w:id="189" w:name="_Toc21225"/>
      <w:bookmarkStart w:id="190" w:name="_Toc19940"/>
      <w:r>
        <w:rPr>
          <w:rFonts w:hint="eastAsia" w:ascii="黑体" w:hAnsi="黑体" w:eastAsia="黑体" w:cs="黑体"/>
          <w:color w:val="auto"/>
          <w:sz w:val="36"/>
          <w:szCs w:val="36"/>
          <w:highlight w:val="none"/>
        </w:rPr>
        <w:t>二、法定代表人身份证明</w:t>
      </w:r>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p>
    <w:p w14:paraId="5A9F5C84">
      <w:pPr>
        <w:snapToGrid w:val="0"/>
        <w:spacing w:line="360" w:lineRule="auto"/>
        <w:ind w:firstLine="480" w:firstLineChars="200"/>
        <w:rPr>
          <w:rFonts w:ascii="宋体" w:hAnsi="宋体" w:cs="仿宋_GB2312"/>
          <w:color w:val="auto"/>
          <w:sz w:val="24"/>
          <w:highlight w:val="none"/>
        </w:rPr>
      </w:pPr>
    </w:p>
    <w:p w14:paraId="0F982FDA">
      <w:pPr>
        <w:pStyle w:val="34"/>
        <w:jc w:val="center"/>
        <w:rPr>
          <w:color w:val="auto"/>
          <w:highlight w:val="none"/>
        </w:rPr>
      </w:pPr>
      <w:r>
        <w:rPr>
          <w:rFonts w:hint="eastAsia" w:ascii="宋体" w:hAnsi="宋体"/>
          <w:b/>
          <w:color w:val="auto"/>
          <w:sz w:val="28"/>
          <w:szCs w:val="28"/>
          <w:highlight w:val="none"/>
        </w:rPr>
        <w:t>法定代表人身份证明</w:t>
      </w:r>
    </w:p>
    <w:p w14:paraId="7C818078">
      <w:pPr>
        <w:pStyle w:val="34"/>
        <w:rPr>
          <w:rFonts w:ascii="宋体" w:hAnsi="宋体" w:cs="仿宋_GB2312"/>
          <w:color w:val="auto"/>
          <w:highlight w:val="none"/>
        </w:rPr>
      </w:pPr>
    </w:p>
    <w:p w14:paraId="02C2EE68">
      <w:pPr>
        <w:pStyle w:val="10"/>
        <w:rPr>
          <w:color w:val="auto"/>
          <w:highlight w:val="none"/>
        </w:rPr>
      </w:pPr>
    </w:p>
    <w:p w14:paraId="30634F48">
      <w:pPr>
        <w:snapToGrid w:val="0"/>
        <w:spacing w:line="360" w:lineRule="auto"/>
        <w:ind w:firstLine="480" w:firstLineChars="200"/>
        <w:rPr>
          <w:rFonts w:ascii="宋体" w:hAnsi="宋体" w:cs="仿宋_GB2312"/>
          <w:color w:val="auto"/>
          <w:sz w:val="24"/>
          <w:highlight w:val="none"/>
          <w:u w:val="single"/>
        </w:rPr>
      </w:pPr>
      <w:r>
        <w:rPr>
          <w:rFonts w:hint="eastAsia" w:ascii="宋体" w:hAnsi="宋体" w:cs="仿宋_GB2312"/>
          <w:color w:val="auto"/>
          <w:sz w:val="24"/>
          <w:highlight w:val="none"/>
        </w:rPr>
        <w:t>供应商名称：</w:t>
      </w:r>
      <w:r>
        <w:rPr>
          <w:rFonts w:hint="eastAsia" w:ascii="宋体" w:hAnsi="宋体" w:cs="仿宋_GB2312"/>
          <w:color w:val="auto"/>
          <w:sz w:val="24"/>
          <w:highlight w:val="none"/>
          <w:u w:val="single"/>
        </w:rPr>
        <w:t xml:space="preserve">                                 </w:t>
      </w:r>
    </w:p>
    <w:p w14:paraId="3DE0C7BB">
      <w:pPr>
        <w:snapToGrid w:val="0"/>
        <w:spacing w:line="360" w:lineRule="auto"/>
        <w:ind w:firstLine="480" w:firstLineChars="200"/>
        <w:rPr>
          <w:rFonts w:ascii="宋体" w:hAnsi="宋体" w:cs="仿宋_GB2312"/>
          <w:color w:val="auto"/>
          <w:sz w:val="24"/>
          <w:highlight w:val="none"/>
        </w:rPr>
      </w:pPr>
      <w:r>
        <w:rPr>
          <w:rFonts w:hint="eastAsia" w:ascii="宋体" w:hAnsi="宋体" w:cs="仿宋_GB2312"/>
          <w:color w:val="auto"/>
          <w:sz w:val="24"/>
          <w:highlight w:val="none"/>
        </w:rPr>
        <w:t>姓名：</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性别：</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年龄：</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职务：</w:t>
      </w:r>
      <w:r>
        <w:rPr>
          <w:rFonts w:hint="eastAsia" w:ascii="宋体" w:hAnsi="宋体" w:cs="仿宋_GB2312"/>
          <w:color w:val="auto"/>
          <w:sz w:val="24"/>
          <w:highlight w:val="none"/>
          <w:u w:val="single"/>
        </w:rPr>
        <w:t xml:space="preserve">         </w:t>
      </w:r>
    </w:p>
    <w:p w14:paraId="64153C95">
      <w:pPr>
        <w:snapToGrid w:val="0"/>
        <w:spacing w:line="360" w:lineRule="auto"/>
        <w:ind w:firstLine="480" w:firstLineChars="200"/>
        <w:rPr>
          <w:rFonts w:ascii="宋体" w:hAnsi="宋体" w:cs="仿宋_GB2312"/>
          <w:color w:val="auto"/>
          <w:sz w:val="24"/>
          <w:highlight w:val="none"/>
        </w:rPr>
      </w:pPr>
      <w:r>
        <w:rPr>
          <w:rFonts w:hint="eastAsia" w:ascii="宋体" w:hAnsi="宋体" w:cs="仿宋_GB2312"/>
          <w:color w:val="auto"/>
          <w:sz w:val="24"/>
          <w:highlight w:val="none"/>
        </w:rPr>
        <w:t>系</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（供应商名称）的法定代表人。</w:t>
      </w:r>
    </w:p>
    <w:p w14:paraId="5BD07546">
      <w:pPr>
        <w:pStyle w:val="10"/>
        <w:ind w:firstLine="1200" w:firstLineChars="500"/>
        <w:rPr>
          <w:color w:val="auto"/>
          <w:highlight w:val="none"/>
        </w:rPr>
      </w:pPr>
      <w:r>
        <w:rPr>
          <w:rFonts w:hint="eastAsia" w:ascii="宋体" w:hAnsi="宋体" w:cs="仿宋_GB2312"/>
          <w:color w:val="auto"/>
          <w:sz w:val="24"/>
          <w:highlight w:val="none"/>
        </w:rPr>
        <w:t>特此证明。</w:t>
      </w:r>
    </w:p>
    <w:p w14:paraId="0B539523">
      <w:pPr>
        <w:snapToGrid w:val="0"/>
        <w:spacing w:line="360" w:lineRule="auto"/>
        <w:ind w:firstLine="480" w:firstLineChars="200"/>
        <w:rPr>
          <w:rFonts w:ascii="宋体" w:hAnsi="宋体" w:cs="仿宋_GB2312"/>
          <w:color w:val="auto"/>
          <w:sz w:val="24"/>
          <w:highlight w:val="none"/>
        </w:rPr>
      </w:pPr>
    </w:p>
    <w:p w14:paraId="59DF698C">
      <w:pPr>
        <w:snapToGrid w:val="0"/>
        <w:spacing w:line="360" w:lineRule="auto"/>
        <w:ind w:firstLine="480" w:firstLineChars="200"/>
        <w:rPr>
          <w:rFonts w:ascii="宋体" w:hAnsi="宋体" w:cs="仿宋_GB2312"/>
          <w:color w:val="auto"/>
          <w:sz w:val="24"/>
          <w:highlight w:val="none"/>
        </w:rPr>
      </w:pPr>
      <w:r>
        <w:rPr>
          <w:rFonts w:hint="eastAsia" w:ascii="宋体" w:hAnsi="宋体" w:cs="仿宋_GB2312"/>
          <w:color w:val="auto"/>
          <w:sz w:val="24"/>
          <w:highlight w:val="none"/>
        </w:rPr>
        <w:t>附：法定代表人身份证复印件</w:t>
      </w:r>
    </w:p>
    <w:p w14:paraId="58777729">
      <w:pPr>
        <w:pStyle w:val="10"/>
        <w:rPr>
          <w:color w:val="auto"/>
          <w:highlight w:val="none"/>
        </w:rPr>
      </w:pPr>
    </w:p>
    <w:p w14:paraId="4BD3BDBC">
      <w:pPr>
        <w:pStyle w:val="10"/>
        <w:rPr>
          <w:color w:val="auto"/>
          <w:highlight w:val="none"/>
        </w:rPr>
      </w:pPr>
    </w:p>
    <w:p w14:paraId="2BBDDE12">
      <w:pPr>
        <w:pStyle w:val="10"/>
        <w:rPr>
          <w:color w:val="auto"/>
          <w:highlight w:val="none"/>
        </w:rPr>
      </w:pPr>
    </w:p>
    <w:p w14:paraId="37622EC1">
      <w:pPr>
        <w:pStyle w:val="5"/>
        <w:overflowPunct w:val="0"/>
        <w:spacing w:line="520" w:lineRule="exact"/>
        <w:ind w:firstLine="0"/>
        <w:jc w:val="center"/>
        <w:rPr>
          <w:color w:val="auto"/>
          <w:sz w:val="24"/>
          <w:highlight w:val="none"/>
        </w:rPr>
      </w:pPr>
      <w:r>
        <w:rPr>
          <w:rFonts w:hint="eastAsia"/>
          <w:color w:val="auto"/>
          <w:sz w:val="24"/>
          <w:highlight w:val="none"/>
        </w:rPr>
        <w:t xml:space="preserve">             供应商名称：</w:t>
      </w:r>
      <w:r>
        <w:rPr>
          <w:rFonts w:hint="eastAsia"/>
          <w:color w:val="auto"/>
          <w:sz w:val="24"/>
          <w:highlight w:val="none"/>
          <w:u w:val="single"/>
        </w:rPr>
        <w:t xml:space="preserve">                         </w:t>
      </w:r>
      <w:r>
        <w:rPr>
          <w:rFonts w:hint="eastAsia"/>
          <w:color w:val="auto"/>
          <w:sz w:val="24"/>
          <w:highlight w:val="none"/>
        </w:rPr>
        <w:t>（盖单位公章）</w:t>
      </w:r>
    </w:p>
    <w:p w14:paraId="2C5C0C71">
      <w:pPr>
        <w:pStyle w:val="5"/>
        <w:overflowPunct w:val="0"/>
        <w:spacing w:line="520" w:lineRule="exact"/>
        <w:ind w:firstLine="4800" w:firstLineChars="2000"/>
        <w:rPr>
          <w:color w:val="auto"/>
          <w:sz w:val="24"/>
          <w:highlight w:val="none"/>
        </w:rPr>
      </w:pPr>
      <w:r>
        <w:rPr>
          <w:rFonts w:hint="eastAsia"/>
          <w:color w:val="auto"/>
          <w:sz w:val="24"/>
          <w:highlight w:val="none"/>
          <w:u w:val="single"/>
        </w:rPr>
        <w:t xml:space="preserve">      </w:t>
      </w:r>
      <w:r>
        <w:rPr>
          <w:rFonts w:hint="eastAsia"/>
          <w:color w:val="auto"/>
          <w:sz w:val="24"/>
          <w:highlight w:val="none"/>
        </w:rPr>
        <w:t>年</w:t>
      </w:r>
      <w:r>
        <w:rPr>
          <w:rFonts w:hint="eastAsia"/>
          <w:color w:val="auto"/>
          <w:sz w:val="24"/>
          <w:highlight w:val="none"/>
          <w:u w:val="single"/>
        </w:rPr>
        <w:t xml:space="preserve">    </w:t>
      </w:r>
      <w:r>
        <w:rPr>
          <w:rFonts w:hint="eastAsia"/>
          <w:color w:val="auto"/>
          <w:sz w:val="24"/>
          <w:highlight w:val="none"/>
        </w:rPr>
        <w:t>月</w:t>
      </w:r>
      <w:r>
        <w:rPr>
          <w:rFonts w:hint="eastAsia"/>
          <w:color w:val="auto"/>
          <w:sz w:val="24"/>
          <w:highlight w:val="none"/>
          <w:u w:val="single"/>
        </w:rPr>
        <w:t xml:space="preserve">    </w:t>
      </w:r>
      <w:r>
        <w:rPr>
          <w:rFonts w:hint="eastAsia"/>
          <w:color w:val="auto"/>
          <w:sz w:val="24"/>
          <w:highlight w:val="none"/>
        </w:rPr>
        <w:t>日</w:t>
      </w:r>
    </w:p>
    <w:p w14:paraId="22E908A5">
      <w:pPr>
        <w:pStyle w:val="10"/>
        <w:rPr>
          <w:color w:val="auto"/>
          <w:highlight w:val="none"/>
        </w:rPr>
      </w:pPr>
    </w:p>
    <w:p w14:paraId="46B9BE28">
      <w:pPr>
        <w:rPr>
          <w:color w:val="auto"/>
          <w:highlight w:val="none"/>
        </w:rPr>
      </w:pPr>
      <w:r>
        <w:rPr>
          <w:color w:val="auto"/>
          <w:highlight w:val="none"/>
        </w:rPr>
        <w:br w:type="page"/>
      </w:r>
    </w:p>
    <w:p w14:paraId="2D1D5536">
      <w:pPr>
        <w:snapToGrid w:val="0"/>
        <w:spacing w:line="360" w:lineRule="auto"/>
        <w:jc w:val="center"/>
        <w:outlineLvl w:val="1"/>
        <w:rPr>
          <w:rFonts w:ascii="黑体" w:hAnsi="黑体" w:eastAsia="黑体" w:cs="黑体"/>
          <w:color w:val="auto"/>
          <w:sz w:val="36"/>
          <w:szCs w:val="36"/>
          <w:highlight w:val="none"/>
        </w:rPr>
      </w:pPr>
      <w:bookmarkStart w:id="191" w:name="_Toc6776"/>
      <w:bookmarkStart w:id="192" w:name="_Toc16593"/>
      <w:bookmarkStart w:id="193" w:name="_Toc12118"/>
      <w:bookmarkStart w:id="194" w:name="_Toc30069"/>
      <w:bookmarkStart w:id="195" w:name="_Toc3398"/>
      <w:bookmarkStart w:id="196" w:name="_Toc5975"/>
      <w:bookmarkStart w:id="197" w:name="_Toc21187"/>
      <w:bookmarkStart w:id="198" w:name="_Toc12372"/>
      <w:bookmarkStart w:id="199" w:name="_Toc576"/>
      <w:bookmarkStart w:id="200" w:name="_Toc6859"/>
      <w:bookmarkStart w:id="201" w:name="_Toc23930"/>
      <w:bookmarkStart w:id="202" w:name="_Toc29113"/>
      <w:bookmarkStart w:id="203" w:name="_Toc20885"/>
      <w:bookmarkStart w:id="204" w:name="_Toc31451"/>
      <w:bookmarkStart w:id="205" w:name="_Toc19658"/>
      <w:r>
        <w:rPr>
          <w:rFonts w:hint="eastAsia" w:ascii="黑体" w:hAnsi="黑体" w:eastAsia="黑体" w:cs="黑体"/>
          <w:color w:val="auto"/>
          <w:sz w:val="36"/>
          <w:szCs w:val="36"/>
          <w:highlight w:val="none"/>
        </w:rPr>
        <w:t>二、授权委托书</w:t>
      </w:r>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p>
    <w:p w14:paraId="39112A56">
      <w:pPr>
        <w:snapToGrid w:val="0"/>
        <w:spacing w:line="360" w:lineRule="auto"/>
        <w:ind w:firstLine="480" w:firstLineChars="200"/>
        <w:rPr>
          <w:rFonts w:ascii="宋体" w:hAnsi="宋体" w:cs="仿宋_GB2312"/>
          <w:color w:val="auto"/>
          <w:sz w:val="24"/>
          <w:highlight w:val="none"/>
        </w:rPr>
      </w:pPr>
    </w:p>
    <w:p w14:paraId="44E3268E">
      <w:pPr>
        <w:pStyle w:val="34"/>
        <w:jc w:val="center"/>
        <w:rPr>
          <w:rFonts w:ascii="宋体" w:hAnsi="宋体" w:cs="仿宋_GB2312"/>
          <w:color w:val="auto"/>
          <w:highlight w:val="none"/>
        </w:rPr>
      </w:pPr>
      <w:r>
        <w:rPr>
          <w:rFonts w:hint="eastAsia" w:ascii="宋体" w:hAnsi="宋体"/>
          <w:b/>
          <w:color w:val="auto"/>
          <w:sz w:val="28"/>
          <w:szCs w:val="28"/>
          <w:highlight w:val="none"/>
        </w:rPr>
        <w:t>授权委托书</w:t>
      </w:r>
    </w:p>
    <w:p w14:paraId="0614598F">
      <w:pPr>
        <w:pStyle w:val="10"/>
        <w:rPr>
          <w:color w:val="auto"/>
          <w:highlight w:val="none"/>
        </w:rPr>
      </w:pPr>
    </w:p>
    <w:p w14:paraId="1EA0AFCF">
      <w:pPr>
        <w:spacing w:line="400" w:lineRule="exact"/>
        <w:ind w:firstLine="480" w:firstLineChars="200"/>
        <w:rPr>
          <w:rFonts w:ascii="宋体" w:hAnsi="宋体"/>
          <w:color w:val="auto"/>
          <w:sz w:val="24"/>
          <w:highlight w:val="none"/>
        </w:rPr>
      </w:pPr>
      <w:r>
        <w:rPr>
          <w:rFonts w:hint="eastAsia" w:ascii="宋体" w:hAnsi="宋体"/>
          <w:color w:val="auto"/>
          <w:sz w:val="24"/>
          <w:highlight w:val="none"/>
        </w:rPr>
        <w:t>本人</w:t>
      </w:r>
      <w:r>
        <w:rPr>
          <w:rFonts w:hint="eastAsia" w:ascii="宋体" w:hAnsi="宋体"/>
          <w:color w:val="auto"/>
          <w:sz w:val="24"/>
          <w:highlight w:val="none"/>
          <w:u w:val="single"/>
        </w:rPr>
        <w:t xml:space="preserve">           </w:t>
      </w:r>
      <w:r>
        <w:rPr>
          <w:rFonts w:ascii="宋体" w:hAnsi="宋体"/>
          <w:color w:val="auto"/>
          <w:sz w:val="24"/>
          <w:highlight w:val="none"/>
        </w:rPr>
        <w:t>(姓名)系</w:t>
      </w:r>
      <w:r>
        <w:rPr>
          <w:rFonts w:hint="eastAsia" w:ascii="宋体" w:hAnsi="宋体"/>
          <w:color w:val="auto"/>
          <w:sz w:val="24"/>
          <w:highlight w:val="none"/>
          <w:u w:val="single"/>
        </w:rPr>
        <w:t xml:space="preserve">           </w:t>
      </w:r>
      <w:r>
        <w:rPr>
          <w:rFonts w:ascii="宋体" w:hAnsi="宋体"/>
          <w:color w:val="auto"/>
          <w:sz w:val="24"/>
          <w:highlight w:val="none"/>
        </w:rPr>
        <w:t>(</w:t>
      </w:r>
      <w:r>
        <w:rPr>
          <w:rFonts w:hint="eastAsia" w:ascii="宋体" w:hAnsi="宋体"/>
          <w:color w:val="auto"/>
          <w:sz w:val="24"/>
          <w:highlight w:val="none"/>
        </w:rPr>
        <w:t>供应商</w:t>
      </w:r>
      <w:r>
        <w:rPr>
          <w:rFonts w:ascii="宋体" w:hAnsi="宋体"/>
          <w:color w:val="auto"/>
          <w:sz w:val="24"/>
          <w:highlight w:val="none"/>
        </w:rPr>
        <w:t>名称)的法定代表人，</w:t>
      </w:r>
      <w:r>
        <w:rPr>
          <w:rFonts w:hint="eastAsia" w:ascii="宋体" w:hAnsi="宋体"/>
          <w:color w:val="auto"/>
          <w:sz w:val="24"/>
          <w:highlight w:val="none"/>
        </w:rPr>
        <w:t>现委托</w:t>
      </w:r>
      <w:r>
        <w:rPr>
          <w:rFonts w:hint="eastAsia" w:ascii="宋体" w:hAnsi="宋体"/>
          <w:color w:val="auto"/>
          <w:sz w:val="24"/>
          <w:highlight w:val="none"/>
          <w:u w:val="single"/>
        </w:rPr>
        <w:t xml:space="preserve">     </w:t>
      </w:r>
      <w:r>
        <w:rPr>
          <w:rFonts w:ascii="宋体" w:hAnsi="宋体"/>
          <w:color w:val="auto"/>
          <w:sz w:val="24"/>
          <w:highlight w:val="none"/>
        </w:rPr>
        <w:t xml:space="preserve"> (姓名)</w:t>
      </w:r>
      <w:r>
        <w:rPr>
          <w:rFonts w:hint="eastAsia" w:ascii="宋体" w:hAnsi="宋体"/>
          <w:color w:val="auto"/>
          <w:sz w:val="24"/>
          <w:highlight w:val="none"/>
        </w:rPr>
        <w:t>为我方代理人。代理人根据授权，以我方名义签署、澄清确认、递交、撤回、修改</w:t>
      </w:r>
      <w:r>
        <w:rPr>
          <w:rFonts w:hint="eastAsia" w:ascii="宋体" w:hAnsi="宋体"/>
          <w:color w:val="auto"/>
          <w:sz w:val="24"/>
          <w:highlight w:val="none"/>
          <w:u w:val="single"/>
          <w:lang w:eastAsia="zh-CN"/>
        </w:rPr>
        <w:t>红水河（桥巩至宾港作业区）航道提升工程水生生态环境现状调查与评价服务</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u w:val="single"/>
        </w:rPr>
        <w:t>（项目名称）</w:t>
      </w:r>
      <w:r>
        <w:rPr>
          <w:rFonts w:hint="eastAsia" w:ascii="宋体" w:hAnsi="宋体"/>
          <w:color w:val="auto"/>
          <w:sz w:val="24"/>
          <w:highlight w:val="none"/>
        </w:rPr>
        <w:t>响应文件和处理有关事宜，其法律后果由我方承担。</w:t>
      </w:r>
    </w:p>
    <w:p w14:paraId="4CA59201">
      <w:pPr>
        <w:spacing w:line="400" w:lineRule="exact"/>
        <w:ind w:firstLine="480"/>
        <w:rPr>
          <w:rFonts w:ascii="宋体" w:hAnsi="宋体"/>
          <w:color w:val="auto"/>
          <w:sz w:val="24"/>
          <w:highlight w:val="none"/>
        </w:rPr>
      </w:pPr>
      <w:r>
        <w:rPr>
          <w:rFonts w:hint="eastAsia" w:ascii="宋体" w:hAnsi="宋体"/>
          <w:color w:val="auto"/>
          <w:sz w:val="24"/>
          <w:highlight w:val="none"/>
        </w:rPr>
        <w:t>委托</w:t>
      </w:r>
      <w:r>
        <w:rPr>
          <w:rFonts w:ascii="宋体" w:hAnsi="宋体"/>
          <w:color w:val="auto"/>
          <w:sz w:val="24"/>
          <w:highlight w:val="none"/>
        </w:rPr>
        <w:t>期限</w:t>
      </w:r>
      <w:r>
        <w:rPr>
          <w:rFonts w:hint="eastAsia" w:ascii="宋体" w:hAnsi="宋体"/>
          <w:color w:val="auto"/>
          <w:sz w:val="24"/>
          <w:highlight w:val="none"/>
        </w:rPr>
        <w:t>：</w:t>
      </w:r>
      <w:r>
        <w:rPr>
          <w:rFonts w:ascii="宋体" w:hAnsi="宋体"/>
          <w:color w:val="auto"/>
          <w:sz w:val="24"/>
          <w:highlight w:val="none"/>
        </w:rPr>
        <w:t>自</w:t>
      </w:r>
      <w:r>
        <w:rPr>
          <w:rFonts w:hint="eastAsia" w:ascii="宋体" w:hAnsi="宋体"/>
          <w:color w:val="auto"/>
          <w:sz w:val="24"/>
          <w:highlight w:val="none"/>
          <w:u w:val="single"/>
        </w:rPr>
        <w:t xml:space="preserve">    </w:t>
      </w:r>
      <w:r>
        <w:rPr>
          <w:rFonts w:ascii="宋体" w:hAnsi="宋体"/>
          <w:color w:val="auto"/>
          <w:sz w:val="24"/>
          <w:highlight w:val="none"/>
        </w:rPr>
        <w:t>年</w:t>
      </w:r>
      <w:r>
        <w:rPr>
          <w:rFonts w:hint="eastAsia" w:ascii="宋体" w:hAnsi="宋体"/>
          <w:color w:val="auto"/>
          <w:sz w:val="24"/>
          <w:highlight w:val="none"/>
          <w:u w:val="single"/>
        </w:rPr>
        <w:t xml:space="preserve">    </w:t>
      </w:r>
      <w:r>
        <w:rPr>
          <w:rFonts w:ascii="宋体" w:hAnsi="宋体"/>
          <w:color w:val="auto"/>
          <w:sz w:val="24"/>
          <w:highlight w:val="none"/>
        </w:rPr>
        <w:t>月</w:t>
      </w:r>
      <w:r>
        <w:rPr>
          <w:rFonts w:hint="eastAsia" w:ascii="宋体" w:hAnsi="宋体"/>
          <w:color w:val="auto"/>
          <w:sz w:val="24"/>
          <w:highlight w:val="none"/>
          <w:u w:val="single"/>
        </w:rPr>
        <w:t xml:space="preserve">    </w:t>
      </w:r>
      <w:r>
        <w:rPr>
          <w:rFonts w:ascii="宋体" w:hAnsi="宋体"/>
          <w:color w:val="auto"/>
          <w:sz w:val="24"/>
          <w:highlight w:val="none"/>
        </w:rPr>
        <w:t>日起至</w:t>
      </w:r>
      <w:r>
        <w:rPr>
          <w:rFonts w:hint="eastAsia" w:ascii="宋体" w:hAnsi="宋体"/>
          <w:color w:val="auto"/>
          <w:sz w:val="24"/>
          <w:highlight w:val="none"/>
          <w:u w:val="single"/>
        </w:rPr>
        <w:t xml:space="preserve">    </w:t>
      </w:r>
      <w:r>
        <w:rPr>
          <w:rFonts w:ascii="宋体" w:hAnsi="宋体"/>
          <w:color w:val="auto"/>
          <w:sz w:val="24"/>
          <w:highlight w:val="none"/>
        </w:rPr>
        <w:t>年</w:t>
      </w:r>
      <w:r>
        <w:rPr>
          <w:rFonts w:hint="eastAsia" w:ascii="宋体" w:hAnsi="宋体"/>
          <w:color w:val="auto"/>
          <w:sz w:val="24"/>
          <w:highlight w:val="none"/>
          <w:u w:val="single"/>
        </w:rPr>
        <w:t xml:space="preserve">    </w:t>
      </w:r>
      <w:r>
        <w:rPr>
          <w:rFonts w:ascii="宋体" w:hAnsi="宋体"/>
          <w:color w:val="auto"/>
          <w:sz w:val="24"/>
          <w:highlight w:val="none"/>
        </w:rPr>
        <w:t>月</w:t>
      </w:r>
      <w:r>
        <w:rPr>
          <w:rFonts w:hint="eastAsia" w:ascii="宋体" w:hAnsi="宋体"/>
          <w:color w:val="auto"/>
          <w:sz w:val="24"/>
          <w:highlight w:val="none"/>
          <w:u w:val="single"/>
        </w:rPr>
        <w:t xml:space="preserve">    </w:t>
      </w:r>
      <w:r>
        <w:rPr>
          <w:rFonts w:ascii="宋体" w:hAnsi="宋体"/>
          <w:color w:val="auto"/>
          <w:sz w:val="24"/>
          <w:highlight w:val="none"/>
        </w:rPr>
        <w:t>日止。</w:t>
      </w:r>
    </w:p>
    <w:p w14:paraId="1E991BBE">
      <w:pPr>
        <w:spacing w:line="400" w:lineRule="exact"/>
        <w:ind w:firstLine="480"/>
        <w:rPr>
          <w:rFonts w:ascii="宋体" w:hAnsi="宋体"/>
          <w:color w:val="auto"/>
          <w:sz w:val="24"/>
          <w:highlight w:val="none"/>
        </w:rPr>
      </w:pPr>
      <w:r>
        <w:rPr>
          <w:rFonts w:hint="eastAsia" w:ascii="宋体" w:hAnsi="宋体"/>
          <w:color w:val="auto"/>
          <w:sz w:val="24"/>
          <w:highlight w:val="none"/>
        </w:rPr>
        <w:t>代理人无转委托权。</w:t>
      </w:r>
    </w:p>
    <w:p w14:paraId="4AE7422B">
      <w:pPr>
        <w:spacing w:line="400" w:lineRule="exact"/>
        <w:rPr>
          <w:rFonts w:ascii="宋体" w:hAnsi="宋体"/>
          <w:color w:val="auto"/>
          <w:sz w:val="24"/>
          <w:highlight w:val="none"/>
        </w:rPr>
      </w:pPr>
    </w:p>
    <w:p w14:paraId="1454E02C">
      <w:pPr>
        <w:spacing w:line="400" w:lineRule="exact"/>
        <w:ind w:firstLine="600" w:firstLineChars="250"/>
        <w:rPr>
          <w:rFonts w:ascii="宋体" w:hAnsi="宋体"/>
          <w:color w:val="auto"/>
          <w:sz w:val="24"/>
          <w:highlight w:val="none"/>
        </w:rPr>
      </w:pPr>
      <w:r>
        <w:rPr>
          <w:rFonts w:hint="eastAsia" w:ascii="宋体" w:hAnsi="宋体"/>
          <w:color w:val="auto"/>
          <w:sz w:val="24"/>
          <w:highlight w:val="none"/>
        </w:rPr>
        <w:t>附：</w:t>
      </w:r>
      <w:r>
        <w:rPr>
          <w:rFonts w:hint="eastAsia" w:ascii="宋体" w:hAnsi="宋体" w:cs="仿宋_GB2312"/>
          <w:color w:val="auto"/>
          <w:sz w:val="24"/>
          <w:highlight w:val="none"/>
        </w:rPr>
        <w:t>法定代表人身份证复印件及</w:t>
      </w:r>
      <w:r>
        <w:rPr>
          <w:rFonts w:hint="eastAsia" w:ascii="宋体" w:hAnsi="宋体"/>
          <w:snapToGrid w:val="0"/>
          <w:color w:val="auto"/>
          <w:kern w:val="0"/>
          <w:sz w:val="24"/>
          <w:highlight w:val="none"/>
        </w:rPr>
        <w:t>委托代理人身份证复印件</w:t>
      </w:r>
    </w:p>
    <w:p w14:paraId="4C0C0F2A">
      <w:pPr>
        <w:spacing w:line="400" w:lineRule="exact"/>
        <w:ind w:firstLine="480"/>
        <w:rPr>
          <w:rFonts w:ascii="宋体" w:hAnsi="宋体"/>
          <w:color w:val="auto"/>
          <w:sz w:val="24"/>
          <w:highlight w:val="none"/>
        </w:rPr>
      </w:pPr>
    </w:p>
    <w:p w14:paraId="2442AB76">
      <w:pPr>
        <w:spacing w:line="400" w:lineRule="exact"/>
        <w:rPr>
          <w:rFonts w:ascii="宋体" w:hAnsi="宋体"/>
          <w:color w:val="auto"/>
          <w:sz w:val="24"/>
          <w:highlight w:val="none"/>
        </w:rPr>
      </w:pPr>
    </w:p>
    <w:p w14:paraId="3557799A">
      <w:pPr>
        <w:pStyle w:val="34"/>
        <w:rPr>
          <w:color w:val="auto"/>
          <w:highlight w:val="none"/>
        </w:rPr>
      </w:pPr>
    </w:p>
    <w:p w14:paraId="4596C845">
      <w:pPr>
        <w:spacing w:line="400" w:lineRule="exact"/>
        <w:rPr>
          <w:rFonts w:ascii="宋体" w:hAnsi="宋体"/>
          <w:color w:val="auto"/>
          <w:sz w:val="24"/>
          <w:highlight w:val="none"/>
        </w:rPr>
      </w:pPr>
    </w:p>
    <w:p w14:paraId="4618D973">
      <w:pPr>
        <w:spacing w:line="720" w:lineRule="auto"/>
        <w:ind w:firstLine="3480" w:firstLineChars="1450"/>
        <w:rPr>
          <w:rFonts w:ascii="宋体" w:hAnsi="宋体"/>
          <w:color w:val="auto"/>
          <w:sz w:val="24"/>
          <w:highlight w:val="none"/>
        </w:rPr>
      </w:pPr>
      <w:r>
        <w:rPr>
          <w:rFonts w:hint="eastAsia" w:ascii="宋体" w:hAnsi="宋体"/>
          <w:color w:val="auto"/>
          <w:sz w:val="24"/>
          <w:highlight w:val="none"/>
        </w:rPr>
        <w:t>供应商：</w:t>
      </w:r>
      <w:r>
        <w:rPr>
          <w:rFonts w:hint="eastAsia" w:ascii="宋体" w:hAnsi="宋体"/>
          <w:color w:val="auto"/>
          <w:sz w:val="24"/>
          <w:highlight w:val="none"/>
          <w:u w:val="single"/>
        </w:rPr>
        <w:t xml:space="preserve">                     </w:t>
      </w:r>
      <w:r>
        <w:rPr>
          <w:rFonts w:hint="eastAsia" w:ascii="宋体" w:hAnsi="宋体"/>
          <w:color w:val="auto"/>
          <w:sz w:val="24"/>
          <w:highlight w:val="none"/>
        </w:rPr>
        <w:t>（</w:t>
      </w:r>
      <w:r>
        <w:rPr>
          <w:rFonts w:hint="eastAsia"/>
          <w:color w:val="auto"/>
          <w:sz w:val="24"/>
          <w:highlight w:val="none"/>
        </w:rPr>
        <w:t>盖单位公章</w:t>
      </w:r>
      <w:r>
        <w:rPr>
          <w:rFonts w:hint="eastAsia" w:ascii="宋体" w:hAnsi="宋体"/>
          <w:color w:val="auto"/>
          <w:sz w:val="24"/>
          <w:highlight w:val="none"/>
        </w:rPr>
        <w:t>）</w:t>
      </w:r>
    </w:p>
    <w:p w14:paraId="28A66C90">
      <w:pPr>
        <w:spacing w:line="720" w:lineRule="auto"/>
        <w:ind w:firstLine="3480" w:firstLineChars="1450"/>
        <w:rPr>
          <w:rFonts w:ascii="宋体" w:hAnsi="宋体"/>
          <w:color w:val="auto"/>
          <w:sz w:val="24"/>
          <w:highlight w:val="none"/>
        </w:rPr>
      </w:pPr>
      <w:r>
        <w:rPr>
          <w:rFonts w:hint="eastAsia" w:ascii="宋体" w:hAnsi="宋体"/>
          <w:color w:val="auto"/>
          <w:sz w:val="24"/>
          <w:highlight w:val="none"/>
        </w:rPr>
        <w:t>法定代表人：</w:t>
      </w:r>
      <w:r>
        <w:rPr>
          <w:rFonts w:hint="eastAsia" w:ascii="宋体" w:hAnsi="宋体"/>
          <w:color w:val="auto"/>
          <w:sz w:val="24"/>
          <w:highlight w:val="none"/>
          <w:u w:val="single"/>
        </w:rPr>
        <w:t xml:space="preserve">                 </w:t>
      </w:r>
      <w:r>
        <w:rPr>
          <w:rFonts w:hint="eastAsia" w:ascii="宋体" w:hAnsi="宋体"/>
          <w:color w:val="auto"/>
          <w:sz w:val="24"/>
          <w:highlight w:val="none"/>
        </w:rPr>
        <w:t>（签字或盖章）</w:t>
      </w:r>
    </w:p>
    <w:p w14:paraId="3A9DDB5F">
      <w:pPr>
        <w:spacing w:line="720" w:lineRule="auto"/>
        <w:ind w:firstLine="3480" w:firstLineChars="1450"/>
        <w:rPr>
          <w:rFonts w:ascii="宋体" w:hAnsi="宋体"/>
          <w:color w:val="auto"/>
          <w:sz w:val="24"/>
          <w:highlight w:val="none"/>
        </w:rPr>
      </w:pPr>
      <w:r>
        <w:rPr>
          <w:rFonts w:hint="eastAsia" w:ascii="宋体" w:hAnsi="宋体"/>
          <w:color w:val="auto"/>
          <w:sz w:val="24"/>
          <w:highlight w:val="none"/>
        </w:rPr>
        <w:t>身份证号码：</w:t>
      </w:r>
      <w:r>
        <w:rPr>
          <w:rFonts w:hint="eastAsia" w:ascii="宋体" w:hAnsi="宋体"/>
          <w:color w:val="auto"/>
          <w:sz w:val="24"/>
          <w:highlight w:val="none"/>
          <w:u w:val="single"/>
        </w:rPr>
        <w:t xml:space="preserve">                            </w:t>
      </w:r>
    </w:p>
    <w:p w14:paraId="163A1638">
      <w:pPr>
        <w:spacing w:line="720" w:lineRule="auto"/>
        <w:ind w:firstLine="3480" w:firstLineChars="1450"/>
        <w:rPr>
          <w:rFonts w:ascii="宋体" w:hAnsi="宋体"/>
          <w:color w:val="auto"/>
          <w:sz w:val="24"/>
          <w:highlight w:val="none"/>
        </w:rPr>
      </w:pPr>
      <w:r>
        <w:rPr>
          <w:rFonts w:hint="eastAsia" w:ascii="宋体" w:hAnsi="宋体"/>
          <w:color w:val="auto"/>
          <w:sz w:val="24"/>
          <w:highlight w:val="none"/>
        </w:rPr>
        <w:t>委托代理人：</w:t>
      </w:r>
      <w:r>
        <w:rPr>
          <w:rFonts w:hint="eastAsia" w:ascii="宋体" w:hAnsi="宋体"/>
          <w:color w:val="auto"/>
          <w:sz w:val="24"/>
          <w:highlight w:val="none"/>
          <w:u w:val="single"/>
        </w:rPr>
        <w:t xml:space="preserve">                       </w:t>
      </w:r>
      <w:r>
        <w:rPr>
          <w:rFonts w:hint="eastAsia" w:ascii="宋体" w:hAnsi="宋体"/>
          <w:color w:val="auto"/>
          <w:sz w:val="24"/>
          <w:highlight w:val="none"/>
        </w:rPr>
        <w:t>（签字）</w:t>
      </w:r>
    </w:p>
    <w:p w14:paraId="62973767">
      <w:pPr>
        <w:spacing w:line="720" w:lineRule="auto"/>
        <w:ind w:firstLine="3480" w:firstLineChars="1450"/>
        <w:rPr>
          <w:rFonts w:ascii="宋体" w:hAnsi="宋体"/>
          <w:color w:val="auto"/>
          <w:sz w:val="24"/>
          <w:highlight w:val="none"/>
        </w:rPr>
      </w:pPr>
      <w:r>
        <w:rPr>
          <w:rFonts w:hint="eastAsia" w:ascii="宋体" w:hAnsi="宋体"/>
          <w:color w:val="auto"/>
          <w:sz w:val="24"/>
          <w:highlight w:val="none"/>
        </w:rPr>
        <w:t>身份证号码：</w:t>
      </w:r>
      <w:r>
        <w:rPr>
          <w:rFonts w:hint="eastAsia" w:ascii="宋体" w:hAnsi="宋体"/>
          <w:color w:val="auto"/>
          <w:sz w:val="24"/>
          <w:highlight w:val="none"/>
          <w:u w:val="single"/>
        </w:rPr>
        <w:t xml:space="preserve">                             </w:t>
      </w:r>
    </w:p>
    <w:p w14:paraId="5F70659E">
      <w:pPr>
        <w:spacing w:line="720" w:lineRule="auto"/>
        <w:ind w:firstLine="5040" w:firstLineChars="2100"/>
        <w:rPr>
          <w:rFonts w:ascii="宋体" w:hAnsi="宋体"/>
          <w:color w:val="auto"/>
          <w:sz w:val="24"/>
          <w:highlight w:val="none"/>
        </w:rPr>
      </w:pPr>
      <w:r>
        <w:rPr>
          <w:rFonts w:hint="eastAsia"/>
          <w:color w:val="auto"/>
          <w:sz w:val="24"/>
          <w:highlight w:val="none"/>
          <w:u w:val="single"/>
        </w:rPr>
        <w:t xml:space="preserve">      </w:t>
      </w:r>
      <w:r>
        <w:rPr>
          <w:rFonts w:hint="eastAsia"/>
          <w:color w:val="auto"/>
          <w:sz w:val="24"/>
          <w:highlight w:val="none"/>
        </w:rPr>
        <w:t>年</w:t>
      </w:r>
      <w:r>
        <w:rPr>
          <w:rFonts w:hint="eastAsia"/>
          <w:color w:val="auto"/>
          <w:sz w:val="24"/>
          <w:highlight w:val="none"/>
          <w:u w:val="single"/>
        </w:rPr>
        <w:t xml:space="preserve">    </w:t>
      </w:r>
      <w:r>
        <w:rPr>
          <w:rFonts w:hint="eastAsia"/>
          <w:color w:val="auto"/>
          <w:sz w:val="24"/>
          <w:highlight w:val="none"/>
        </w:rPr>
        <w:t>月</w:t>
      </w:r>
      <w:r>
        <w:rPr>
          <w:rFonts w:hint="eastAsia"/>
          <w:color w:val="auto"/>
          <w:sz w:val="24"/>
          <w:highlight w:val="none"/>
          <w:u w:val="single"/>
        </w:rPr>
        <w:t xml:space="preserve">    </w:t>
      </w:r>
      <w:r>
        <w:rPr>
          <w:rFonts w:hint="eastAsia"/>
          <w:color w:val="auto"/>
          <w:sz w:val="24"/>
          <w:highlight w:val="none"/>
        </w:rPr>
        <w:t>日</w:t>
      </w:r>
    </w:p>
    <w:p w14:paraId="793BE9C2">
      <w:pPr>
        <w:rPr>
          <w:bCs/>
          <w:color w:val="auto"/>
          <w:highlight w:val="none"/>
        </w:rPr>
      </w:pPr>
      <w:r>
        <w:rPr>
          <w:bCs/>
          <w:color w:val="auto"/>
          <w:highlight w:val="none"/>
        </w:rPr>
        <w:br w:type="page"/>
      </w:r>
    </w:p>
    <w:p w14:paraId="021185B5">
      <w:pPr>
        <w:snapToGrid w:val="0"/>
        <w:spacing w:line="360" w:lineRule="auto"/>
        <w:jc w:val="center"/>
        <w:outlineLvl w:val="1"/>
        <w:rPr>
          <w:rFonts w:ascii="宋体" w:hAnsi="宋体" w:cs="黑体"/>
          <w:sz w:val="36"/>
          <w:szCs w:val="36"/>
        </w:rPr>
      </w:pPr>
      <w:bookmarkStart w:id="206" w:name="_Toc28977"/>
      <w:bookmarkStart w:id="207" w:name="_Toc28563"/>
      <w:r>
        <w:rPr>
          <w:rFonts w:hint="eastAsia" w:ascii="黑体" w:hAnsi="黑体" w:eastAsia="黑体" w:cs="黑体"/>
          <w:color w:val="FF0000"/>
          <w:sz w:val="36"/>
          <w:szCs w:val="36"/>
        </w:rPr>
        <w:t>三、</w:t>
      </w:r>
      <w:r>
        <w:rPr>
          <w:rFonts w:ascii="黑体" w:hAnsi="黑体" w:eastAsia="黑体" w:cs="黑体"/>
          <w:color w:val="FF0000"/>
          <w:sz w:val="36"/>
          <w:szCs w:val="36"/>
        </w:rPr>
        <w:t>联合体协议书</w:t>
      </w:r>
      <w:r>
        <w:rPr>
          <w:rFonts w:hint="eastAsia" w:ascii="黑体" w:hAnsi="黑体" w:eastAsia="黑体" w:cs="黑体"/>
          <w:color w:val="FF0000"/>
          <w:sz w:val="36"/>
          <w:szCs w:val="36"/>
        </w:rPr>
        <w:t>（</w:t>
      </w:r>
      <w:r>
        <w:rPr>
          <w:rFonts w:hint="eastAsia" w:ascii="黑体" w:hAnsi="黑体" w:eastAsia="黑体" w:cs="黑体"/>
          <w:color w:val="FF0000"/>
          <w:sz w:val="36"/>
          <w:szCs w:val="36"/>
          <w:lang w:eastAsia="zh-CN"/>
        </w:rPr>
        <w:t>如有</w:t>
      </w:r>
      <w:r>
        <w:rPr>
          <w:rFonts w:hint="eastAsia" w:ascii="黑体" w:hAnsi="黑体" w:eastAsia="黑体" w:cs="黑体"/>
          <w:color w:val="FF0000"/>
          <w:sz w:val="36"/>
          <w:szCs w:val="36"/>
        </w:rPr>
        <w:t>）</w:t>
      </w:r>
      <w:bookmarkEnd w:id="206"/>
      <w:bookmarkEnd w:id="207"/>
    </w:p>
    <w:p w14:paraId="7CA58DA7">
      <w:pPr>
        <w:pStyle w:val="34"/>
        <w:jc w:val="center"/>
        <w:rPr>
          <w:rFonts w:ascii="宋体" w:hAnsi="宋体"/>
          <w:b/>
          <w:sz w:val="28"/>
          <w:szCs w:val="28"/>
        </w:rPr>
      </w:pPr>
      <w:r>
        <w:rPr>
          <w:rFonts w:hint="eastAsia" w:ascii="宋体" w:hAnsi="宋体"/>
          <w:b/>
          <w:sz w:val="28"/>
          <w:szCs w:val="28"/>
        </w:rPr>
        <w:t>联合体协议书</w:t>
      </w:r>
      <w:r>
        <w:rPr>
          <w:rFonts w:ascii="宋体" w:hAnsi="宋体"/>
          <w:b/>
          <w:sz w:val="28"/>
          <w:szCs w:val="28"/>
        </w:rPr>
        <w:t xml:space="preserve"> </w:t>
      </w:r>
    </w:p>
    <w:p w14:paraId="2BB601B7">
      <w:pPr>
        <w:pStyle w:val="10"/>
        <w:rPr>
          <w:rFonts w:hint="eastAsia"/>
        </w:rPr>
      </w:pPr>
    </w:p>
    <w:p w14:paraId="0D9CEFB4">
      <w:pPr>
        <w:overflowPunct w:val="0"/>
        <w:spacing w:line="360" w:lineRule="auto"/>
        <w:ind w:firstLine="480" w:firstLineChars="200"/>
        <w:contextualSpacing/>
        <w:rPr>
          <w:rFonts w:ascii="宋体" w:hAnsi="宋体"/>
          <w:sz w:val="24"/>
        </w:rPr>
      </w:pPr>
      <w:r>
        <w:rPr>
          <w:rFonts w:ascii="宋体" w:hAnsi="宋体"/>
          <w:sz w:val="24"/>
          <w:u w:val="single"/>
        </w:rPr>
        <w:t xml:space="preserve">      </w:t>
      </w:r>
      <w:r>
        <w:rPr>
          <w:rFonts w:ascii="宋体" w:hAnsi="宋体"/>
          <w:sz w:val="24"/>
        </w:rPr>
        <w:t>（所有成员单位名称）自愿组成</w:t>
      </w:r>
      <w:r>
        <w:rPr>
          <w:rFonts w:ascii="宋体" w:hAnsi="宋体"/>
          <w:sz w:val="24"/>
          <w:u w:val="single"/>
        </w:rPr>
        <w:t xml:space="preserve">      </w:t>
      </w:r>
      <w:r>
        <w:rPr>
          <w:rFonts w:ascii="宋体" w:hAnsi="宋体"/>
          <w:sz w:val="24"/>
        </w:rPr>
        <w:t>（联合体名称）联合体，共同参加</w:t>
      </w:r>
      <w:r>
        <w:rPr>
          <w:rFonts w:ascii="宋体" w:hAnsi="宋体"/>
          <w:sz w:val="24"/>
          <w:u w:val="single"/>
        </w:rPr>
        <w:t xml:space="preserve">      </w:t>
      </w:r>
      <w:r>
        <w:rPr>
          <w:rFonts w:ascii="宋体" w:hAnsi="宋体"/>
          <w:sz w:val="24"/>
        </w:rPr>
        <w:t>（项目名称）采购项目</w:t>
      </w:r>
      <w:r>
        <w:rPr>
          <w:rFonts w:hint="eastAsia" w:ascii="宋体" w:hAnsi="宋体"/>
          <w:sz w:val="24"/>
        </w:rPr>
        <w:t>投标</w:t>
      </w:r>
      <w:r>
        <w:rPr>
          <w:rFonts w:ascii="宋体" w:hAnsi="宋体"/>
          <w:sz w:val="24"/>
        </w:rPr>
        <w:t>。现就联合体参与</w:t>
      </w:r>
      <w:r>
        <w:rPr>
          <w:rFonts w:hint="eastAsia" w:ascii="宋体" w:hAnsi="宋体"/>
          <w:sz w:val="24"/>
        </w:rPr>
        <w:t>投标</w:t>
      </w:r>
      <w:r>
        <w:rPr>
          <w:rFonts w:ascii="宋体" w:hAnsi="宋体"/>
          <w:sz w:val="24"/>
        </w:rPr>
        <w:t>事宜订立如下协议。</w:t>
      </w:r>
    </w:p>
    <w:p w14:paraId="72271E42">
      <w:pPr>
        <w:overflowPunct w:val="0"/>
        <w:spacing w:line="360" w:lineRule="auto"/>
        <w:ind w:firstLine="480" w:firstLineChars="200"/>
        <w:contextualSpacing/>
        <w:rPr>
          <w:rFonts w:ascii="宋体" w:hAnsi="宋体"/>
          <w:sz w:val="24"/>
        </w:rPr>
      </w:pPr>
      <w:r>
        <w:rPr>
          <w:rFonts w:ascii="宋体" w:hAnsi="宋体"/>
          <w:sz w:val="24"/>
        </w:rPr>
        <w:t>1.</w:t>
      </w:r>
      <w:r>
        <w:rPr>
          <w:rFonts w:ascii="宋体" w:hAnsi="宋体"/>
          <w:sz w:val="24"/>
          <w:u w:val="single"/>
        </w:rPr>
        <w:t xml:space="preserve"> </w:t>
      </w:r>
      <w:r>
        <w:rPr>
          <w:rFonts w:ascii="宋体" w:hAnsi="宋体"/>
          <w:sz w:val="24"/>
          <w:u w:val="single"/>
        </w:rPr>
        <w:tab/>
      </w:r>
      <w:r>
        <w:rPr>
          <w:rFonts w:ascii="宋体" w:hAnsi="宋体"/>
          <w:sz w:val="24"/>
          <w:u w:val="single"/>
        </w:rPr>
        <w:t xml:space="preserve">   </w:t>
      </w:r>
      <w:r>
        <w:rPr>
          <w:rFonts w:ascii="宋体" w:hAnsi="宋体"/>
          <w:sz w:val="24"/>
        </w:rPr>
        <w:t>（某成员单位名称）为</w:t>
      </w:r>
      <w:r>
        <w:rPr>
          <w:rFonts w:ascii="宋体" w:hAnsi="宋体"/>
          <w:sz w:val="24"/>
          <w:u w:val="single"/>
        </w:rPr>
        <w:t xml:space="preserve">     </w:t>
      </w:r>
      <w:r>
        <w:rPr>
          <w:rFonts w:ascii="宋体" w:hAnsi="宋体"/>
          <w:sz w:val="24"/>
        </w:rPr>
        <w:t>（联合体名称）牵头人。</w:t>
      </w:r>
    </w:p>
    <w:p w14:paraId="738C6F3E">
      <w:pPr>
        <w:overflowPunct w:val="0"/>
        <w:spacing w:line="360" w:lineRule="auto"/>
        <w:ind w:firstLine="480" w:firstLineChars="200"/>
        <w:contextualSpacing/>
        <w:rPr>
          <w:rFonts w:ascii="宋体" w:hAnsi="宋体"/>
          <w:sz w:val="24"/>
        </w:rPr>
      </w:pPr>
      <w:r>
        <w:rPr>
          <w:rFonts w:ascii="宋体" w:hAnsi="宋体"/>
          <w:sz w:val="24"/>
        </w:rPr>
        <w:t>2.联合体各成员授权牵头人代表联合体参加</w:t>
      </w:r>
      <w:r>
        <w:rPr>
          <w:rFonts w:hint="eastAsia" w:ascii="宋体" w:hAnsi="宋体"/>
          <w:sz w:val="24"/>
        </w:rPr>
        <w:t>投标</w:t>
      </w:r>
      <w:r>
        <w:rPr>
          <w:rFonts w:ascii="宋体" w:hAnsi="宋体"/>
          <w:sz w:val="24"/>
        </w:rPr>
        <w:t>活动，签署文件及对文件的盖章，提交和接收相关的资料、信息及指示，进行合同磋商活动，负责合同实施阶段的组织和协调工作，以及处理与本</w:t>
      </w:r>
      <w:r>
        <w:rPr>
          <w:rFonts w:hint="eastAsia" w:ascii="宋体" w:hAnsi="宋体"/>
          <w:sz w:val="24"/>
        </w:rPr>
        <w:t>采购</w:t>
      </w:r>
      <w:r>
        <w:rPr>
          <w:rFonts w:ascii="宋体" w:hAnsi="宋体"/>
          <w:sz w:val="24"/>
        </w:rPr>
        <w:t>项目有关的一切事宜。</w:t>
      </w:r>
    </w:p>
    <w:p w14:paraId="10789263">
      <w:pPr>
        <w:overflowPunct w:val="0"/>
        <w:spacing w:line="360" w:lineRule="auto"/>
        <w:ind w:firstLine="480" w:firstLineChars="200"/>
        <w:contextualSpacing/>
        <w:rPr>
          <w:rFonts w:ascii="宋体" w:hAnsi="宋体"/>
          <w:sz w:val="24"/>
        </w:rPr>
      </w:pPr>
      <w:r>
        <w:rPr>
          <w:rFonts w:ascii="宋体" w:hAnsi="宋体"/>
          <w:sz w:val="24"/>
        </w:rPr>
        <w:t>3.联合体牵头人在本项目中签署和盖章的一切文件和处理的一切事宜，联合体各成员均予以承认。联合体各成员将严格按照磋商文件、响应文件和合同的要求全面履行义务，并向采购人承担连带责任。</w:t>
      </w:r>
    </w:p>
    <w:p w14:paraId="4B6D7DB8">
      <w:pPr>
        <w:overflowPunct w:val="0"/>
        <w:spacing w:line="360" w:lineRule="auto"/>
        <w:ind w:firstLine="480" w:firstLineChars="200"/>
        <w:contextualSpacing/>
        <w:rPr>
          <w:rFonts w:ascii="宋体" w:hAnsi="宋体"/>
          <w:sz w:val="24"/>
        </w:rPr>
      </w:pPr>
      <w:r>
        <w:rPr>
          <w:rFonts w:ascii="宋体" w:hAnsi="宋体"/>
          <w:sz w:val="24"/>
        </w:rPr>
        <w:t>4.联合体各成员单位内部的职责分工如下：</w:t>
      </w:r>
      <w:r>
        <w:rPr>
          <w:rFonts w:ascii="宋体" w:hAnsi="宋体"/>
          <w:sz w:val="24"/>
          <w:u w:val="single"/>
        </w:rPr>
        <w:t xml:space="preserve">       </w:t>
      </w:r>
      <w:r>
        <w:rPr>
          <w:rFonts w:ascii="宋体" w:hAnsi="宋体"/>
          <w:sz w:val="24"/>
        </w:rPr>
        <w:t>。</w:t>
      </w:r>
    </w:p>
    <w:p w14:paraId="7ABFA356">
      <w:pPr>
        <w:overflowPunct w:val="0"/>
        <w:spacing w:line="360" w:lineRule="auto"/>
        <w:ind w:firstLine="480" w:firstLineChars="200"/>
        <w:contextualSpacing/>
        <w:rPr>
          <w:rFonts w:ascii="宋体" w:hAnsi="宋体"/>
          <w:sz w:val="24"/>
        </w:rPr>
      </w:pPr>
      <w:r>
        <w:rPr>
          <w:rFonts w:ascii="宋体" w:hAnsi="宋体"/>
          <w:sz w:val="24"/>
        </w:rPr>
        <w:t>5.本</w:t>
      </w:r>
      <w:r>
        <w:rPr>
          <w:rFonts w:ascii="宋体" w:hAnsi="宋体"/>
          <w:spacing w:val="-6"/>
          <w:sz w:val="24"/>
        </w:rPr>
        <w:t>协议书自所有成员单位法定代表人（单位负责人）或者其委托代理人签字或者盖单位章之日起生效，合同履行完毕后自动失效。</w:t>
      </w:r>
    </w:p>
    <w:p w14:paraId="5B6FC807">
      <w:pPr>
        <w:overflowPunct w:val="0"/>
        <w:spacing w:line="360" w:lineRule="auto"/>
        <w:ind w:firstLine="480" w:firstLineChars="200"/>
        <w:contextualSpacing/>
        <w:rPr>
          <w:rFonts w:ascii="宋体" w:hAnsi="宋体"/>
          <w:sz w:val="24"/>
        </w:rPr>
      </w:pPr>
      <w:r>
        <w:rPr>
          <w:rFonts w:ascii="宋体" w:hAnsi="宋体"/>
          <w:sz w:val="24"/>
        </w:rPr>
        <w:t>6.本协议书一式</w:t>
      </w:r>
      <w:r>
        <w:rPr>
          <w:rFonts w:ascii="宋体" w:hAnsi="宋体"/>
          <w:sz w:val="24"/>
          <w:u w:val="single"/>
        </w:rPr>
        <w:t xml:space="preserve"> </w:t>
      </w:r>
      <w:r>
        <w:rPr>
          <w:rFonts w:ascii="宋体" w:hAnsi="宋体"/>
          <w:sz w:val="24"/>
          <w:u w:val="single"/>
        </w:rPr>
        <w:tab/>
      </w:r>
      <w:r>
        <w:rPr>
          <w:rFonts w:ascii="宋体" w:hAnsi="宋体"/>
          <w:sz w:val="24"/>
        </w:rPr>
        <w:t>份，联合体成员和采购人各执壹份。</w:t>
      </w:r>
    </w:p>
    <w:p w14:paraId="6D3AF6DD">
      <w:pPr>
        <w:overflowPunct w:val="0"/>
        <w:spacing w:line="360" w:lineRule="auto"/>
        <w:ind w:firstLine="420" w:firstLineChars="175"/>
        <w:contextualSpacing/>
        <w:rPr>
          <w:rFonts w:ascii="宋体" w:hAnsi="宋体"/>
          <w:sz w:val="24"/>
        </w:rPr>
      </w:pPr>
    </w:p>
    <w:p w14:paraId="015190EC">
      <w:pPr>
        <w:overflowPunct w:val="0"/>
        <w:spacing w:line="360" w:lineRule="auto"/>
        <w:ind w:firstLine="420" w:firstLineChars="175"/>
        <w:contextualSpacing/>
        <w:rPr>
          <w:rFonts w:ascii="宋体" w:hAnsi="宋体"/>
          <w:sz w:val="24"/>
          <w:u w:val="single"/>
        </w:rPr>
      </w:pPr>
      <w:r>
        <w:rPr>
          <w:rFonts w:ascii="宋体" w:hAnsi="宋体"/>
          <w:sz w:val="24"/>
        </w:rPr>
        <w:t>联合体牵头人名称（盖公章）：</w:t>
      </w:r>
      <w:r>
        <w:rPr>
          <w:rFonts w:ascii="宋体" w:hAnsi="宋体"/>
          <w:sz w:val="24"/>
          <w:u w:val="single"/>
        </w:rPr>
        <w:t xml:space="preserve">               </w:t>
      </w:r>
    </w:p>
    <w:p w14:paraId="1C2DB993">
      <w:pPr>
        <w:overflowPunct w:val="0"/>
        <w:spacing w:line="360" w:lineRule="auto"/>
        <w:ind w:firstLine="420" w:firstLineChars="175"/>
        <w:contextualSpacing/>
        <w:rPr>
          <w:rFonts w:ascii="宋体" w:hAnsi="宋体"/>
          <w:sz w:val="24"/>
          <w:u w:val="single"/>
        </w:rPr>
      </w:pPr>
      <w:r>
        <w:rPr>
          <w:rFonts w:ascii="宋体" w:hAnsi="宋体"/>
          <w:sz w:val="24"/>
        </w:rPr>
        <w:t>法定代表人（单位负责人）或者其委托代理人（签字</w:t>
      </w:r>
      <w:r>
        <w:rPr>
          <w:rFonts w:hint="eastAsia" w:ascii="宋体" w:hAnsi="宋体"/>
          <w:sz w:val="24"/>
        </w:rPr>
        <w:t>或盖章</w:t>
      </w:r>
      <w:r>
        <w:rPr>
          <w:rFonts w:ascii="宋体" w:hAnsi="宋体"/>
          <w:sz w:val="24"/>
        </w:rPr>
        <w:t>）：</w:t>
      </w:r>
      <w:r>
        <w:rPr>
          <w:rFonts w:ascii="宋体" w:hAnsi="宋体"/>
          <w:sz w:val="24"/>
          <w:u w:val="single"/>
        </w:rPr>
        <w:t xml:space="preserve">               </w:t>
      </w:r>
    </w:p>
    <w:p w14:paraId="55153299">
      <w:pPr>
        <w:overflowPunct w:val="0"/>
        <w:spacing w:line="360" w:lineRule="auto"/>
        <w:ind w:firstLine="420" w:firstLineChars="175"/>
        <w:contextualSpacing/>
        <w:rPr>
          <w:rFonts w:ascii="宋体" w:hAnsi="宋体"/>
          <w:sz w:val="24"/>
        </w:rPr>
      </w:pPr>
      <w:r>
        <w:rPr>
          <w:rFonts w:ascii="宋体" w:hAnsi="宋体"/>
          <w:sz w:val="24"/>
        </w:rPr>
        <w:t xml:space="preserve"> </w:t>
      </w:r>
    </w:p>
    <w:p w14:paraId="4D49381B">
      <w:pPr>
        <w:overflowPunct w:val="0"/>
        <w:spacing w:line="360" w:lineRule="auto"/>
        <w:ind w:firstLine="420" w:firstLineChars="175"/>
        <w:contextualSpacing/>
        <w:rPr>
          <w:rFonts w:ascii="宋体" w:hAnsi="宋体"/>
          <w:sz w:val="24"/>
          <w:u w:val="single"/>
        </w:rPr>
      </w:pPr>
      <w:r>
        <w:rPr>
          <w:rFonts w:ascii="宋体" w:hAnsi="宋体"/>
          <w:sz w:val="24"/>
        </w:rPr>
        <w:t>联合体成员名称（盖公章）：</w:t>
      </w:r>
      <w:r>
        <w:rPr>
          <w:rFonts w:ascii="宋体" w:hAnsi="宋体"/>
          <w:sz w:val="24"/>
          <w:u w:val="single"/>
        </w:rPr>
        <w:t xml:space="preserve">                </w:t>
      </w:r>
    </w:p>
    <w:p w14:paraId="7CB980EB">
      <w:pPr>
        <w:overflowPunct w:val="0"/>
        <w:spacing w:line="360" w:lineRule="auto"/>
        <w:ind w:firstLine="420" w:firstLineChars="175"/>
        <w:contextualSpacing/>
        <w:rPr>
          <w:rFonts w:ascii="宋体" w:hAnsi="宋体"/>
          <w:sz w:val="24"/>
          <w:u w:val="single"/>
        </w:rPr>
      </w:pPr>
      <w:r>
        <w:rPr>
          <w:rFonts w:ascii="宋体" w:hAnsi="宋体"/>
          <w:sz w:val="24"/>
        </w:rPr>
        <w:t>法定代表人（单位负责人）或者其委托代理人（签字</w:t>
      </w:r>
      <w:r>
        <w:rPr>
          <w:rFonts w:hint="eastAsia" w:ascii="宋体" w:hAnsi="宋体"/>
          <w:sz w:val="24"/>
        </w:rPr>
        <w:t>或盖章</w:t>
      </w:r>
      <w:r>
        <w:rPr>
          <w:rFonts w:ascii="宋体" w:hAnsi="宋体"/>
          <w:sz w:val="24"/>
        </w:rPr>
        <w:t>）：</w:t>
      </w:r>
      <w:r>
        <w:rPr>
          <w:rFonts w:ascii="宋体" w:hAnsi="宋体"/>
          <w:sz w:val="24"/>
          <w:u w:val="single"/>
        </w:rPr>
        <w:t xml:space="preserve">            </w:t>
      </w:r>
    </w:p>
    <w:p w14:paraId="6DCE6F00">
      <w:pPr>
        <w:overflowPunct w:val="0"/>
        <w:spacing w:line="360" w:lineRule="auto"/>
        <w:ind w:firstLine="420" w:firstLineChars="175"/>
        <w:contextualSpacing/>
        <w:rPr>
          <w:rFonts w:ascii="宋体" w:hAnsi="宋体"/>
          <w:sz w:val="24"/>
        </w:rPr>
      </w:pPr>
      <w:r>
        <w:rPr>
          <w:rFonts w:ascii="宋体" w:hAnsi="宋体"/>
          <w:sz w:val="24"/>
        </w:rPr>
        <w:t xml:space="preserve"> </w:t>
      </w:r>
    </w:p>
    <w:p w14:paraId="37C29EA1">
      <w:pPr>
        <w:spacing w:line="360" w:lineRule="auto"/>
        <w:ind w:right="480" w:firstLine="240" w:firstLineChars="100"/>
        <w:contextualSpacing/>
        <w:jc w:val="center"/>
        <w:rPr>
          <w:rFonts w:hint="eastAsia" w:ascii="宋体" w:hAnsi="宋体"/>
          <w:sz w:val="24"/>
        </w:rPr>
      </w:pPr>
      <w:r>
        <w:rPr>
          <w:rFonts w:ascii="宋体" w:hAnsi="宋体"/>
          <w:sz w:val="24"/>
        </w:rPr>
        <w:t xml:space="preserve">                                      日期：</w:t>
      </w:r>
      <w:r>
        <w:rPr>
          <w:rFonts w:ascii="宋体" w:hAnsi="宋体"/>
          <w:sz w:val="24"/>
          <w:u w:val="single"/>
        </w:rPr>
        <w:t xml:space="preserve">      </w:t>
      </w:r>
      <w:r>
        <w:rPr>
          <w:rFonts w:ascii="宋体" w:hAnsi="宋体"/>
          <w:sz w:val="24"/>
        </w:rPr>
        <w:t>年</w:t>
      </w:r>
      <w:r>
        <w:rPr>
          <w:rFonts w:ascii="宋体" w:hAnsi="宋体"/>
          <w:sz w:val="24"/>
          <w:u w:val="single"/>
        </w:rPr>
        <w:t xml:space="preserve">  </w:t>
      </w:r>
      <w:r>
        <w:rPr>
          <w:rFonts w:ascii="宋体" w:hAnsi="宋体"/>
          <w:sz w:val="24"/>
          <w:u w:val="single"/>
        </w:rPr>
        <w:tab/>
      </w:r>
      <w:r>
        <w:rPr>
          <w:rFonts w:ascii="宋体" w:hAnsi="宋体"/>
          <w:sz w:val="24"/>
        </w:rPr>
        <w:t>月</w:t>
      </w:r>
      <w:r>
        <w:rPr>
          <w:rFonts w:ascii="宋体" w:hAnsi="宋体"/>
          <w:sz w:val="24"/>
          <w:u w:val="single"/>
        </w:rPr>
        <w:t xml:space="preserve">  </w:t>
      </w:r>
      <w:r>
        <w:rPr>
          <w:rFonts w:ascii="宋体" w:hAnsi="宋体"/>
          <w:sz w:val="24"/>
          <w:u w:val="single"/>
        </w:rPr>
        <w:tab/>
      </w:r>
      <w:r>
        <w:rPr>
          <w:rFonts w:ascii="宋体" w:hAnsi="宋体"/>
          <w:sz w:val="24"/>
        </w:rPr>
        <w:t>日</w:t>
      </w:r>
    </w:p>
    <w:p w14:paraId="1455FF4A">
      <w:pPr>
        <w:pStyle w:val="10"/>
        <w:tabs>
          <w:tab w:val="left" w:leader="dot" w:pos="480"/>
        </w:tabs>
        <w:rPr>
          <w:bCs/>
          <w:color w:val="auto"/>
          <w:highlight w:val="none"/>
        </w:rPr>
      </w:pPr>
    </w:p>
    <w:p w14:paraId="73BB68B8">
      <w:pPr>
        <w:pStyle w:val="10"/>
        <w:tabs>
          <w:tab w:val="left" w:leader="dot" w:pos="480"/>
        </w:tabs>
        <w:rPr>
          <w:bCs/>
          <w:color w:val="auto"/>
          <w:highlight w:val="none"/>
        </w:rPr>
      </w:pPr>
    </w:p>
    <w:p w14:paraId="7FFD7DBB">
      <w:pPr>
        <w:rPr>
          <w:bCs/>
          <w:color w:val="auto"/>
          <w:highlight w:val="none"/>
        </w:rPr>
      </w:pPr>
      <w:r>
        <w:rPr>
          <w:bCs/>
          <w:color w:val="auto"/>
          <w:highlight w:val="none"/>
        </w:rPr>
        <w:br w:type="page"/>
      </w:r>
    </w:p>
    <w:p w14:paraId="617DA7A8">
      <w:pPr>
        <w:snapToGrid w:val="0"/>
        <w:spacing w:line="360" w:lineRule="auto"/>
        <w:jc w:val="center"/>
        <w:outlineLvl w:val="1"/>
        <w:rPr>
          <w:rFonts w:ascii="黑体" w:hAnsi="黑体" w:eastAsia="黑体" w:cs="黑体"/>
          <w:color w:val="auto"/>
          <w:sz w:val="36"/>
          <w:szCs w:val="36"/>
          <w:highlight w:val="none"/>
        </w:rPr>
      </w:pPr>
      <w:bookmarkStart w:id="208" w:name="_Toc6781"/>
      <w:bookmarkStart w:id="209" w:name="_Toc8009"/>
      <w:bookmarkStart w:id="210" w:name="_Toc18291"/>
      <w:bookmarkStart w:id="211" w:name="_Toc15671"/>
      <w:bookmarkStart w:id="212" w:name="_Toc30368"/>
      <w:bookmarkStart w:id="213" w:name="_Toc25747"/>
      <w:bookmarkStart w:id="214" w:name="_Toc20762"/>
      <w:bookmarkStart w:id="215" w:name="_Toc26089"/>
      <w:bookmarkStart w:id="216" w:name="_Toc2974"/>
      <w:bookmarkStart w:id="217" w:name="_Toc2083"/>
      <w:bookmarkStart w:id="218" w:name="_Toc20507"/>
      <w:bookmarkStart w:id="219" w:name="_Toc1684"/>
      <w:bookmarkStart w:id="220" w:name="_Toc23053"/>
      <w:bookmarkStart w:id="221" w:name="_Toc11631"/>
      <w:bookmarkStart w:id="222" w:name="_Toc27063"/>
      <w:r>
        <w:rPr>
          <w:rFonts w:hint="eastAsia" w:ascii="黑体" w:hAnsi="黑体" w:eastAsia="黑体" w:cs="黑体"/>
          <w:color w:val="auto"/>
          <w:sz w:val="36"/>
          <w:szCs w:val="36"/>
          <w:highlight w:val="none"/>
          <w:lang w:eastAsia="zh-CN"/>
        </w:rPr>
        <w:t>四</w:t>
      </w:r>
      <w:r>
        <w:rPr>
          <w:rFonts w:hint="eastAsia" w:ascii="黑体" w:hAnsi="黑体" w:eastAsia="黑体" w:cs="黑体"/>
          <w:color w:val="auto"/>
          <w:sz w:val="36"/>
          <w:szCs w:val="36"/>
          <w:highlight w:val="none"/>
        </w:rPr>
        <w:t>、报价清单</w:t>
      </w:r>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p>
    <w:p w14:paraId="0857CC25">
      <w:pPr>
        <w:jc w:val="center"/>
        <w:outlineLvl w:val="2"/>
        <w:rPr>
          <w:rFonts w:ascii="黑体" w:hAnsi="宋体" w:eastAsia="方正小标宋简体"/>
          <w:color w:val="auto"/>
          <w:sz w:val="24"/>
          <w:highlight w:val="none"/>
        </w:rPr>
      </w:pPr>
      <w:bookmarkStart w:id="223" w:name="_Toc32344"/>
      <w:bookmarkStart w:id="224" w:name="_Toc10738"/>
      <w:r>
        <w:rPr>
          <w:rFonts w:hint="eastAsia" w:ascii="宋体" w:hAnsi="宋体" w:cs="宋体"/>
          <w:b/>
          <w:color w:val="auto"/>
          <w:sz w:val="32"/>
          <w:szCs w:val="32"/>
          <w:highlight w:val="none"/>
        </w:rPr>
        <w:t>（一）报价文件说明</w:t>
      </w:r>
      <w:bookmarkEnd w:id="223"/>
      <w:bookmarkEnd w:id="224"/>
    </w:p>
    <w:p w14:paraId="23927D48">
      <w:pPr>
        <w:rPr>
          <w:rFonts w:ascii="黑体" w:hAnsi="宋体" w:eastAsia="黑体"/>
          <w:color w:val="auto"/>
          <w:sz w:val="24"/>
          <w:highlight w:val="none"/>
        </w:rPr>
      </w:pPr>
    </w:p>
    <w:p w14:paraId="2DD731A4">
      <w:pPr>
        <w:spacing w:line="400" w:lineRule="exact"/>
        <w:ind w:firstLine="480" w:firstLineChars="200"/>
        <w:rPr>
          <w:rFonts w:ascii="宋体" w:hAnsi="宋体"/>
          <w:color w:val="auto"/>
          <w:sz w:val="24"/>
          <w:highlight w:val="none"/>
        </w:rPr>
      </w:pPr>
      <w:r>
        <w:rPr>
          <w:rFonts w:hint="eastAsia" w:ascii="宋体" w:hAnsi="宋体"/>
          <w:color w:val="auto"/>
          <w:sz w:val="24"/>
          <w:highlight w:val="none"/>
        </w:rPr>
        <w:t>1.“报价清单”应与“供应商须知”“采购内容及要求”“合同条款”等一起使用。</w:t>
      </w:r>
    </w:p>
    <w:p w14:paraId="0A348F87">
      <w:pPr>
        <w:spacing w:line="400" w:lineRule="exact"/>
        <w:ind w:firstLine="480" w:firstLineChars="200"/>
        <w:rPr>
          <w:rFonts w:ascii="宋体" w:hAnsi="宋体"/>
          <w:color w:val="auto"/>
          <w:sz w:val="24"/>
          <w:highlight w:val="none"/>
        </w:rPr>
      </w:pPr>
      <w:r>
        <w:rPr>
          <w:rFonts w:hint="eastAsia" w:ascii="宋体" w:hAnsi="宋体"/>
          <w:color w:val="auto"/>
          <w:sz w:val="24"/>
          <w:highlight w:val="none"/>
        </w:rPr>
        <w:t>2.本次采购采用总价包干，投标报价已包含为完成</w:t>
      </w:r>
      <w:r>
        <w:rPr>
          <w:rFonts w:hint="eastAsia" w:ascii="宋体" w:hAnsi="宋体"/>
          <w:color w:val="auto"/>
          <w:sz w:val="24"/>
          <w:highlight w:val="none"/>
          <w:lang w:val="en-US" w:eastAsia="zh-CN"/>
        </w:rPr>
        <w:t xml:space="preserve"> 红水河（桥巩至宾港作业区）航道提升工程水生生态环境现状调查与评价服务 </w:t>
      </w:r>
      <w:r>
        <w:rPr>
          <w:rFonts w:hint="eastAsia" w:ascii="宋体" w:hAnsi="宋体"/>
          <w:color w:val="auto"/>
          <w:sz w:val="24"/>
          <w:highlight w:val="none"/>
        </w:rPr>
        <w:t>项目的全部工作以及</w:t>
      </w:r>
      <w:r>
        <w:rPr>
          <w:rFonts w:hint="eastAsia" w:ascii="宋体" w:hAnsi="宋体"/>
          <w:color w:val="auto"/>
          <w:sz w:val="24"/>
          <w:highlight w:val="none"/>
          <w:lang w:eastAsia="zh-CN"/>
        </w:rPr>
        <w:t>全过程</w:t>
      </w:r>
      <w:r>
        <w:rPr>
          <w:rFonts w:hint="eastAsia" w:ascii="宋体" w:hAnsi="宋体"/>
          <w:color w:val="auto"/>
          <w:sz w:val="24"/>
          <w:highlight w:val="none"/>
        </w:rPr>
        <w:t>可能发生的各种费用，包含但不限于从前期踏勘、资料收集、报告编制费、现场管理费、会议、专家咨询费、调研差旅费、管理费、文印费、设备耗材费、税费及合同包含的所有风险、责任及措施等费用。本项目合同总价在合同执行过程中是固定的，不因情况变化而调整。</w:t>
      </w:r>
    </w:p>
    <w:p w14:paraId="12F9B6B4">
      <w:pPr>
        <w:spacing w:line="400" w:lineRule="exact"/>
        <w:ind w:firstLine="480" w:firstLineChars="200"/>
        <w:rPr>
          <w:rFonts w:ascii="宋体" w:hAnsi="宋体"/>
          <w:color w:val="auto"/>
          <w:sz w:val="24"/>
          <w:highlight w:val="none"/>
        </w:rPr>
      </w:pPr>
      <w:r>
        <w:rPr>
          <w:rFonts w:hint="eastAsia" w:ascii="宋体" w:hAnsi="宋体"/>
          <w:color w:val="auto"/>
          <w:sz w:val="24"/>
          <w:highlight w:val="none"/>
        </w:rPr>
        <w:t>3.投标报价为一次报价，此次报价即最终报价，不再就价格问题另行协商。</w:t>
      </w:r>
    </w:p>
    <w:p w14:paraId="36CBF915">
      <w:pPr>
        <w:spacing w:line="400" w:lineRule="exact"/>
        <w:ind w:firstLine="480" w:firstLineChars="200"/>
        <w:rPr>
          <w:rFonts w:ascii="宋体" w:hAnsi="宋体"/>
          <w:color w:val="auto"/>
          <w:sz w:val="24"/>
          <w:highlight w:val="none"/>
        </w:rPr>
      </w:pPr>
      <w:r>
        <w:rPr>
          <w:rFonts w:hint="eastAsia" w:ascii="宋体" w:hAnsi="宋体"/>
          <w:color w:val="auto"/>
          <w:sz w:val="24"/>
          <w:highlight w:val="none"/>
        </w:rPr>
        <w:t>4.“报价清单”中报价应以人民币为单位。</w:t>
      </w:r>
    </w:p>
    <w:p w14:paraId="26F57FF6">
      <w:pPr>
        <w:spacing w:line="400" w:lineRule="exact"/>
        <w:ind w:firstLine="480" w:firstLineChars="200"/>
        <w:rPr>
          <w:rFonts w:ascii="宋体" w:hAnsi="宋体"/>
          <w:color w:val="auto"/>
          <w:sz w:val="24"/>
          <w:highlight w:val="none"/>
        </w:rPr>
      </w:pPr>
      <w:r>
        <w:rPr>
          <w:rFonts w:hint="eastAsia" w:ascii="宋体" w:hAnsi="宋体"/>
          <w:color w:val="auto"/>
          <w:sz w:val="24"/>
          <w:highlight w:val="none"/>
        </w:rPr>
        <w:t>5.报价应为含税价格，并且能够提供增值税发票。</w:t>
      </w:r>
    </w:p>
    <w:p w14:paraId="707BB52B">
      <w:pPr>
        <w:spacing w:line="400" w:lineRule="exact"/>
        <w:ind w:firstLine="480" w:firstLineChars="200"/>
        <w:rPr>
          <w:rFonts w:ascii="宋体" w:hAnsi="宋体"/>
          <w:color w:val="auto"/>
          <w:sz w:val="24"/>
          <w:highlight w:val="none"/>
        </w:rPr>
      </w:pPr>
      <w:r>
        <w:rPr>
          <w:rFonts w:hint="eastAsia" w:ascii="宋体" w:hAnsi="宋体"/>
          <w:color w:val="auto"/>
          <w:sz w:val="24"/>
          <w:highlight w:val="none"/>
        </w:rPr>
        <w:t>6.供应商应在“报价清单”后附</w:t>
      </w:r>
      <w:bookmarkStart w:id="225" w:name="_Hlk203661040"/>
      <w:r>
        <w:rPr>
          <w:rFonts w:hint="eastAsia" w:ascii="宋体" w:hAnsi="宋体"/>
          <w:color w:val="auto"/>
          <w:sz w:val="24"/>
          <w:highlight w:val="none"/>
        </w:rPr>
        <w:t>计算说明</w:t>
      </w:r>
      <w:bookmarkEnd w:id="225"/>
      <w:r>
        <w:rPr>
          <w:rFonts w:hint="eastAsia" w:ascii="宋体" w:hAnsi="宋体"/>
          <w:color w:val="auto"/>
          <w:sz w:val="24"/>
          <w:highlight w:val="none"/>
        </w:rPr>
        <w:t>，包括计算方法、取费依据等，以便采购人对供应商报价的合理性作出判断。</w:t>
      </w:r>
    </w:p>
    <w:p w14:paraId="04BE7E21">
      <w:pPr>
        <w:rPr>
          <w:b/>
          <w:bCs/>
          <w:color w:val="auto"/>
          <w:sz w:val="24"/>
          <w:highlight w:val="none"/>
        </w:rPr>
      </w:pPr>
      <w:r>
        <w:rPr>
          <w:rFonts w:hint="eastAsia"/>
          <w:b/>
          <w:bCs/>
          <w:color w:val="auto"/>
          <w:sz w:val="24"/>
          <w:highlight w:val="none"/>
        </w:rPr>
        <w:br w:type="page"/>
      </w:r>
    </w:p>
    <w:p w14:paraId="1384416A">
      <w:pPr>
        <w:pStyle w:val="10"/>
        <w:jc w:val="center"/>
        <w:outlineLvl w:val="2"/>
        <w:rPr>
          <w:b/>
          <w:bCs/>
          <w:color w:val="auto"/>
          <w:sz w:val="32"/>
          <w:szCs w:val="32"/>
          <w:highlight w:val="none"/>
        </w:rPr>
      </w:pPr>
      <w:bookmarkStart w:id="226" w:name="_Toc2327"/>
      <w:bookmarkStart w:id="227" w:name="_Toc1367"/>
      <w:bookmarkStart w:id="228" w:name="_Hlk203660973"/>
      <w:r>
        <w:rPr>
          <w:rFonts w:hint="eastAsia"/>
          <w:b/>
          <w:bCs/>
          <w:color w:val="auto"/>
          <w:sz w:val="32"/>
          <w:szCs w:val="32"/>
          <w:highlight w:val="none"/>
        </w:rPr>
        <w:t>（二）投标报价表</w:t>
      </w:r>
      <w:bookmarkEnd w:id="226"/>
      <w:bookmarkEnd w:id="227"/>
    </w:p>
    <w:p w14:paraId="6426713A">
      <w:pPr>
        <w:pStyle w:val="10"/>
        <w:rPr>
          <w:color w:val="auto"/>
          <w:highlight w:val="none"/>
        </w:rPr>
      </w:pPr>
    </w:p>
    <w:p w14:paraId="3D7A3E7A">
      <w:pPr>
        <w:spacing w:line="360" w:lineRule="auto"/>
        <w:contextualSpacing/>
        <w:jc w:val="left"/>
        <w:rPr>
          <w:rFonts w:ascii="宋体" w:hAnsi="宋体" w:cs="仿宋_GB2312"/>
          <w:color w:val="auto"/>
          <w:sz w:val="24"/>
          <w:highlight w:val="none"/>
        </w:rPr>
      </w:pPr>
      <w:r>
        <w:rPr>
          <w:rFonts w:hint="eastAsia" w:ascii="宋体" w:hAnsi="宋体" w:cs="仿宋_GB2312"/>
          <w:color w:val="auto"/>
          <w:sz w:val="24"/>
          <w:highlight w:val="none"/>
        </w:rPr>
        <w:t>采购项目名称：</w:t>
      </w:r>
      <w:r>
        <w:rPr>
          <w:rFonts w:hint="eastAsia" w:ascii="宋体" w:hAnsi="宋体" w:cs="宋体"/>
          <w:bCs/>
          <w:color w:val="auto"/>
          <w:sz w:val="24"/>
          <w:highlight w:val="none"/>
          <w:lang w:eastAsia="zh-CN"/>
        </w:rPr>
        <w:t>红水河（桥巩至宾港作业区）航道提升工程水生生态环境现状调查与评价服务</w:t>
      </w:r>
    </w:p>
    <w:tbl>
      <w:tblPr>
        <w:tblStyle w:val="24"/>
        <w:tblW w:w="4996" w:type="pct"/>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0"/>
        <w:gridCol w:w="2842"/>
        <w:gridCol w:w="1322"/>
        <w:gridCol w:w="776"/>
        <w:gridCol w:w="2017"/>
        <w:gridCol w:w="1478"/>
      </w:tblGrid>
      <w:tr w14:paraId="40B29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398" w:type="pct"/>
            <w:tcBorders>
              <w:top w:val="single" w:color="auto" w:sz="4" w:space="0"/>
              <w:left w:val="single" w:color="auto" w:sz="4" w:space="0"/>
              <w:bottom w:val="single" w:color="auto" w:sz="4" w:space="0"/>
              <w:right w:val="single" w:color="auto" w:sz="4" w:space="0"/>
            </w:tcBorders>
            <w:vAlign w:val="center"/>
          </w:tcPr>
          <w:p w14:paraId="16CDF1E7">
            <w:pPr>
              <w:contextualSpacing/>
              <w:jc w:val="center"/>
              <w:rPr>
                <w:rFonts w:ascii="宋体" w:hAnsi="宋体" w:cs="仿宋_GB2312"/>
                <w:color w:val="auto"/>
                <w:sz w:val="24"/>
                <w:highlight w:val="none"/>
              </w:rPr>
            </w:pPr>
            <w:r>
              <w:rPr>
                <w:rFonts w:ascii="宋体" w:hAnsi="宋体" w:cs="仿宋_GB2312"/>
                <w:color w:val="auto"/>
                <w:sz w:val="24"/>
                <w:highlight w:val="none"/>
              </w:rPr>
              <w:t>序号</w:t>
            </w:r>
          </w:p>
        </w:tc>
        <w:tc>
          <w:tcPr>
            <w:tcW w:w="1550" w:type="pct"/>
            <w:tcBorders>
              <w:top w:val="single" w:color="auto" w:sz="4" w:space="0"/>
              <w:left w:val="single" w:color="auto" w:sz="4" w:space="0"/>
              <w:bottom w:val="single" w:color="auto" w:sz="4" w:space="0"/>
              <w:right w:val="single" w:color="auto" w:sz="4" w:space="0"/>
            </w:tcBorders>
            <w:vAlign w:val="center"/>
          </w:tcPr>
          <w:p w14:paraId="62530C20">
            <w:pPr>
              <w:contextualSpacing/>
              <w:jc w:val="center"/>
              <w:rPr>
                <w:rFonts w:ascii="宋体" w:hAnsi="宋体" w:cs="仿宋_GB2312"/>
                <w:color w:val="auto"/>
                <w:sz w:val="24"/>
                <w:highlight w:val="none"/>
              </w:rPr>
            </w:pPr>
            <w:r>
              <w:rPr>
                <w:rFonts w:ascii="宋体" w:hAnsi="宋体" w:cs="仿宋_GB2312"/>
                <w:color w:val="auto"/>
                <w:sz w:val="24"/>
                <w:highlight w:val="none"/>
              </w:rPr>
              <w:t>服务名称</w:t>
            </w:r>
          </w:p>
        </w:tc>
        <w:tc>
          <w:tcPr>
            <w:tcW w:w="721" w:type="pct"/>
            <w:tcBorders>
              <w:top w:val="single" w:color="auto" w:sz="4" w:space="0"/>
              <w:left w:val="single" w:color="auto" w:sz="4" w:space="0"/>
              <w:bottom w:val="single" w:color="auto" w:sz="4" w:space="0"/>
              <w:right w:val="single" w:color="auto" w:sz="4" w:space="0"/>
            </w:tcBorders>
            <w:vAlign w:val="center"/>
          </w:tcPr>
          <w:p w14:paraId="51FD0EB4">
            <w:pPr>
              <w:contextualSpacing/>
              <w:jc w:val="center"/>
              <w:rPr>
                <w:rFonts w:ascii="宋体" w:hAnsi="宋体" w:cs="仿宋_GB2312"/>
                <w:color w:val="auto"/>
                <w:sz w:val="24"/>
                <w:highlight w:val="none"/>
              </w:rPr>
            </w:pPr>
            <w:r>
              <w:rPr>
                <w:rFonts w:hint="eastAsia" w:ascii="宋体" w:hAnsi="宋体" w:cs="仿宋_GB2312"/>
                <w:color w:val="auto"/>
                <w:sz w:val="24"/>
                <w:highlight w:val="none"/>
              </w:rPr>
              <w:t>数量</w:t>
            </w:r>
          </w:p>
        </w:tc>
        <w:tc>
          <w:tcPr>
            <w:tcW w:w="423" w:type="pct"/>
            <w:tcBorders>
              <w:top w:val="single" w:color="auto" w:sz="4" w:space="0"/>
              <w:left w:val="single" w:color="auto" w:sz="4" w:space="0"/>
              <w:bottom w:val="single" w:color="auto" w:sz="4" w:space="0"/>
              <w:right w:val="single" w:color="auto" w:sz="4" w:space="0"/>
            </w:tcBorders>
            <w:vAlign w:val="center"/>
          </w:tcPr>
          <w:p w14:paraId="196EC937">
            <w:pPr>
              <w:contextualSpacing/>
              <w:jc w:val="center"/>
              <w:rPr>
                <w:rFonts w:ascii="宋体" w:hAnsi="宋体" w:cs="仿宋_GB2312"/>
                <w:color w:val="auto"/>
                <w:sz w:val="24"/>
                <w:highlight w:val="none"/>
              </w:rPr>
            </w:pPr>
            <w:r>
              <w:rPr>
                <w:rFonts w:hint="eastAsia" w:ascii="宋体" w:hAnsi="宋体" w:cs="仿宋_GB2312"/>
                <w:color w:val="auto"/>
                <w:sz w:val="24"/>
                <w:highlight w:val="none"/>
              </w:rPr>
              <w:t>单位</w:t>
            </w:r>
          </w:p>
        </w:tc>
        <w:tc>
          <w:tcPr>
            <w:tcW w:w="1100" w:type="pct"/>
            <w:tcBorders>
              <w:top w:val="single" w:color="auto" w:sz="4" w:space="0"/>
              <w:left w:val="single" w:color="auto" w:sz="4" w:space="0"/>
              <w:bottom w:val="single" w:color="auto" w:sz="4" w:space="0"/>
              <w:right w:val="single" w:color="auto" w:sz="4" w:space="0"/>
            </w:tcBorders>
            <w:vAlign w:val="center"/>
          </w:tcPr>
          <w:p w14:paraId="3E927E1A">
            <w:pPr>
              <w:contextualSpacing/>
              <w:jc w:val="center"/>
              <w:rPr>
                <w:rFonts w:hint="eastAsia" w:ascii="宋体" w:hAnsi="宋体" w:eastAsia="宋体" w:cs="仿宋_GB2312"/>
                <w:color w:val="auto"/>
                <w:sz w:val="24"/>
                <w:highlight w:val="none"/>
                <w:lang w:eastAsia="zh-CN"/>
              </w:rPr>
            </w:pPr>
            <w:r>
              <w:rPr>
                <w:rFonts w:hint="eastAsia" w:ascii="宋体" w:hAnsi="宋体" w:cs="仿宋_GB2312"/>
                <w:color w:val="auto"/>
                <w:sz w:val="24"/>
                <w:highlight w:val="none"/>
              </w:rPr>
              <w:t>金额</w:t>
            </w:r>
            <w:r>
              <w:rPr>
                <w:rFonts w:hint="eastAsia" w:ascii="宋体" w:hAnsi="宋体" w:cs="仿宋_GB2312"/>
                <w:color w:val="auto"/>
                <w:sz w:val="24"/>
                <w:highlight w:val="none"/>
                <w:lang w:eastAsia="zh-CN"/>
              </w:rPr>
              <w:t>（元）</w:t>
            </w:r>
          </w:p>
        </w:tc>
        <w:tc>
          <w:tcPr>
            <w:tcW w:w="806" w:type="pct"/>
            <w:tcBorders>
              <w:top w:val="single" w:color="auto" w:sz="4" w:space="0"/>
              <w:left w:val="single" w:color="auto" w:sz="4" w:space="0"/>
              <w:bottom w:val="single" w:color="auto" w:sz="4" w:space="0"/>
              <w:right w:val="single" w:color="auto" w:sz="4" w:space="0"/>
            </w:tcBorders>
            <w:vAlign w:val="center"/>
          </w:tcPr>
          <w:p w14:paraId="21A350E4">
            <w:pPr>
              <w:contextualSpacing/>
              <w:jc w:val="center"/>
              <w:rPr>
                <w:rFonts w:ascii="宋体" w:hAnsi="宋体" w:cs="仿宋_GB2312"/>
                <w:color w:val="auto"/>
                <w:sz w:val="24"/>
                <w:highlight w:val="none"/>
              </w:rPr>
            </w:pPr>
            <w:r>
              <w:rPr>
                <w:rFonts w:ascii="宋体" w:hAnsi="宋体" w:cs="仿宋_GB2312"/>
                <w:color w:val="auto"/>
                <w:sz w:val="24"/>
                <w:highlight w:val="none"/>
              </w:rPr>
              <w:t>备注</w:t>
            </w:r>
          </w:p>
        </w:tc>
      </w:tr>
      <w:tr w14:paraId="72BB0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7" w:hRule="atLeast"/>
          <w:jc w:val="right"/>
        </w:trPr>
        <w:tc>
          <w:tcPr>
            <w:tcW w:w="398" w:type="pct"/>
            <w:tcBorders>
              <w:top w:val="single" w:color="auto" w:sz="4" w:space="0"/>
              <w:left w:val="single" w:color="auto" w:sz="4" w:space="0"/>
              <w:bottom w:val="single" w:color="auto" w:sz="4" w:space="0"/>
              <w:right w:val="single" w:color="auto" w:sz="4" w:space="0"/>
            </w:tcBorders>
            <w:vAlign w:val="center"/>
          </w:tcPr>
          <w:p w14:paraId="160D41C5">
            <w:pPr>
              <w:adjustRightInd w:val="0"/>
              <w:snapToGrid w:val="0"/>
              <w:contextualSpacing/>
              <w:jc w:val="center"/>
              <w:rPr>
                <w:rFonts w:ascii="宋体" w:hAnsi="宋体" w:cs="仿宋_GB2312"/>
                <w:color w:val="auto"/>
                <w:sz w:val="24"/>
                <w:highlight w:val="none"/>
              </w:rPr>
            </w:pPr>
            <w:r>
              <w:rPr>
                <w:rFonts w:hint="eastAsia" w:ascii="宋体" w:hAnsi="宋体" w:cs="仿宋_GB2312"/>
                <w:color w:val="auto"/>
                <w:sz w:val="24"/>
                <w:highlight w:val="none"/>
              </w:rPr>
              <w:t>1</w:t>
            </w:r>
          </w:p>
        </w:tc>
        <w:tc>
          <w:tcPr>
            <w:tcW w:w="1550" w:type="pct"/>
            <w:tcBorders>
              <w:top w:val="single" w:color="auto" w:sz="4" w:space="0"/>
              <w:left w:val="single" w:color="auto" w:sz="4" w:space="0"/>
              <w:bottom w:val="single" w:color="auto" w:sz="4" w:space="0"/>
              <w:right w:val="single" w:color="auto" w:sz="4" w:space="0"/>
            </w:tcBorders>
            <w:vAlign w:val="center"/>
          </w:tcPr>
          <w:p w14:paraId="4963F0D6">
            <w:pPr>
              <w:adjustRightInd w:val="0"/>
              <w:snapToGrid w:val="0"/>
              <w:jc w:val="left"/>
              <w:rPr>
                <w:rFonts w:ascii="宋体" w:hAnsi="宋体" w:cs="仿宋_GB2312"/>
                <w:color w:val="auto"/>
                <w:sz w:val="24"/>
                <w:highlight w:val="none"/>
              </w:rPr>
            </w:pPr>
            <w:r>
              <w:rPr>
                <w:rFonts w:hint="eastAsia" w:ascii="宋体" w:hAnsi="宋体" w:cs="宋体"/>
                <w:bCs/>
                <w:color w:val="auto"/>
                <w:sz w:val="24"/>
                <w:highlight w:val="none"/>
                <w:lang w:eastAsia="zh-CN"/>
              </w:rPr>
              <w:t>红水河（桥巩至宾港作业区）航道提升工程水生生态环境现状调查与评价</w:t>
            </w:r>
          </w:p>
        </w:tc>
        <w:tc>
          <w:tcPr>
            <w:tcW w:w="721" w:type="pct"/>
            <w:tcBorders>
              <w:top w:val="single" w:color="auto" w:sz="4" w:space="0"/>
              <w:left w:val="single" w:color="auto" w:sz="4" w:space="0"/>
              <w:bottom w:val="single" w:color="auto" w:sz="4" w:space="0"/>
              <w:right w:val="single" w:color="auto" w:sz="4" w:space="0"/>
            </w:tcBorders>
            <w:vAlign w:val="center"/>
          </w:tcPr>
          <w:p w14:paraId="7FFD3C55">
            <w:pPr>
              <w:adjustRightInd w:val="0"/>
              <w:snapToGrid w:val="0"/>
              <w:contextualSpacing/>
              <w:jc w:val="center"/>
              <w:rPr>
                <w:rFonts w:ascii="宋体" w:hAnsi="宋体" w:cs="仿宋_GB2312"/>
                <w:color w:val="auto"/>
                <w:sz w:val="24"/>
                <w:highlight w:val="none"/>
              </w:rPr>
            </w:pPr>
            <w:r>
              <w:rPr>
                <w:rFonts w:hint="eastAsia" w:ascii="宋体" w:hAnsi="宋体" w:cs="仿宋_GB2312"/>
                <w:color w:val="auto"/>
                <w:sz w:val="24"/>
                <w:highlight w:val="none"/>
              </w:rPr>
              <w:t>1</w:t>
            </w:r>
          </w:p>
        </w:tc>
        <w:tc>
          <w:tcPr>
            <w:tcW w:w="423" w:type="pct"/>
            <w:tcBorders>
              <w:top w:val="single" w:color="auto" w:sz="4" w:space="0"/>
              <w:left w:val="single" w:color="auto" w:sz="4" w:space="0"/>
              <w:bottom w:val="single" w:color="auto" w:sz="4" w:space="0"/>
              <w:right w:val="single" w:color="auto" w:sz="4" w:space="0"/>
            </w:tcBorders>
            <w:vAlign w:val="center"/>
          </w:tcPr>
          <w:p w14:paraId="183C6962">
            <w:pPr>
              <w:adjustRightInd w:val="0"/>
              <w:snapToGrid w:val="0"/>
              <w:contextualSpacing/>
              <w:jc w:val="center"/>
              <w:rPr>
                <w:rFonts w:ascii="宋体" w:hAnsi="宋体" w:cs="仿宋_GB2312"/>
                <w:color w:val="auto"/>
                <w:sz w:val="24"/>
                <w:highlight w:val="none"/>
              </w:rPr>
            </w:pPr>
            <w:r>
              <w:rPr>
                <w:rFonts w:hint="eastAsia" w:ascii="宋体" w:hAnsi="宋体" w:cs="仿宋_GB2312"/>
                <w:color w:val="auto"/>
                <w:sz w:val="24"/>
                <w:highlight w:val="none"/>
              </w:rPr>
              <w:t>项</w:t>
            </w:r>
          </w:p>
        </w:tc>
        <w:tc>
          <w:tcPr>
            <w:tcW w:w="1100" w:type="pct"/>
            <w:tcBorders>
              <w:top w:val="single" w:color="auto" w:sz="4" w:space="0"/>
              <w:left w:val="single" w:color="auto" w:sz="4" w:space="0"/>
              <w:bottom w:val="single" w:color="auto" w:sz="4" w:space="0"/>
              <w:right w:val="single" w:color="auto" w:sz="4" w:space="0"/>
            </w:tcBorders>
            <w:vAlign w:val="center"/>
          </w:tcPr>
          <w:p w14:paraId="05EEAF7A">
            <w:pPr>
              <w:adjustRightInd w:val="0"/>
              <w:snapToGrid w:val="0"/>
              <w:contextualSpacing/>
              <w:jc w:val="center"/>
              <w:rPr>
                <w:rFonts w:ascii="宋体" w:hAnsi="宋体" w:cs="仿宋_GB2312"/>
                <w:color w:val="auto"/>
                <w:sz w:val="24"/>
                <w:highlight w:val="none"/>
              </w:rPr>
            </w:pPr>
          </w:p>
        </w:tc>
        <w:tc>
          <w:tcPr>
            <w:tcW w:w="806" w:type="pct"/>
            <w:tcBorders>
              <w:top w:val="single" w:color="auto" w:sz="4" w:space="0"/>
              <w:left w:val="single" w:color="auto" w:sz="4" w:space="0"/>
              <w:bottom w:val="single" w:color="auto" w:sz="4" w:space="0"/>
              <w:right w:val="single" w:color="auto" w:sz="4" w:space="0"/>
            </w:tcBorders>
            <w:vAlign w:val="center"/>
          </w:tcPr>
          <w:p w14:paraId="77AD8907">
            <w:pPr>
              <w:adjustRightInd w:val="0"/>
              <w:snapToGrid w:val="0"/>
              <w:contextualSpacing/>
              <w:jc w:val="center"/>
              <w:rPr>
                <w:rFonts w:ascii="宋体" w:hAnsi="宋体" w:cs="仿宋_GB2312"/>
                <w:color w:val="auto"/>
                <w:sz w:val="24"/>
                <w:highlight w:val="none"/>
              </w:rPr>
            </w:pPr>
          </w:p>
        </w:tc>
      </w:tr>
    </w:tbl>
    <w:p w14:paraId="0700BCBF">
      <w:pPr>
        <w:spacing w:line="360" w:lineRule="auto"/>
        <w:contextualSpacing/>
        <w:jc w:val="left"/>
        <w:rPr>
          <w:rFonts w:ascii="宋体" w:hAnsi="宋体" w:cs="仿宋_GB2312"/>
          <w:color w:val="auto"/>
          <w:sz w:val="24"/>
          <w:highlight w:val="none"/>
        </w:rPr>
      </w:pPr>
      <w:r>
        <w:rPr>
          <w:rFonts w:hint="eastAsia" w:ascii="宋体" w:hAnsi="宋体" w:cs="仿宋_GB2312"/>
          <w:color w:val="auto"/>
          <w:sz w:val="24"/>
          <w:highlight w:val="none"/>
        </w:rPr>
        <w:t xml:space="preserve">注: </w:t>
      </w:r>
    </w:p>
    <w:p w14:paraId="74407342">
      <w:pPr>
        <w:spacing w:line="360" w:lineRule="auto"/>
        <w:ind w:firstLine="480" w:firstLineChars="200"/>
        <w:contextualSpacing/>
        <w:jc w:val="left"/>
        <w:rPr>
          <w:rFonts w:ascii="宋体" w:hAnsi="宋体" w:cs="仿宋_GB2312"/>
          <w:color w:val="auto"/>
          <w:sz w:val="24"/>
          <w:highlight w:val="none"/>
        </w:rPr>
      </w:pPr>
      <w:r>
        <w:rPr>
          <w:rFonts w:hint="eastAsia" w:ascii="宋体" w:hAnsi="宋体" w:cs="仿宋_GB2312"/>
          <w:color w:val="auto"/>
          <w:sz w:val="24"/>
          <w:highlight w:val="none"/>
        </w:rPr>
        <w:t>1.供应商的报价表必须加盖供应商公章并由法定代表人或者委托代理人签字，</w:t>
      </w:r>
      <w:r>
        <w:rPr>
          <w:rFonts w:hint="eastAsia" w:ascii="宋体" w:hAnsi="宋体" w:cs="仿宋_GB2312"/>
          <w:b/>
          <w:color w:val="auto"/>
          <w:sz w:val="24"/>
          <w:highlight w:val="none"/>
        </w:rPr>
        <w:t>否则其响应文件按无效响应处理</w:t>
      </w:r>
      <w:r>
        <w:rPr>
          <w:rFonts w:hint="eastAsia" w:ascii="宋体" w:hAnsi="宋体" w:cs="仿宋_GB2312"/>
          <w:color w:val="auto"/>
          <w:sz w:val="24"/>
          <w:highlight w:val="none"/>
        </w:rPr>
        <w:t>。</w:t>
      </w:r>
    </w:p>
    <w:p w14:paraId="5B6CC2A2">
      <w:pPr>
        <w:spacing w:line="360" w:lineRule="auto"/>
        <w:ind w:firstLine="480" w:firstLineChars="200"/>
        <w:contextualSpacing/>
        <w:jc w:val="left"/>
        <w:rPr>
          <w:rFonts w:ascii="宋体" w:hAnsi="宋体" w:cs="仿宋_GB2312"/>
          <w:b/>
          <w:color w:val="auto"/>
          <w:sz w:val="24"/>
          <w:highlight w:val="none"/>
        </w:rPr>
      </w:pPr>
      <w:r>
        <w:rPr>
          <w:rFonts w:hint="eastAsia" w:ascii="宋体" w:hAnsi="宋体" w:cs="仿宋_GB2312"/>
          <w:bCs/>
          <w:color w:val="auto"/>
          <w:sz w:val="24"/>
          <w:highlight w:val="none"/>
        </w:rPr>
        <w:t>2.</w:t>
      </w:r>
      <w:r>
        <w:rPr>
          <w:rFonts w:hint="eastAsia" w:ascii="宋体" w:hAnsi="宋体" w:cs="仿宋_GB2312"/>
          <w:color w:val="auto"/>
          <w:sz w:val="24"/>
          <w:highlight w:val="none"/>
        </w:rPr>
        <w:t>报价一经涂改，应在涂改处加盖供应商公章或者由法定代表人或者委托代理人签字或者盖章</w:t>
      </w:r>
      <w:r>
        <w:rPr>
          <w:rFonts w:hint="eastAsia" w:ascii="宋体" w:hAnsi="宋体" w:cs="仿宋_GB2312"/>
          <w:b/>
          <w:color w:val="auto"/>
          <w:sz w:val="24"/>
          <w:highlight w:val="none"/>
        </w:rPr>
        <w:t>，否则其响应文件按无效响应处理。</w:t>
      </w:r>
    </w:p>
    <w:p w14:paraId="476F947A">
      <w:pPr>
        <w:spacing w:line="360" w:lineRule="auto"/>
        <w:ind w:firstLine="480" w:firstLineChars="200"/>
        <w:contextualSpacing/>
        <w:rPr>
          <w:rFonts w:hint="default" w:ascii="宋体" w:hAnsi="宋体" w:eastAsia="宋体" w:cs="仿宋_GB2312"/>
          <w:color w:val="auto"/>
          <w:sz w:val="24"/>
          <w:highlight w:val="none"/>
          <w:lang w:val="en-US" w:eastAsia="zh-CN"/>
        </w:rPr>
      </w:pPr>
      <w:r>
        <w:rPr>
          <w:rFonts w:hint="eastAsia" w:ascii="宋体" w:hAnsi="宋体" w:cs="仿宋_GB2312"/>
          <w:color w:val="auto"/>
          <w:sz w:val="24"/>
          <w:highlight w:val="none"/>
          <w:lang w:val="en-US" w:eastAsia="zh-CN"/>
        </w:rPr>
        <w:t>3.附计算说明，包括计算方法、取费依据等，以便采购人对供应商报价的合理性作出判断。</w:t>
      </w:r>
    </w:p>
    <w:p w14:paraId="183284F6">
      <w:pPr>
        <w:spacing w:line="360" w:lineRule="auto"/>
        <w:ind w:right="-817" w:rightChars="-389" w:firstLine="2640" w:firstLineChars="1100"/>
        <w:contextualSpacing/>
        <w:rPr>
          <w:rFonts w:ascii="宋体" w:hAnsi="宋体" w:cs="仿宋_GB2312"/>
          <w:color w:val="auto"/>
          <w:sz w:val="24"/>
          <w:highlight w:val="none"/>
        </w:rPr>
      </w:pPr>
    </w:p>
    <w:p w14:paraId="0D2F037E">
      <w:pPr>
        <w:pStyle w:val="5"/>
        <w:overflowPunct w:val="0"/>
        <w:spacing w:line="520" w:lineRule="exact"/>
        <w:ind w:firstLine="0"/>
        <w:jc w:val="center"/>
        <w:rPr>
          <w:color w:val="auto"/>
          <w:sz w:val="24"/>
          <w:highlight w:val="none"/>
        </w:rPr>
      </w:pPr>
      <w:r>
        <w:rPr>
          <w:rFonts w:hint="eastAsia"/>
          <w:color w:val="auto"/>
          <w:sz w:val="24"/>
          <w:highlight w:val="none"/>
        </w:rPr>
        <w:t>供应商名称：</w:t>
      </w:r>
      <w:r>
        <w:rPr>
          <w:rFonts w:hint="eastAsia"/>
          <w:color w:val="auto"/>
          <w:sz w:val="24"/>
          <w:highlight w:val="none"/>
          <w:u w:val="single"/>
        </w:rPr>
        <w:t xml:space="preserve">                         </w:t>
      </w:r>
      <w:r>
        <w:rPr>
          <w:rFonts w:hint="eastAsia"/>
          <w:color w:val="auto"/>
          <w:sz w:val="24"/>
          <w:highlight w:val="none"/>
        </w:rPr>
        <w:t>（盖单位公章）</w:t>
      </w:r>
    </w:p>
    <w:p w14:paraId="71A2BDED">
      <w:pPr>
        <w:pStyle w:val="5"/>
        <w:overflowPunct w:val="0"/>
        <w:spacing w:line="520" w:lineRule="exact"/>
        <w:ind w:firstLine="1478" w:firstLineChars="616"/>
        <w:rPr>
          <w:color w:val="auto"/>
          <w:sz w:val="24"/>
          <w:highlight w:val="none"/>
        </w:rPr>
      </w:pPr>
      <w:r>
        <w:rPr>
          <w:rFonts w:hint="eastAsia"/>
          <w:color w:val="auto"/>
          <w:sz w:val="24"/>
          <w:highlight w:val="none"/>
        </w:rPr>
        <w:t>法定代表人或其委托代理人：</w:t>
      </w:r>
      <w:r>
        <w:rPr>
          <w:rFonts w:hint="eastAsia"/>
          <w:color w:val="auto"/>
          <w:sz w:val="24"/>
          <w:highlight w:val="none"/>
          <w:u w:val="single"/>
        </w:rPr>
        <w:t xml:space="preserve">           </w:t>
      </w:r>
      <w:r>
        <w:rPr>
          <w:rFonts w:hint="eastAsia"/>
          <w:color w:val="auto"/>
          <w:sz w:val="24"/>
          <w:highlight w:val="none"/>
        </w:rPr>
        <w:t>（签字）</w:t>
      </w:r>
    </w:p>
    <w:p w14:paraId="69D61C53">
      <w:pPr>
        <w:pStyle w:val="5"/>
        <w:overflowPunct w:val="0"/>
        <w:spacing w:line="520" w:lineRule="exact"/>
        <w:ind w:firstLine="3998" w:firstLineChars="1666"/>
        <w:rPr>
          <w:color w:val="auto"/>
          <w:sz w:val="24"/>
          <w:highlight w:val="none"/>
        </w:rPr>
      </w:pPr>
      <w:r>
        <w:rPr>
          <w:rFonts w:hint="eastAsia"/>
          <w:color w:val="auto"/>
          <w:sz w:val="24"/>
          <w:highlight w:val="none"/>
          <w:u w:val="single"/>
        </w:rPr>
        <w:t xml:space="preserve">      </w:t>
      </w:r>
      <w:r>
        <w:rPr>
          <w:rFonts w:hint="eastAsia"/>
          <w:color w:val="auto"/>
          <w:sz w:val="24"/>
          <w:highlight w:val="none"/>
        </w:rPr>
        <w:t>年</w:t>
      </w:r>
      <w:r>
        <w:rPr>
          <w:rFonts w:hint="eastAsia"/>
          <w:color w:val="auto"/>
          <w:sz w:val="24"/>
          <w:highlight w:val="none"/>
          <w:u w:val="single"/>
        </w:rPr>
        <w:t xml:space="preserve">    </w:t>
      </w:r>
      <w:r>
        <w:rPr>
          <w:rFonts w:hint="eastAsia"/>
          <w:color w:val="auto"/>
          <w:sz w:val="24"/>
          <w:highlight w:val="none"/>
        </w:rPr>
        <w:t>月</w:t>
      </w:r>
      <w:r>
        <w:rPr>
          <w:rFonts w:hint="eastAsia"/>
          <w:color w:val="auto"/>
          <w:sz w:val="24"/>
          <w:highlight w:val="none"/>
          <w:u w:val="single"/>
        </w:rPr>
        <w:t xml:space="preserve">    </w:t>
      </w:r>
      <w:r>
        <w:rPr>
          <w:rFonts w:hint="eastAsia"/>
          <w:color w:val="auto"/>
          <w:sz w:val="24"/>
          <w:highlight w:val="none"/>
        </w:rPr>
        <w:t>日</w:t>
      </w:r>
    </w:p>
    <w:bookmarkEnd w:id="228"/>
    <w:p w14:paraId="663FD668">
      <w:pPr>
        <w:spacing w:line="360" w:lineRule="auto"/>
        <w:ind w:firstLine="643" w:firstLineChars="200"/>
        <w:rPr>
          <w:snapToGrid w:val="0"/>
          <w:color w:val="auto"/>
          <w:kern w:val="0"/>
          <w:szCs w:val="21"/>
          <w:highlight w:val="none"/>
        </w:rPr>
      </w:pPr>
      <w:r>
        <w:rPr>
          <w:rFonts w:hint="eastAsia" w:ascii="宋体" w:hAnsi="Courier New"/>
          <w:b/>
          <w:color w:val="auto"/>
          <w:sz w:val="32"/>
          <w:szCs w:val="32"/>
          <w:highlight w:val="none"/>
        </w:rPr>
        <w:br w:type="page"/>
      </w:r>
    </w:p>
    <w:p w14:paraId="6445273C">
      <w:pPr>
        <w:snapToGrid w:val="0"/>
        <w:spacing w:line="360" w:lineRule="auto"/>
        <w:jc w:val="center"/>
        <w:outlineLvl w:val="1"/>
        <w:rPr>
          <w:rFonts w:ascii="黑体" w:hAnsi="黑体" w:eastAsia="黑体" w:cs="黑体"/>
          <w:color w:val="auto"/>
          <w:sz w:val="36"/>
          <w:szCs w:val="36"/>
          <w:highlight w:val="none"/>
        </w:rPr>
      </w:pPr>
      <w:bookmarkStart w:id="229" w:name="_Toc13328"/>
      <w:bookmarkStart w:id="230" w:name="_Toc31802"/>
      <w:bookmarkStart w:id="231" w:name="_Toc3415"/>
      <w:bookmarkStart w:id="232" w:name="_Toc4639"/>
      <w:bookmarkStart w:id="233" w:name="_Toc9955"/>
      <w:bookmarkStart w:id="234" w:name="_Toc27313"/>
      <w:bookmarkStart w:id="235" w:name="_Toc16610"/>
      <w:bookmarkStart w:id="236" w:name="_Toc1971"/>
      <w:bookmarkStart w:id="237" w:name="_Toc7557"/>
      <w:bookmarkStart w:id="238" w:name="_Toc10739"/>
      <w:bookmarkStart w:id="239" w:name="_Toc28728"/>
      <w:bookmarkStart w:id="240" w:name="_Toc22489"/>
      <w:bookmarkStart w:id="241" w:name="_Toc20739"/>
      <w:bookmarkStart w:id="242" w:name="_Toc15587"/>
      <w:bookmarkStart w:id="243" w:name="_Toc29645"/>
      <w:r>
        <w:rPr>
          <w:rFonts w:hint="eastAsia" w:ascii="黑体" w:hAnsi="黑体" w:eastAsia="黑体" w:cs="黑体"/>
          <w:color w:val="auto"/>
          <w:sz w:val="36"/>
          <w:szCs w:val="36"/>
          <w:highlight w:val="none"/>
          <w:lang w:eastAsia="zh-CN"/>
        </w:rPr>
        <w:t>五</w:t>
      </w:r>
      <w:r>
        <w:rPr>
          <w:rFonts w:hint="eastAsia" w:ascii="黑体" w:hAnsi="黑体" w:eastAsia="黑体" w:cs="黑体"/>
          <w:color w:val="auto"/>
          <w:sz w:val="36"/>
          <w:szCs w:val="36"/>
          <w:highlight w:val="none"/>
        </w:rPr>
        <w:t>、资格审查资料</w:t>
      </w:r>
      <w:bookmarkEnd w:id="229"/>
      <w:bookmarkEnd w:id="230"/>
      <w:bookmarkEnd w:id="231"/>
      <w:bookmarkEnd w:id="232"/>
      <w:bookmarkEnd w:id="233"/>
      <w:bookmarkEnd w:id="234"/>
      <w:bookmarkEnd w:id="235"/>
      <w:bookmarkEnd w:id="236"/>
      <w:bookmarkEnd w:id="237"/>
      <w:bookmarkEnd w:id="238"/>
      <w:bookmarkEnd w:id="239"/>
      <w:bookmarkEnd w:id="240"/>
      <w:bookmarkEnd w:id="241"/>
    </w:p>
    <w:p w14:paraId="4C63EEF3">
      <w:pPr>
        <w:snapToGrid w:val="0"/>
        <w:spacing w:before="120" w:beforeLines="50" w:after="50"/>
        <w:jc w:val="center"/>
        <w:outlineLvl w:val="2"/>
        <w:rPr>
          <w:rFonts w:ascii="宋体" w:hAnsi="宋体"/>
          <w:b/>
          <w:color w:val="auto"/>
          <w:sz w:val="24"/>
          <w:highlight w:val="none"/>
        </w:rPr>
      </w:pPr>
      <w:r>
        <w:rPr>
          <w:rFonts w:hint="eastAsia" w:ascii="宋体" w:hAnsi="宋体"/>
          <w:b/>
          <w:color w:val="auto"/>
          <w:sz w:val="24"/>
          <w:highlight w:val="none"/>
        </w:rPr>
        <w:t>（一）供应商</w:t>
      </w:r>
      <w:bookmarkEnd w:id="242"/>
      <w:bookmarkEnd w:id="243"/>
      <w:r>
        <w:rPr>
          <w:rFonts w:hint="eastAsia" w:ascii="宋体" w:hAnsi="宋体"/>
          <w:b/>
          <w:color w:val="auto"/>
          <w:sz w:val="24"/>
          <w:highlight w:val="none"/>
        </w:rPr>
        <w:t>基本情况表</w:t>
      </w:r>
    </w:p>
    <w:tbl>
      <w:tblPr>
        <w:tblStyle w:val="24"/>
        <w:tblW w:w="0" w:type="auto"/>
        <w:tblInd w:w="17"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28" w:type="dxa"/>
          <w:left w:w="28" w:type="dxa"/>
          <w:bottom w:w="28" w:type="dxa"/>
          <w:right w:w="28" w:type="dxa"/>
        </w:tblCellMar>
      </w:tblPr>
      <w:tblGrid>
        <w:gridCol w:w="2079"/>
        <w:gridCol w:w="1058"/>
        <w:gridCol w:w="1199"/>
        <w:gridCol w:w="901"/>
        <w:gridCol w:w="334"/>
        <w:gridCol w:w="262"/>
        <w:gridCol w:w="75"/>
        <w:gridCol w:w="553"/>
        <w:gridCol w:w="695"/>
        <w:gridCol w:w="63"/>
        <w:gridCol w:w="329"/>
        <w:gridCol w:w="1292"/>
      </w:tblGrid>
      <w:tr w14:paraId="1642CE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329" w:hRule="atLeast"/>
        </w:trPr>
        <w:tc>
          <w:tcPr>
            <w:tcW w:w="2079" w:type="dxa"/>
            <w:vAlign w:val="center"/>
          </w:tcPr>
          <w:p w14:paraId="20B85FF3">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供应商名称</w:t>
            </w:r>
          </w:p>
        </w:tc>
        <w:tc>
          <w:tcPr>
            <w:tcW w:w="6761" w:type="dxa"/>
            <w:gridSpan w:val="11"/>
            <w:vAlign w:val="center"/>
          </w:tcPr>
          <w:p w14:paraId="77F2A00D">
            <w:pPr>
              <w:autoSpaceDE w:val="0"/>
              <w:autoSpaceDN w:val="0"/>
              <w:jc w:val="center"/>
              <w:rPr>
                <w:color w:val="auto"/>
                <w:kern w:val="0"/>
                <w:sz w:val="24"/>
                <w:highlight w:val="none"/>
              </w:rPr>
            </w:pPr>
          </w:p>
        </w:tc>
      </w:tr>
      <w:tr w14:paraId="2D2496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377" w:hRule="atLeast"/>
        </w:trPr>
        <w:tc>
          <w:tcPr>
            <w:tcW w:w="2079" w:type="dxa"/>
            <w:vAlign w:val="center"/>
          </w:tcPr>
          <w:p w14:paraId="1BD90EB8">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注册地址</w:t>
            </w:r>
          </w:p>
        </w:tc>
        <w:tc>
          <w:tcPr>
            <w:tcW w:w="3754" w:type="dxa"/>
            <w:gridSpan w:val="5"/>
            <w:vAlign w:val="center"/>
          </w:tcPr>
          <w:p w14:paraId="3D32AA0B">
            <w:pPr>
              <w:autoSpaceDE w:val="0"/>
              <w:autoSpaceDN w:val="0"/>
              <w:jc w:val="center"/>
              <w:rPr>
                <w:color w:val="auto"/>
                <w:kern w:val="0"/>
                <w:sz w:val="24"/>
                <w:highlight w:val="none"/>
              </w:rPr>
            </w:pPr>
          </w:p>
        </w:tc>
        <w:tc>
          <w:tcPr>
            <w:tcW w:w="1386" w:type="dxa"/>
            <w:gridSpan w:val="4"/>
            <w:vAlign w:val="center"/>
          </w:tcPr>
          <w:p w14:paraId="397EF171">
            <w:pPr>
              <w:autoSpaceDE w:val="0"/>
              <w:autoSpaceDN w:val="0"/>
              <w:jc w:val="center"/>
              <w:rPr>
                <w:color w:val="auto"/>
                <w:kern w:val="0"/>
                <w:sz w:val="24"/>
                <w:highlight w:val="none"/>
              </w:rPr>
            </w:pPr>
            <w:r>
              <w:rPr>
                <w:rFonts w:hint="eastAsia" w:ascii="宋体" w:cs="宋体"/>
                <w:color w:val="auto"/>
                <w:kern w:val="0"/>
                <w:sz w:val="24"/>
                <w:highlight w:val="none"/>
              </w:rPr>
              <w:t>邮政编码</w:t>
            </w:r>
          </w:p>
        </w:tc>
        <w:tc>
          <w:tcPr>
            <w:tcW w:w="1621" w:type="dxa"/>
            <w:gridSpan w:val="2"/>
            <w:vAlign w:val="center"/>
          </w:tcPr>
          <w:p w14:paraId="03581083">
            <w:pPr>
              <w:autoSpaceDE w:val="0"/>
              <w:autoSpaceDN w:val="0"/>
              <w:jc w:val="center"/>
              <w:rPr>
                <w:color w:val="auto"/>
                <w:kern w:val="0"/>
                <w:sz w:val="24"/>
                <w:highlight w:val="none"/>
              </w:rPr>
            </w:pPr>
          </w:p>
        </w:tc>
      </w:tr>
      <w:tr w14:paraId="7B5FB3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323" w:hRule="atLeast"/>
        </w:trPr>
        <w:tc>
          <w:tcPr>
            <w:tcW w:w="2079" w:type="dxa"/>
            <w:vMerge w:val="restart"/>
            <w:vAlign w:val="center"/>
          </w:tcPr>
          <w:p w14:paraId="1C4FC5A4">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联系方式</w:t>
            </w:r>
          </w:p>
        </w:tc>
        <w:tc>
          <w:tcPr>
            <w:tcW w:w="1058" w:type="dxa"/>
            <w:vAlign w:val="center"/>
          </w:tcPr>
          <w:p w14:paraId="4A219460">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联系人</w:t>
            </w:r>
          </w:p>
        </w:tc>
        <w:tc>
          <w:tcPr>
            <w:tcW w:w="2100" w:type="dxa"/>
            <w:gridSpan w:val="2"/>
            <w:vAlign w:val="center"/>
          </w:tcPr>
          <w:p w14:paraId="5B9812EF">
            <w:pPr>
              <w:autoSpaceDE w:val="0"/>
              <w:autoSpaceDN w:val="0"/>
              <w:jc w:val="center"/>
              <w:rPr>
                <w:color w:val="auto"/>
                <w:kern w:val="0"/>
                <w:sz w:val="24"/>
                <w:highlight w:val="none"/>
              </w:rPr>
            </w:pPr>
          </w:p>
        </w:tc>
        <w:tc>
          <w:tcPr>
            <w:tcW w:w="1224" w:type="dxa"/>
            <w:gridSpan w:val="4"/>
            <w:vAlign w:val="center"/>
          </w:tcPr>
          <w:p w14:paraId="13D48FF5">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电话</w:t>
            </w:r>
          </w:p>
        </w:tc>
        <w:tc>
          <w:tcPr>
            <w:tcW w:w="2379" w:type="dxa"/>
            <w:gridSpan w:val="4"/>
            <w:vAlign w:val="center"/>
          </w:tcPr>
          <w:p w14:paraId="3508530A">
            <w:pPr>
              <w:autoSpaceDE w:val="0"/>
              <w:autoSpaceDN w:val="0"/>
              <w:jc w:val="center"/>
              <w:rPr>
                <w:color w:val="auto"/>
                <w:kern w:val="0"/>
                <w:sz w:val="24"/>
                <w:highlight w:val="none"/>
              </w:rPr>
            </w:pPr>
          </w:p>
        </w:tc>
      </w:tr>
      <w:tr w14:paraId="0BF76F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370" w:hRule="atLeast"/>
        </w:trPr>
        <w:tc>
          <w:tcPr>
            <w:tcW w:w="2079" w:type="dxa"/>
            <w:vMerge w:val="continue"/>
            <w:vAlign w:val="center"/>
          </w:tcPr>
          <w:p w14:paraId="17EEF868">
            <w:pPr>
              <w:autoSpaceDE w:val="0"/>
              <w:autoSpaceDN w:val="0"/>
              <w:jc w:val="center"/>
              <w:rPr>
                <w:rFonts w:ascii="宋体" w:cs="宋体"/>
                <w:color w:val="auto"/>
                <w:kern w:val="0"/>
                <w:sz w:val="24"/>
                <w:highlight w:val="none"/>
              </w:rPr>
            </w:pPr>
          </w:p>
        </w:tc>
        <w:tc>
          <w:tcPr>
            <w:tcW w:w="1058" w:type="dxa"/>
            <w:vAlign w:val="center"/>
          </w:tcPr>
          <w:p w14:paraId="4F72620B">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传真</w:t>
            </w:r>
          </w:p>
        </w:tc>
        <w:tc>
          <w:tcPr>
            <w:tcW w:w="2100" w:type="dxa"/>
            <w:gridSpan w:val="2"/>
            <w:vAlign w:val="center"/>
          </w:tcPr>
          <w:p w14:paraId="3CE52FA1">
            <w:pPr>
              <w:autoSpaceDE w:val="0"/>
              <w:autoSpaceDN w:val="0"/>
              <w:jc w:val="center"/>
              <w:rPr>
                <w:color w:val="auto"/>
                <w:kern w:val="0"/>
                <w:sz w:val="24"/>
                <w:highlight w:val="none"/>
              </w:rPr>
            </w:pPr>
          </w:p>
        </w:tc>
        <w:tc>
          <w:tcPr>
            <w:tcW w:w="1224" w:type="dxa"/>
            <w:gridSpan w:val="4"/>
            <w:vAlign w:val="center"/>
          </w:tcPr>
          <w:p w14:paraId="531E6A7D">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电子邮箱</w:t>
            </w:r>
          </w:p>
        </w:tc>
        <w:tc>
          <w:tcPr>
            <w:tcW w:w="2379" w:type="dxa"/>
            <w:gridSpan w:val="4"/>
            <w:vAlign w:val="center"/>
          </w:tcPr>
          <w:p w14:paraId="263700A2">
            <w:pPr>
              <w:autoSpaceDE w:val="0"/>
              <w:autoSpaceDN w:val="0"/>
              <w:jc w:val="center"/>
              <w:rPr>
                <w:color w:val="auto"/>
                <w:kern w:val="0"/>
                <w:sz w:val="24"/>
                <w:highlight w:val="none"/>
              </w:rPr>
            </w:pPr>
          </w:p>
        </w:tc>
      </w:tr>
      <w:tr w14:paraId="6A580C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344" w:hRule="atLeast"/>
        </w:trPr>
        <w:tc>
          <w:tcPr>
            <w:tcW w:w="2079" w:type="dxa"/>
            <w:vAlign w:val="center"/>
          </w:tcPr>
          <w:p w14:paraId="4D564389">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法定代表人</w:t>
            </w:r>
          </w:p>
        </w:tc>
        <w:tc>
          <w:tcPr>
            <w:tcW w:w="1058" w:type="dxa"/>
            <w:vAlign w:val="center"/>
          </w:tcPr>
          <w:p w14:paraId="759DEA0E">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姓名</w:t>
            </w:r>
          </w:p>
        </w:tc>
        <w:tc>
          <w:tcPr>
            <w:tcW w:w="1199" w:type="dxa"/>
            <w:vAlign w:val="center"/>
          </w:tcPr>
          <w:p w14:paraId="5CAED6D2">
            <w:pPr>
              <w:autoSpaceDE w:val="0"/>
              <w:autoSpaceDN w:val="0"/>
              <w:jc w:val="center"/>
              <w:rPr>
                <w:rFonts w:ascii="宋体" w:cs="宋体"/>
                <w:color w:val="auto"/>
                <w:kern w:val="0"/>
                <w:sz w:val="24"/>
                <w:highlight w:val="none"/>
              </w:rPr>
            </w:pPr>
          </w:p>
        </w:tc>
        <w:tc>
          <w:tcPr>
            <w:tcW w:w="901" w:type="dxa"/>
            <w:vAlign w:val="center"/>
          </w:tcPr>
          <w:p w14:paraId="4CCC9192">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职务</w:t>
            </w:r>
          </w:p>
        </w:tc>
        <w:tc>
          <w:tcPr>
            <w:tcW w:w="1224" w:type="dxa"/>
            <w:gridSpan w:val="4"/>
            <w:vAlign w:val="center"/>
          </w:tcPr>
          <w:p w14:paraId="1AB06EB2">
            <w:pPr>
              <w:autoSpaceDE w:val="0"/>
              <w:autoSpaceDN w:val="0"/>
              <w:jc w:val="center"/>
              <w:rPr>
                <w:color w:val="auto"/>
                <w:kern w:val="0"/>
                <w:sz w:val="24"/>
                <w:highlight w:val="none"/>
              </w:rPr>
            </w:pPr>
          </w:p>
        </w:tc>
        <w:tc>
          <w:tcPr>
            <w:tcW w:w="695" w:type="dxa"/>
            <w:vAlign w:val="center"/>
          </w:tcPr>
          <w:p w14:paraId="0E57FB42">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电话</w:t>
            </w:r>
          </w:p>
        </w:tc>
        <w:tc>
          <w:tcPr>
            <w:tcW w:w="1684" w:type="dxa"/>
            <w:gridSpan w:val="3"/>
            <w:vAlign w:val="center"/>
          </w:tcPr>
          <w:p w14:paraId="5B942D62">
            <w:pPr>
              <w:autoSpaceDE w:val="0"/>
              <w:autoSpaceDN w:val="0"/>
              <w:jc w:val="center"/>
              <w:rPr>
                <w:color w:val="auto"/>
                <w:kern w:val="0"/>
                <w:sz w:val="24"/>
                <w:highlight w:val="none"/>
              </w:rPr>
            </w:pPr>
          </w:p>
        </w:tc>
      </w:tr>
      <w:tr w14:paraId="17FB29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350" w:hRule="atLeast"/>
        </w:trPr>
        <w:tc>
          <w:tcPr>
            <w:tcW w:w="2079" w:type="dxa"/>
            <w:vAlign w:val="center"/>
          </w:tcPr>
          <w:p w14:paraId="298521F5">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技术负责人</w:t>
            </w:r>
          </w:p>
        </w:tc>
        <w:tc>
          <w:tcPr>
            <w:tcW w:w="1058" w:type="dxa"/>
            <w:vAlign w:val="center"/>
          </w:tcPr>
          <w:p w14:paraId="2713ECEF">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姓名</w:t>
            </w:r>
          </w:p>
        </w:tc>
        <w:tc>
          <w:tcPr>
            <w:tcW w:w="1199" w:type="dxa"/>
            <w:vAlign w:val="center"/>
          </w:tcPr>
          <w:p w14:paraId="3861E9A3">
            <w:pPr>
              <w:autoSpaceDE w:val="0"/>
              <w:autoSpaceDN w:val="0"/>
              <w:jc w:val="center"/>
              <w:rPr>
                <w:rFonts w:ascii="宋体" w:cs="宋体"/>
                <w:color w:val="auto"/>
                <w:kern w:val="0"/>
                <w:sz w:val="24"/>
                <w:highlight w:val="none"/>
              </w:rPr>
            </w:pPr>
          </w:p>
        </w:tc>
        <w:tc>
          <w:tcPr>
            <w:tcW w:w="901" w:type="dxa"/>
            <w:vAlign w:val="center"/>
          </w:tcPr>
          <w:p w14:paraId="098666BC">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职称</w:t>
            </w:r>
          </w:p>
        </w:tc>
        <w:tc>
          <w:tcPr>
            <w:tcW w:w="1224" w:type="dxa"/>
            <w:gridSpan w:val="4"/>
            <w:vAlign w:val="center"/>
          </w:tcPr>
          <w:p w14:paraId="19144401">
            <w:pPr>
              <w:autoSpaceDE w:val="0"/>
              <w:autoSpaceDN w:val="0"/>
              <w:jc w:val="center"/>
              <w:rPr>
                <w:color w:val="auto"/>
                <w:kern w:val="0"/>
                <w:sz w:val="24"/>
                <w:highlight w:val="none"/>
              </w:rPr>
            </w:pPr>
          </w:p>
        </w:tc>
        <w:tc>
          <w:tcPr>
            <w:tcW w:w="695" w:type="dxa"/>
            <w:vAlign w:val="center"/>
          </w:tcPr>
          <w:p w14:paraId="36572BA5">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电话</w:t>
            </w:r>
          </w:p>
        </w:tc>
        <w:tc>
          <w:tcPr>
            <w:tcW w:w="1684" w:type="dxa"/>
            <w:gridSpan w:val="3"/>
            <w:vAlign w:val="center"/>
          </w:tcPr>
          <w:p w14:paraId="3B51CCE5">
            <w:pPr>
              <w:autoSpaceDE w:val="0"/>
              <w:autoSpaceDN w:val="0"/>
              <w:jc w:val="center"/>
              <w:rPr>
                <w:color w:val="auto"/>
                <w:kern w:val="0"/>
                <w:sz w:val="24"/>
                <w:highlight w:val="none"/>
              </w:rPr>
            </w:pPr>
          </w:p>
        </w:tc>
      </w:tr>
      <w:tr w14:paraId="61DBED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344" w:hRule="atLeast"/>
        </w:trPr>
        <w:tc>
          <w:tcPr>
            <w:tcW w:w="2079" w:type="dxa"/>
            <w:vAlign w:val="center"/>
          </w:tcPr>
          <w:p w14:paraId="67103309">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资质证书</w:t>
            </w:r>
          </w:p>
        </w:tc>
        <w:tc>
          <w:tcPr>
            <w:tcW w:w="6761" w:type="dxa"/>
            <w:gridSpan w:val="11"/>
            <w:vAlign w:val="center"/>
          </w:tcPr>
          <w:p w14:paraId="59ADA08E">
            <w:pPr>
              <w:autoSpaceDE w:val="0"/>
              <w:autoSpaceDN w:val="0"/>
              <w:rPr>
                <w:color w:val="auto"/>
                <w:kern w:val="0"/>
                <w:sz w:val="24"/>
                <w:highlight w:val="none"/>
              </w:rPr>
            </w:pPr>
            <w:r>
              <w:rPr>
                <w:rFonts w:hint="eastAsia"/>
                <w:color w:val="auto"/>
                <w:kern w:val="0"/>
                <w:sz w:val="24"/>
                <w:highlight w:val="none"/>
              </w:rPr>
              <w:t>类型：           等级：           证书号：</w:t>
            </w:r>
          </w:p>
        </w:tc>
      </w:tr>
      <w:tr w14:paraId="22AEAD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344" w:hRule="atLeast"/>
        </w:trPr>
        <w:tc>
          <w:tcPr>
            <w:tcW w:w="2079" w:type="dxa"/>
            <w:vAlign w:val="center"/>
          </w:tcPr>
          <w:p w14:paraId="77881076">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质量管理体系证书（如有）</w:t>
            </w:r>
          </w:p>
        </w:tc>
        <w:tc>
          <w:tcPr>
            <w:tcW w:w="6761" w:type="dxa"/>
            <w:gridSpan w:val="11"/>
            <w:vAlign w:val="center"/>
          </w:tcPr>
          <w:p w14:paraId="1D128E21">
            <w:pPr>
              <w:autoSpaceDE w:val="0"/>
              <w:autoSpaceDN w:val="0"/>
              <w:rPr>
                <w:color w:val="auto"/>
                <w:kern w:val="0"/>
                <w:sz w:val="24"/>
                <w:highlight w:val="none"/>
              </w:rPr>
            </w:pPr>
            <w:r>
              <w:rPr>
                <w:rFonts w:hint="eastAsia"/>
                <w:color w:val="auto"/>
                <w:kern w:val="0"/>
                <w:sz w:val="24"/>
                <w:highlight w:val="none"/>
              </w:rPr>
              <w:t>类型：           等级：           证书号：</w:t>
            </w:r>
          </w:p>
        </w:tc>
      </w:tr>
      <w:tr w14:paraId="204DF6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344" w:hRule="atLeast"/>
        </w:trPr>
        <w:tc>
          <w:tcPr>
            <w:tcW w:w="2079" w:type="dxa"/>
            <w:vAlign w:val="center"/>
          </w:tcPr>
          <w:p w14:paraId="24F6667A">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营业执照号</w:t>
            </w:r>
          </w:p>
        </w:tc>
        <w:tc>
          <w:tcPr>
            <w:tcW w:w="3492" w:type="dxa"/>
            <w:gridSpan w:val="4"/>
            <w:vAlign w:val="center"/>
          </w:tcPr>
          <w:p w14:paraId="5F8A1368">
            <w:pPr>
              <w:autoSpaceDE w:val="0"/>
              <w:autoSpaceDN w:val="0"/>
              <w:jc w:val="center"/>
              <w:rPr>
                <w:color w:val="auto"/>
                <w:kern w:val="0"/>
                <w:sz w:val="24"/>
                <w:highlight w:val="none"/>
              </w:rPr>
            </w:pPr>
          </w:p>
        </w:tc>
        <w:tc>
          <w:tcPr>
            <w:tcW w:w="1977" w:type="dxa"/>
            <w:gridSpan w:val="6"/>
            <w:vAlign w:val="center"/>
          </w:tcPr>
          <w:p w14:paraId="5A96849E">
            <w:pPr>
              <w:autoSpaceDE w:val="0"/>
              <w:autoSpaceDN w:val="0"/>
              <w:jc w:val="center"/>
              <w:rPr>
                <w:color w:val="auto"/>
                <w:kern w:val="0"/>
                <w:sz w:val="24"/>
                <w:highlight w:val="none"/>
              </w:rPr>
            </w:pPr>
            <w:r>
              <w:rPr>
                <w:rFonts w:hint="eastAsia" w:ascii="宋体" w:cs="宋体"/>
                <w:color w:val="auto"/>
                <w:kern w:val="0"/>
                <w:sz w:val="24"/>
                <w:highlight w:val="none"/>
              </w:rPr>
              <w:t>员工总人数</w:t>
            </w:r>
          </w:p>
        </w:tc>
        <w:tc>
          <w:tcPr>
            <w:tcW w:w="1292" w:type="dxa"/>
            <w:vAlign w:val="center"/>
          </w:tcPr>
          <w:p w14:paraId="3CE63332">
            <w:pPr>
              <w:autoSpaceDE w:val="0"/>
              <w:autoSpaceDN w:val="0"/>
              <w:jc w:val="center"/>
              <w:rPr>
                <w:color w:val="auto"/>
                <w:kern w:val="0"/>
                <w:sz w:val="24"/>
                <w:highlight w:val="none"/>
              </w:rPr>
            </w:pPr>
          </w:p>
        </w:tc>
      </w:tr>
      <w:tr w14:paraId="649483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90" w:hRule="atLeast"/>
        </w:trPr>
        <w:tc>
          <w:tcPr>
            <w:tcW w:w="2079" w:type="dxa"/>
            <w:vAlign w:val="center"/>
          </w:tcPr>
          <w:p w14:paraId="02FB2C7D">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注册资本</w:t>
            </w:r>
          </w:p>
        </w:tc>
        <w:tc>
          <w:tcPr>
            <w:tcW w:w="3492" w:type="dxa"/>
            <w:gridSpan w:val="4"/>
            <w:vAlign w:val="center"/>
          </w:tcPr>
          <w:p w14:paraId="1D9AA782">
            <w:pPr>
              <w:autoSpaceDE w:val="0"/>
              <w:autoSpaceDN w:val="0"/>
              <w:jc w:val="center"/>
              <w:rPr>
                <w:color w:val="auto"/>
                <w:kern w:val="0"/>
                <w:sz w:val="24"/>
                <w:highlight w:val="none"/>
              </w:rPr>
            </w:pPr>
          </w:p>
        </w:tc>
        <w:tc>
          <w:tcPr>
            <w:tcW w:w="337" w:type="dxa"/>
            <w:gridSpan w:val="2"/>
            <w:vMerge w:val="restart"/>
            <w:vAlign w:val="center"/>
          </w:tcPr>
          <w:p w14:paraId="21C67743">
            <w:pPr>
              <w:autoSpaceDE w:val="0"/>
              <w:autoSpaceDN w:val="0"/>
              <w:jc w:val="center"/>
              <w:rPr>
                <w:color w:val="auto"/>
                <w:kern w:val="0"/>
                <w:sz w:val="24"/>
                <w:highlight w:val="none"/>
              </w:rPr>
            </w:pPr>
            <w:r>
              <w:rPr>
                <w:rFonts w:hint="eastAsia" w:ascii="宋体" w:cs="宋体"/>
                <w:color w:val="auto"/>
                <w:kern w:val="0"/>
                <w:sz w:val="24"/>
                <w:highlight w:val="none"/>
              </w:rPr>
              <w:t>其中</w:t>
            </w:r>
          </w:p>
        </w:tc>
        <w:tc>
          <w:tcPr>
            <w:tcW w:w="1640" w:type="dxa"/>
            <w:gridSpan w:val="4"/>
            <w:vAlign w:val="center"/>
          </w:tcPr>
          <w:p w14:paraId="5D639B0F">
            <w:pPr>
              <w:jc w:val="left"/>
              <w:rPr>
                <w:rFonts w:ascii="宋体" w:cs="宋体"/>
                <w:color w:val="auto"/>
                <w:kern w:val="0"/>
                <w:sz w:val="24"/>
                <w:highlight w:val="none"/>
              </w:rPr>
            </w:pPr>
            <w:r>
              <w:rPr>
                <w:rFonts w:hint="eastAsia" w:ascii="宋体" w:cs="宋体"/>
                <w:color w:val="auto"/>
                <w:kern w:val="0"/>
                <w:sz w:val="24"/>
                <w:highlight w:val="none"/>
              </w:rPr>
              <w:t>高级职称人员</w:t>
            </w:r>
          </w:p>
        </w:tc>
        <w:tc>
          <w:tcPr>
            <w:tcW w:w="1292" w:type="dxa"/>
            <w:vAlign w:val="center"/>
          </w:tcPr>
          <w:p w14:paraId="541F3F6B">
            <w:pPr>
              <w:autoSpaceDE w:val="0"/>
              <w:autoSpaceDN w:val="0"/>
              <w:jc w:val="center"/>
              <w:rPr>
                <w:color w:val="auto"/>
                <w:kern w:val="0"/>
                <w:sz w:val="24"/>
                <w:highlight w:val="none"/>
              </w:rPr>
            </w:pPr>
          </w:p>
        </w:tc>
      </w:tr>
      <w:tr w14:paraId="2E4CE4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344" w:hRule="atLeast"/>
        </w:trPr>
        <w:tc>
          <w:tcPr>
            <w:tcW w:w="2079" w:type="dxa"/>
            <w:vAlign w:val="center"/>
          </w:tcPr>
          <w:p w14:paraId="64534C75">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成立日期</w:t>
            </w:r>
          </w:p>
        </w:tc>
        <w:tc>
          <w:tcPr>
            <w:tcW w:w="3492" w:type="dxa"/>
            <w:gridSpan w:val="4"/>
            <w:vAlign w:val="center"/>
          </w:tcPr>
          <w:p w14:paraId="281CC583">
            <w:pPr>
              <w:autoSpaceDE w:val="0"/>
              <w:autoSpaceDN w:val="0"/>
              <w:jc w:val="center"/>
              <w:rPr>
                <w:rFonts w:ascii="宋体" w:cs="宋体"/>
                <w:color w:val="auto"/>
                <w:kern w:val="0"/>
                <w:sz w:val="24"/>
                <w:highlight w:val="none"/>
              </w:rPr>
            </w:pPr>
          </w:p>
        </w:tc>
        <w:tc>
          <w:tcPr>
            <w:tcW w:w="337" w:type="dxa"/>
            <w:gridSpan w:val="2"/>
            <w:vMerge w:val="continue"/>
            <w:vAlign w:val="center"/>
          </w:tcPr>
          <w:p w14:paraId="50D9CF47">
            <w:pPr>
              <w:autoSpaceDE w:val="0"/>
              <w:autoSpaceDN w:val="0"/>
              <w:jc w:val="center"/>
              <w:rPr>
                <w:color w:val="auto"/>
                <w:kern w:val="0"/>
                <w:sz w:val="24"/>
                <w:highlight w:val="none"/>
              </w:rPr>
            </w:pPr>
          </w:p>
        </w:tc>
        <w:tc>
          <w:tcPr>
            <w:tcW w:w="1640" w:type="dxa"/>
            <w:gridSpan w:val="4"/>
            <w:vAlign w:val="center"/>
          </w:tcPr>
          <w:p w14:paraId="66FD6A59">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中级职称人员</w:t>
            </w:r>
          </w:p>
        </w:tc>
        <w:tc>
          <w:tcPr>
            <w:tcW w:w="1292" w:type="dxa"/>
            <w:vAlign w:val="center"/>
          </w:tcPr>
          <w:p w14:paraId="0932A418">
            <w:pPr>
              <w:autoSpaceDE w:val="0"/>
              <w:autoSpaceDN w:val="0"/>
              <w:jc w:val="center"/>
              <w:rPr>
                <w:color w:val="auto"/>
                <w:kern w:val="0"/>
                <w:sz w:val="24"/>
                <w:highlight w:val="none"/>
              </w:rPr>
            </w:pPr>
          </w:p>
        </w:tc>
      </w:tr>
      <w:tr w14:paraId="71AAB7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350" w:hRule="atLeast"/>
        </w:trPr>
        <w:tc>
          <w:tcPr>
            <w:tcW w:w="2079" w:type="dxa"/>
            <w:vAlign w:val="center"/>
          </w:tcPr>
          <w:p w14:paraId="0FB34348">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基本账户开户银行</w:t>
            </w:r>
          </w:p>
        </w:tc>
        <w:tc>
          <w:tcPr>
            <w:tcW w:w="3492" w:type="dxa"/>
            <w:gridSpan w:val="4"/>
            <w:vAlign w:val="center"/>
          </w:tcPr>
          <w:p w14:paraId="73BB54BA">
            <w:pPr>
              <w:autoSpaceDE w:val="0"/>
              <w:autoSpaceDN w:val="0"/>
              <w:jc w:val="center"/>
              <w:rPr>
                <w:color w:val="auto"/>
                <w:kern w:val="0"/>
                <w:sz w:val="24"/>
                <w:highlight w:val="none"/>
              </w:rPr>
            </w:pPr>
          </w:p>
        </w:tc>
        <w:tc>
          <w:tcPr>
            <w:tcW w:w="337" w:type="dxa"/>
            <w:gridSpan w:val="2"/>
            <w:vMerge w:val="continue"/>
            <w:vAlign w:val="center"/>
          </w:tcPr>
          <w:p w14:paraId="6DD3B3AE">
            <w:pPr>
              <w:autoSpaceDE w:val="0"/>
              <w:autoSpaceDN w:val="0"/>
              <w:jc w:val="center"/>
              <w:rPr>
                <w:color w:val="auto"/>
                <w:kern w:val="0"/>
                <w:sz w:val="24"/>
                <w:highlight w:val="none"/>
              </w:rPr>
            </w:pPr>
          </w:p>
        </w:tc>
        <w:tc>
          <w:tcPr>
            <w:tcW w:w="1640" w:type="dxa"/>
            <w:gridSpan w:val="4"/>
            <w:vAlign w:val="center"/>
          </w:tcPr>
          <w:p w14:paraId="2292DDA8">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技术人员数量</w:t>
            </w:r>
          </w:p>
        </w:tc>
        <w:tc>
          <w:tcPr>
            <w:tcW w:w="1292" w:type="dxa"/>
            <w:vAlign w:val="center"/>
          </w:tcPr>
          <w:p w14:paraId="60B50C1F">
            <w:pPr>
              <w:autoSpaceDE w:val="0"/>
              <w:autoSpaceDN w:val="0"/>
              <w:jc w:val="center"/>
              <w:rPr>
                <w:color w:val="auto"/>
                <w:kern w:val="0"/>
                <w:sz w:val="24"/>
                <w:highlight w:val="none"/>
              </w:rPr>
            </w:pPr>
          </w:p>
        </w:tc>
      </w:tr>
      <w:tr w14:paraId="7C282C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344" w:hRule="atLeast"/>
        </w:trPr>
        <w:tc>
          <w:tcPr>
            <w:tcW w:w="2079" w:type="dxa"/>
            <w:vAlign w:val="center"/>
          </w:tcPr>
          <w:p w14:paraId="34874EDD">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基本账户银行账号</w:t>
            </w:r>
          </w:p>
        </w:tc>
        <w:tc>
          <w:tcPr>
            <w:tcW w:w="3492" w:type="dxa"/>
            <w:gridSpan w:val="4"/>
            <w:vAlign w:val="center"/>
          </w:tcPr>
          <w:p w14:paraId="24141EC9">
            <w:pPr>
              <w:autoSpaceDE w:val="0"/>
              <w:autoSpaceDN w:val="0"/>
              <w:jc w:val="center"/>
              <w:rPr>
                <w:color w:val="auto"/>
                <w:kern w:val="0"/>
                <w:sz w:val="24"/>
                <w:highlight w:val="none"/>
              </w:rPr>
            </w:pPr>
          </w:p>
        </w:tc>
        <w:tc>
          <w:tcPr>
            <w:tcW w:w="337" w:type="dxa"/>
            <w:gridSpan w:val="2"/>
            <w:vMerge w:val="continue"/>
            <w:vAlign w:val="center"/>
          </w:tcPr>
          <w:p w14:paraId="1E93DFFA">
            <w:pPr>
              <w:autoSpaceDE w:val="0"/>
              <w:autoSpaceDN w:val="0"/>
              <w:jc w:val="center"/>
              <w:rPr>
                <w:color w:val="auto"/>
                <w:kern w:val="0"/>
                <w:sz w:val="24"/>
                <w:highlight w:val="none"/>
              </w:rPr>
            </w:pPr>
          </w:p>
        </w:tc>
        <w:tc>
          <w:tcPr>
            <w:tcW w:w="1640" w:type="dxa"/>
            <w:gridSpan w:val="4"/>
            <w:vAlign w:val="center"/>
          </w:tcPr>
          <w:p w14:paraId="0F933A13">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各类注册人员</w:t>
            </w:r>
          </w:p>
        </w:tc>
        <w:tc>
          <w:tcPr>
            <w:tcW w:w="1292" w:type="dxa"/>
            <w:vAlign w:val="center"/>
          </w:tcPr>
          <w:p w14:paraId="7A5EF026">
            <w:pPr>
              <w:autoSpaceDE w:val="0"/>
              <w:autoSpaceDN w:val="0"/>
              <w:jc w:val="center"/>
              <w:rPr>
                <w:color w:val="auto"/>
                <w:kern w:val="0"/>
                <w:sz w:val="24"/>
                <w:highlight w:val="none"/>
              </w:rPr>
            </w:pPr>
          </w:p>
        </w:tc>
      </w:tr>
      <w:tr w14:paraId="2ADFF0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732" w:hRule="atLeast"/>
        </w:trPr>
        <w:tc>
          <w:tcPr>
            <w:tcW w:w="2079" w:type="dxa"/>
            <w:vAlign w:val="center"/>
          </w:tcPr>
          <w:p w14:paraId="6ED9693E">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经营范围</w:t>
            </w:r>
          </w:p>
        </w:tc>
        <w:tc>
          <w:tcPr>
            <w:tcW w:w="6761" w:type="dxa"/>
            <w:gridSpan w:val="11"/>
            <w:vAlign w:val="center"/>
          </w:tcPr>
          <w:p w14:paraId="4561ED06">
            <w:pPr>
              <w:autoSpaceDE w:val="0"/>
              <w:autoSpaceDN w:val="0"/>
              <w:jc w:val="center"/>
              <w:rPr>
                <w:color w:val="auto"/>
                <w:kern w:val="0"/>
                <w:sz w:val="24"/>
                <w:highlight w:val="none"/>
              </w:rPr>
            </w:pPr>
          </w:p>
        </w:tc>
      </w:tr>
      <w:tr w14:paraId="6D82BD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2045" w:hRule="atLeast"/>
        </w:trPr>
        <w:tc>
          <w:tcPr>
            <w:tcW w:w="2079" w:type="dxa"/>
            <w:vAlign w:val="center"/>
          </w:tcPr>
          <w:p w14:paraId="27ACC0F1">
            <w:pPr>
              <w:autoSpaceDE w:val="0"/>
              <w:autoSpaceDN w:val="0"/>
              <w:jc w:val="center"/>
              <w:rPr>
                <w:color w:val="auto"/>
                <w:highlight w:val="none"/>
              </w:rPr>
            </w:pPr>
            <w:r>
              <w:rPr>
                <w:rFonts w:hint="eastAsia" w:ascii="宋体" w:cs="宋体"/>
                <w:color w:val="auto"/>
                <w:kern w:val="0"/>
                <w:sz w:val="24"/>
                <w:highlight w:val="none"/>
              </w:rPr>
              <w:t>投标人关联企业情况（包括但不限于与投标人法定代表人为同一人或者存在控股、管理关系的不同单位）</w:t>
            </w:r>
          </w:p>
        </w:tc>
        <w:tc>
          <w:tcPr>
            <w:tcW w:w="6761" w:type="dxa"/>
            <w:gridSpan w:val="11"/>
            <w:vAlign w:val="center"/>
          </w:tcPr>
          <w:p w14:paraId="444C559A">
            <w:pPr>
              <w:autoSpaceDE w:val="0"/>
              <w:autoSpaceDN w:val="0"/>
              <w:jc w:val="center"/>
              <w:rPr>
                <w:color w:val="auto"/>
                <w:kern w:val="0"/>
                <w:sz w:val="24"/>
                <w:highlight w:val="none"/>
              </w:rPr>
            </w:pPr>
          </w:p>
        </w:tc>
      </w:tr>
      <w:tr w14:paraId="3C05F8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640" w:hRule="atLeast"/>
        </w:trPr>
        <w:tc>
          <w:tcPr>
            <w:tcW w:w="2079" w:type="dxa"/>
            <w:vAlign w:val="center"/>
          </w:tcPr>
          <w:p w14:paraId="44104A84">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备注</w:t>
            </w:r>
          </w:p>
        </w:tc>
        <w:tc>
          <w:tcPr>
            <w:tcW w:w="6761" w:type="dxa"/>
            <w:gridSpan w:val="11"/>
            <w:vAlign w:val="center"/>
          </w:tcPr>
          <w:p w14:paraId="73EB2D9A">
            <w:pPr>
              <w:autoSpaceDE w:val="0"/>
              <w:autoSpaceDN w:val="0"/>
              <w:jc w:val="center"/>
              <w:rPr>
                <w:color w:val="auto"/>
                <w:kern w:val="0"/>
                <w:sz w:val="24"/>
                <w:highlight w:val="none"/>
              </w:rPr>
            </w:pPr>
          </w:p>
        </w:tc>
      </w:tr>
    </w:tbl>
    <w:p w14:paraId="45EAD322">
      <w:pPr>
        <w:autoSpaceDE w:val="0"/>
        <w:autoSpaceDN w:val="0"/>
        <w:adjustRightInd w:val="0"/>
        <w:spacing w:line="160" w:lineRule="exact"/>
        <w:jc w:val="left"/>
        <w:rPr>
          <w:color w:val="auto"/>
          <w:kern w:val="0"/>
          <w:sz w:val="24"/>
          <w:highlight w:val="none"/>
        </w:rPr>
      </w:pPr>
    </w:p>
    <w:p w14:paraId="5B64D824">
      <w:pPr>
        <w:pStyle w:val="35"/>
        <w:snapToGrid w:val="0"/>
        <w:ind w:left="359" w:hanging="359" w:hangingChars="171"/>
        <w:rPr>
          <w:rFonts w:hint="default" w:hAnsi="宋体" w:cs="仿宋"/>
          <w:color w:val="auto"/>
          <w:sz w:val="21"/>
          <w:szCs w:val="21"/>
          <w:highlight w:val="none"/>
        </w:rPr>
      </w:pPr>
      <w:r>
        <w:rPr>
          <w:rFonts w:hAnsi="宋体" w:cs="仿宋"/>
          <w:color w:val="auto"/>
          <w:sz w:val="21"/>
          <w:szCs w:val="21"/>
          <w:highlight w:val="none"/>
        </w:rPr>
        <w:t>注:在本表后应附企业法人</w:t>
      </w:r>
      <w:r>
        <w:rPr>
          <w:rFonts w:hAnsi="宋体" w:cs="仿宋"/>
          <w:b/>
          <w:bCs/>
          <w:color w:val="auto"/>
          <w:sz w:val="21"/>
          <w:szCs w:val="21"/>
          <w:highlight w:val="none"/>
        </w:rPr>
        <w:t>营业执照</w:t>
      </w:r>
      <w:r>
        <w:rPr>
          <w:rFonts w:hAnsi="宋体" w:cs="仿宋"/>
          <w:color w:val="auto"/>
          <w:sz w:val="21"/>
          <w:szCs w:val="21"/>
          <w:highlight w:val="none"/>
        </w:rPr>
        <w:t>副本或事业单位法人证书、</w:t>
      </w:r>
      <w:r>
        <w:rPr>
          <w:rFonts w:hAnsi="宋体" w:cs="仿宋"/>
          <w:b/>
          <w:bCs/>
          <w:color w:val="auto"/>
          <w:sz w:val="21"/>
          <w:szCs w:val="21"/>
          <w:highlight w:val="none"/>
        </w:rPr>
        <w:t>资质证书</w:t>
      </w:r>
      <w:r>
        <w:rPr>
          <w:rFonts w:hAnsi="宋体" w:cs="仿宋"/>
          <w:color w:val="auto"/>
          <w:sz w:val="21"/>
          <w:szCs w:val="21"/>
          <w:highlight w:val="none"/>
        </w:rPr>
        <w:t>、质量保证体系认证证书等的原件扫描件及</w:t>
      </w:r>
      <w:r>
        <w:rPr>
          <w:rFonts w:hAnsi="宋体" w:cs="仿宋"/>
          <w:b/>
          <w:bCs/>
          <w:color w:val="auto"/>
          <w:sz w:val="21"/>
          <w:szCs w:val="21"/>
          <w:highlight w:val="none"/>
        </w:rPr>
        <w:t>基本账户开户许可证明</w:t>
      </w:r>
      <w:r>
        <w:rPr>
          <w:rFonts w:hAnsi="宋体" w:cs="仿宋"/>
          <w:color w:val="auto"/>
          <w:sz w:val="21"/>
          <w:szCs w:val="21"/>
          <w:highlight w:val="none"/>
        </w:rPr>
        <w:t>的清晰可辨的原件扫描件。上述所有执照、证书扫描件均应</w:t>
      </w:r>
      <w:r>
        <w:rPr>
          <w:rFonts w:hAnsi="宋体" w:cs="仿宋"/>
          <w:b/>
          <w:bCs/>
          <w:color w:val="auto"/>
          <w:sz w:val="21"/>
          <w:szCs w:val="21"/>
          <w:highlight w:val="none"/>
        </w:rPr>
        <w:t>加盖投供应商单位公章</w:t>
      </w:r>
      <w:r>
        <w:rPr>
          <w:rFonts w:hAnsi="宋体" w:cs="仿宋"/>
          <w:color w:val="auto"/>
          <w:sz w:val="21"/>
          <w:szCs w:val="21"/>
          <w:highlight w:val="none"/>
        </w:rPr>
        <w:t>。</w:t>
      </w:r>
    </w:p>
    <w:p w14:paraId="372559D0">
      <w:pPr>
        <w:pStyle w:val="5"/>
        <w:overflowPunct w:val="0"/>
        <w:spacing w:line="520" w:lineRule="exact"/>
        <w:ind w:firstLine="0"/>
        <w:jc w:val="center"/>
        <w:rPr>
          <w:color w:val="auto"/>
          <w:sz w:val="24"/>
          <w:highlight w:val="none"/>
        </w:rPr>
      </w:pPr>
      <w:r>
        <w:rPr>
          <w:rFonts w:hint="eastAsia"/>
          <w:color w:val="auto"/>
          <w:sz w:val="24"/>
          <w:highlight w:val="none"/>
        </w:rPr>
        <w:t>供应商名称：</w:t>
      </w:r>
      <w:r>
        <w:rPr>
          <w:rFonts w:hint="eastAsia"/>
          <w:color w:val="auto"/>
          <w:sz w:val="24"/>
          <w:highlight w:val="none"/>
          <w:u w:val="single"/>
        </w:rPr>
        <w:t xml:space="preserve">                         </w:t>
      </w:r>
      <w:r>
        <w:rPr>
          <w:rFonts w:hint="eastAsia"/>
          <w:color w:val="auto"/>
          <w:sz w:val="24"/>
          <w:highlight w:val="none"/>
        </w:rPr>
        <w:t>（盖单位公章）</w:t>
      </w:r>
    </w:p>
    <w:p w14:paraId="5E6BFB98">
      <w:pPr>
        <w:pStyle w:val="5"/>
        <w:overflowPunct w:val="0"/>
        <w:spacing w:line="520" w:lineRule="exact"/>
        <w:ind w:firstLine="1478" w:firstLineChars="616"/>
        <w:rPr>
          <w:color w:val="auto"/>
          <w:sz w:val="24"/>
          <w:highlight w:val="none"/>
        </w:rPr>
      </w:pPr>
      <w:r>
        <w:rPr>
          <w:rFonts w:hint="eastAsia"/>
          <w:color w:val="auto"/>
          <w:sz w:val="24"/>
          <w:highlight w:val="none"/>
        </w:rPr>
        <w:t>法定代表人或其委托代理人：</w:t>
      </w:r>
      <w:r>
        <w:rPr>
          <w:rFonts w:hint="eastAsia"/>
          <w:color w:val="auto"/>
          <w:sz w:val="24"/>
          <w:highlight w:val="none"/>
          <w:u w:val="single"/>
        </w:rPr>
        <w:t xml:space="preserve">           </w:t>
      </w:r>
      <w:r>
        <w:rPr>
          <w:rFonts w:hint="eastAsia"/>
          <w:color w:val="auto"/>
          <w:sz w:val="24"/>
          <w:highlight w:val="none"/>
        </w:rPr>
        <w:t>（签字）</w:t>
      </w:r>
    </w:p>
    <w:p w14:paraId="774465F0">
      <w:pPr>
        <w:pStyle w:val="5"/>
        <w:overflowPunct w:val="0"/>
        <w:spacing w:line="520" w:lineRule="exact"/>
        <w:ind w:firstLine="3998" w:firstLineChars="1666"/>
        <w:rPr>
          <w:color w:val="auto"/>
          <w:sz w:val="24"/>
          <w:highlight w:val="none"/>
        </w:rPr>
      </w:pPr>
      <w:r>
        <w:rPr>
          <w:rFonts w:hint="eastAsia"/>
          <w:color w:val="auto"/>
          <w:sz w:val="24"/>
          <w:highlight w:val="none"/>
          <w:u w:val="single"/>
        </w:rPr>
        <w:t xml:space="preserve">      </w:t>
      </w:r>
      <w:r>
        <w:rPr>
          <w:rFonts w:hint="eastAsia"/>
          <w:color w:val="auto"/>
          <w:sz w:val="24"/>
          <w:highlight w:val="none"/>
        </w:rPr>
        <w:t>年</w:t>
      </w:r>
      <w:r>
        <w:rPr>
          <w:rFonts w:hint="eastAsia"/>
          <w:color w:val="auto"/>
          <w:sz w:val="24"/>
          <w:highlight w:val="none"/>
          <w:u w:val="single"/>
        </w:rPr>
        <w:t xml:space="preserve">    </w:t>
      </w:r>
      <w:r>
        <w:rPr>
          <w:rFonts w:hint="eastAsia"/>
          <w:color w:val="auto"/>
          <w:sz w:val="24"/>
          <w:highlight w:val="none"/>
        </w:rPr>
        <w:t>月</w:t>
      </w:r>
      <w:r>
        <w:rPr>
          <w:rFonts w:hint="eastAsia"/>
          <w:color w:val="auto"/>
          <w:sz w:val="24"/>
          <w:highlight w:val="none"/>
          <w:u w:val="single"/>
        </w:rPr>
        <w:t xml:space="preserve">    </w:t>
      </w:r>
      <w:r>
        <w:rPr>
          <w:rFonts w:hint="eastAsia"/>
          <w:color w:val="auto"/>
          <w:sz w:val="24"/>
          <w:highlight w:val="none"/>
        </w:rPr>
        <w:t>日</w:t>
      </w:r>
    </w:p>
    <w:p w14:paraId="4E2F96AE">
      <w:pPr>
        <w:snapToGrid w:val="0"/>
        <w:ind w:left="482"/>
        <w:rPr>
          <w:rFonts w:ascii="宋体" w:hAnsi="宋体"/>
          <w:b/>
          <w:bCs/>
          <w:color w:val="auto"/>
          <w:sz w:val="24"/>
          <w:highlight w:val="none"/>
        </w:rPr>
      </w:pPr>
      <w:r>
        <w:rPr>
          <w:rFonts w:hint="eastAsia" w:ascii="宋体" w:hAnsi="宋体"/>
          <w:b/>
          <w:bCs/>
          <w:color w:val="auto"/>
          <w:sz w:val="24"/>
          <w:highlight w:val="none"/>
        </w:rPr>
        <w:br w:type="page"/>
      </w:r>
    </w:p>
    <w:p w14:paraId="008F7443">
      <w:pPr>
        <w:pStyle w:val="19"/>
        <w:snapToGrid w:val="0"/>
        <w:ind w:left="482" w:hanging="482"/>
        <w:rPr>
          <w:rFonts w:ascii="宋体" w:hAnsi="宋体"/>
          <w:b/>
          <w:bCs/>
          <w:color w:val="auto"/>
          <w:sz w:val="24"/>
          <w:highlight w:val="none"/>
        </w:rPr>
      </w:pPr>
    </w:p>
    <w:p w14:paraId="02F4208F">
      <w:pPr>
        <w:snapToGrid w:val="0"/>
        <w:spacing w:before="120" w:beforeLines="50" w:after="50"/>
        <w:jc w:val="center"/>
        <w:outlineLvl w:val="2"/>
        <w:rPr>
          <w:rFonts w:ascii="宋体" w:hAnsi="宋体"/>
          <w:b/>
          <w:color w:val="auto"/>
          <w:sz w:val="24"/>
          <w:highlight w:val="none"/>
        </w:rPr>
      </w:pPr>
      <w:r>
        <w:rPr>
          <w:rFonts w:hint="eastAsia" w:ascii="宋体" w:hAnsi="宋体"/>
          <w:b/>
          <w:color w:val="auto"/>
          <w:sz w:val="24"/>
          <w:highlight w:val="none"/>
        </w:rPr>
        <w:t>（二）近年的业绩证明文件</w:t>
      </w:r>
    </w:p>
    <w:p w14:paraId="588FD340">
      <w:pPr>
        <w:jc w:val="center"/>
        <w:outlineLvl w:val="3"/>
        <w:rPr>
          <w:rFonts w:ascii="黑体" w:hAnsi="宋体" w:eastAsia="黑体"/>
          <w:b/>
          <w:bCs/>
          <w:color w:val="auto"/>
          <w:sz w:val="24"/>
          <w:highlight w:val="none"/>
        </w:rPr>
      </w:pPr>
      <w:r>
        <w:rPr>
          <w:rFonts w:hint="eastAsia" w:ascii="黑体" w:hAnsi="宋体" w:eastAsia="黑体"/>
          <w:b/>
          <w:bCs/>
          <w:color w:val="auto"/>
          <w:sz w:val="24"/>
          <w:highlight w:val="none"/>
        </w:rPr>
        <w:t xml:space="preserve">1.近 </w:t>
      </w:r>
      <w:r>
        <w:rPr>
          <w:rFonts w:hint="eastAsia" w:ascii="黑体" w:hAnsi="宋体" w:eastAsia="黑体"/>
          <w:b/>
          <w:bCs/>
          <w:color w:val="auto"/>
          <w:sz w:val="24"/>
          <w:highlight w:val="none"/>
          <w:lang w:val="en-US" w:eastAsia="zh-CN"/>
        </w:rPr>
        <w:t>5</w:t>
      </w:r>
      <w:r>
        <w:rPr>
          <w:rFonts w:hint="eastAsia" w:ascii="黑体" w:hAnsi="宋体" w:eastAsia="黑体"/>
          <w:b/>
          <w:bCs/>
          <w:color w:val="auto"/>
          <w:sz w:val="24"/>
          <w:highlight w:val="none"/>
        </w:rPr>
        <w:t xml:space="preserve"> 年</w:t>
      </w:r>
      <w:r>
        <w:rPr>
          <w:rFonts w:ascii="黑体" w:hAnsi="宋体" w:eastAsia="黑体"/>
          <w:b/>
          <w:bCs/>
          <w:color w:val="auto"/>
          <w:sz w:val="24"/>
          <w:highlight w:val="none"/>
        </w:rPr>
        <w:t>类似项目情况汇总表</w:t>
      </w:r>
    </w:p>
    <w:tbl>
      <w:tblPr>
        <w:tblStyle w:val="24"/>
        <w:tblW w:w="0" w:type="auto"/>
        <w:tblInd w:w="0" w:type="dxa"/>
        <w:tblLayout w:type="fixed"/>
        <w:tblCellMar>
          <w:top w:w="0" w:type="dxa"/>
          <w:left w:w="0" w:type="dxa"/>
          <w:bottom w:w="0" w:type="dxa"/>
          <w:right w:w="0" w:type="dxa"/>
        </w:tblCellMar>
      </w:tblPr>
      <w:tblGrid>
        <w:gridCol w:w="1437"/>
        <w:gridCol w:w="1430"/>
        <w:gridCol w:w="2516"/>
        <w:gridCol w:w="2330"/>
        <w:gridCol w:w="1387"/>
      </w:tblGrid>
      <w:tr w14:paraId="588A92D9">
        <w:tblPrEx>
          <w:tblCellMar>
            <w:top w:w="0" w:type="dxa"/>
            <w:left w:w="0" w:type="dxa"/>
            <w:bottom w:w="0" w:type="dxa"/>
            <w:right w:w="0" w:type="dxa"/>
          </w:tblCellMar>
        </w:tblPrEx>
        <w:trPr>
          <w:trHeight w:val="561" w:hRule="atLeast"/>
        </w:trPr>
        <w:tc>
          <w:tcPr>
            <w:tcW w:w="1437" w:type="dxa"/>
            <w:tcBorders>
              <w:top w:val="single" w:color="auto" w:sz="12" w:space="0"/>
              <w:left w:val="single" w:color="auto" w:sz="12" w:space="0"/>
              <w:bottom w:val="single" w:color="auto" w:sz="8" w:space="0"/>
              <w:right w:val="single" w:color="auto" w:sz="8" w:space="0"/>
            </w:tcBorders>
            <w:vAlign w:val="center"/>
          </w:tcPr>
          <w:p w14:paraId="13BCE5D2">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项目名称</w:t>
            </w:r>
          </w:p>
        </w:tc>
        <w:tc>
          <w:tcPr>
            <w:tcW w:w="1430" w:type="dxa"/>
            <w:tcBorders>
              <w:top w:val="single" w:color="auto" w:sz="12" w:space="0"/>
              <w:left w:val="single" w:color="auto" w:sz="8" w:space="0"/>
              <w:bottom w:val="single" w:color="auto" w:sz="8" w:space="0"/>
              <w:right w:val="single" w:color="auto" w:sz="8" w:space="0"/>
            </w:tcBorders>
            <w:vAlign w:val="center"/>
          </w:tcPr>
          <w:p w14:paraId="72728FDB">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起讫时间</w:t>
            </w:r>
          </w:p>
        </w:tc>
        <w:tc>
          <w:tcPr>
            <w:tcW w:w="2516" w:type="dxa"/>
            <w:tcBorders>
              <w:top w:val="single" w:color="auto" w:sz="12" w:space="0"/>
              <w:left w:val="single" w:color="auto" w:sz="8" w:space="0"/>
              <w:bottom w:val="single" w:color="auto" w:sz="8" w:space="0"/>
              <w:right w:val="single" w:color="auto" w:sz="8" w:space="0"/>
            </w:tcBorders>
            <w:vAlign w:val="center"/>
          </w:tcPr>
          <w:p w14:paraId="6B1AC1F6">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发包人</w:t>
            </w:r>
          </w:p>
        </w:tc>
        <w:tc>
          <w:tcPr>
            <w:tcW w:w="2330" w:type="dxa"/>
            <w:tcBorders>
              <w:top w:val="single" w:color="auto" w:sz="12" w:space="0"/>
              <w:left w:val="single" w:color="auto" w:sz="8" w:space="0"/>
              <w:bottom w:val="single" w:color="auto" w:sz="8" w:space="0"/>
              <w:right w:val="single" w:color="auto" w:sz="8" w:space="0"/>
            </w:tcBorders>
            <w:vAlign w:val="center"/>
          </w:tcPr>
          <w:p w14:paraId="4A1C49AB">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完成情况</w:t>
            </w:r>
          </w:p>
        </w:tc>
        <w:tc>
          <w:tcPr>
            <w:tcW w:w="1387" w:type="dxa"/>
            <w:tcBorders>
              <w:top w:val="single" w:color="auto" w:sz="12" w:space="0"/>
              <w:left w:val="single" w:color="auto" w:sz="8" w:space="0"/>
              <w:bottom w:val="single" w:color="auto" w:sz="8" w:space="0"/>
              <w:right w:val="single" w:color="auto" w:sz="12" w:space="0"/>
            </w:tcBorders>
            <w:vAlign w:val="center"/>
          </w:tcPr>
          <w:p w14:paraId="0F0173B7">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备注</w:t>
            </w:r>
          </w:p>
        </w:tc>
      </w:tr>
      <w:tr w14:paraId="297D3ADB">
        <w:tblPrEx>
          <w:tblCellMar>
            <w:top w:w="0" w:type="dxa"/>
            <w:left w:w="0" w:type="dxa"/>
            <w:bottom w:w="0" w:type="dxa"/>
            <w:right w:w="0" w:type="dxa"/>
          </w:tblCellMar>
        </w:tblPrEx>
        <w:trPr>
          <w:trHeight w:val="574" w:hRule="atLeast"/>
        </w:trPr>
        <w:tc>
          <w:tcPr>
            <w:tcW w:w="1437" w:type="dxa"/>
            <w:tcBorders>
              <w:top w:val="single" w:color="auto" w:sz="8" w:space="0"/>
              <w:left w:val="single" w:color="auto" w:sz="12" w:space="0"/>
              <w:bottom w:val="single" w:color="auto" w:sz="8" w:space="0"/>
              <w:right w:val="single" w:color="auto" w:sz="8" w:space="0"/>
            </w:tcBorders>
          </w:tcPr>
          <w:p w14:paraId="27FC4C37">
            <w:pPr>
              <w:autoSpaceDE w:val="0"/>
              <w:autoSpaceDN w:val="0"/>
              <w:rPr>
                <w:color w:val="auto"/>
                <w:kern w:val="0"/>
                <w:sz w:val="24"/>
                <w:highlight w:val="none"/>
              </w:rPr>
            </w:pPr>
          </w:p>
        </w:tc>
        <w:tc>
          <w:tcPr>
            <w:tcW w:w="1430" w:type="dxa"/>
            <w:tcBorders>
              <w:top w:val="single" w:color="auto" w:sz="8" w:space="0"/>
              <w:left w:val="single" w:color="auto" w:sz="8" w:space="0"/>
              <w:bottom w:val="single" w:color="auto" w:sz="8" w:space="0"/>
              <w:right w:val="single" w:color="auto" w:sz="8" w:space="0"/>
            </w:tcBorders>
          </w:tcPr>
          <w:p w14:paraId="254A9B90">
            <w:pPr>
              <w:autoSpaceDE w:val="0"/>
              <w:autoSpaceDN w:val="0"/>
              <w:rPr>
                <w:color w:val="auto"/>
                <w:kern w:val="0"/>
                <w:sz w:val="24"/>
                <w:highlight w:val="none"/>
              </w:rPr>
            </w:pPr>
          </w:p>
        </w:tc>
        <w:tc>
          <w:tcPr>
            <w:tcW w:w="2516" w:type="dxa"/>
            <w:tcBorders>
              <w:top w:val="single" w:color="auto" w:sz="8" w:space="0"/>
              <w:left w:val="single" w:color="auto" w:sz="8" w:space="0"/>
              <w:bottom w:val="single" w:color="auto" w:sz="8" w:space="0"/>
              <w:right w:val="single" w:color="auto" w:sz="8" w:space="0"/>
            </w:tcBorders>
          </w:tcPr>
          <w:p w14:paraId="2724BD30">
            <w:pPr>
              <w:autoSpaceDE w:val="0"/>
              <w:autoSpaceDN w:val="0"/>
              <w:rPr>
                <w:color w:val="auto"/>
                <w:kern w:val="0"/>
                <w:sz w:val="24"/>
                <w:highlight w:val="none"/>
              </w:rPr>
            </w:pPr>
          </w:p>
        </w:tc>
        <w:tc>
          <w:tcPr>
            <w:tcW w:w="2330" w:type="dxa"/>
            <w:tcBorders>
              <w:top w:val="single" w:color="auto" w:sz="8" w:space="0"/>
              <w:left w:val="single" w:color="auto" w:sz="8" w:space="0"/>
              <w:bottom w:val="single" w:color="auto" w:sz="8" w:space="0"/>
              <w:right w:val="single" w:color="auto" w:sz="8" w:space="0"/>
            </w:tcBorders>
          </w:tcPr>
          <w:p w14:paraId="7F9BEF1D">
            <w:pPr>
              <w:autoSpaceDE w:val="0"/>
              <w:autoSpaceDN w:val="0"/>
              <w:rPr>
                <w:color w:val="auto"/>
                <w:kern w:val="0"/>
                <w:sz w:val="24"/>
                <w:highlight w:val="none"/>
              </w:rPr>
            </w:pPr>
          </w:p>
        </w:tc>
        <w:tc>
          <w:tcPr>
            <w:tcW w:w="1387" w:type="dxa"/>
            <w:tcBorders>
              <w:top w:val="single" w:color="auto" w:sz="8" w:space="0"/>
              <w:left w:val="single" w:color="auto" w:sz="8" w:space="0"/>
              <w:bottom w:val="single" w:color="auto" w:sz="8" w:space="0"/>
              <w:right w:val="single" w:color="auto" w:sz="12" w:space="0"/>
            </w:tcBorders>
          </w:tcPr>
          <w:p w14:paraId="6CDFD1A5">
            <w:pPr>
              <w:autoSpaceDE w:val="0"/>
              <w:autoSpaceDN w:val="0"/>
              <w:rPr>
                <w:color w:val="auto"/>
                <w:kern w:val="0"/>
                <w:sz w:val="24"/>
                <w:highlight w:val="none"/>
              </w:rPr>
            </w:pPr>
          </w:p>
        </w:tc>
      </w:tr>
      <w:tr w14:paraId="1CF3FEC9">
        <w:tblPrEx>
          <w:tblCellMar>
            <w:top w:w="0" w:type="dxa"/>
            <w:left w:w="0" w:type="dxa"/>
            <w:bottom w:w="0" w:type="dxa"/>
            <w:right w:w="0" w:type="dxa"/>
          </w:tblCellMar>
        </w:tblPrEx>
        <w:trPr>
          <w:trHeight w:val="574" w:hRule="atLeast"/>
        </w:trPr>
        <w:tc>
          <w:tcPr>
            <w:tcW w:w="1437" w:type="dxa"/>
            <w:tcBorders>
              <w:top w:val="single" w:color="auto" w:sz="8" w:space="0"/>
              <w:left w:val="single" w:color="auto" w:sz="12" w:space="0"/>
              <w:bottom w:val="single" w:color="auto" w:sz="8" w:space="0"/>
              <w:right w:val="single" w:color="auto" w:sz="8" w:space="0"/>
            </w:tcBorders>
          </w:tcPr>
          <w:p w14:paraId="23C1CA4D">
            <w:pPr>
              <w:autoSpaceDE w:val="0"/>
              <w:autoSpaceDN w:val="0"/>
              <w:rPr>
                <w:color w:val="auto"/>
                <w:kern w:val="0"/>
                <w:sz w:val="24"/>
                <w:highlight w:val="none"/>
              </w:rPr>
            </w:pPr>
          </w:p>
        </w:tc>
        <w:tc>
          <w:tcPr>
            <w:tcW w:w="1430" w:type="dxa"/>
            <w:tcBorders>
              <w:top w:val="single" w:color="auto" w:sz="8" w:space="0"/>
              <w:left w:val="single" w:color="auto" w:sz="8" w:space="0"/>
              <w:bottom w:val="single" w:color="auto" w:sz="8" w:space="0"/>
              <w:right w:val="single" w:color="auto" w:sz="8" w:space="0"/>
            </w:tcBorders>
          </w:tcPr>
          <w:p w14:paraId="51CA7D9E">
            <w:pPr>
              <w:autoSpaceDE w:val="0"/>
              <w:autoSpaceDN w:val="0"/>
              <w:rPr>
                <w:color w:val="auto"/>
                <w:kern w:val="0"/>
                <w:sz w:val="24"/>
                <w:highlight w:val="none"/>
              </w:rPr>
            </w:pPr>
          </w:p>
        </w:tc>
        <w:tc>
          <w:tcPr>
            <w:tcW w:w="2516" w:type="dxa"/>
            <w:tcBorders>
              <w:top w:val="single" w:color="auto" w:sz="8" w:space="0"/>
              <w:left w:val="single" w:color="auto" w:sz="8" w:space="0"/>
              <w:bottom w:val="single" w:color="auto" w:sz="8" w:space="0"/>
              <w:right w:val="single" w:color="auto" w:sz="8" w:space="0"/>
            </w:tcBorders>
          </w:tcPr>
          <w:p w14:paraId="14E64D28">
            <w:pPr>
              <w:autoSpaceDE w:val="0"/>
              <w:autoSpaceDN w:val="0"/>
              <w:rPr>
                <w:color w:val="auto"/>
                <w:kern w:val="0"/>
                <w:sz w:val="24"/>
                <w:highlight w:val="none"/>
              </w:rPr>
            </w:pPr>
          </w:p>
        </w:tc>
        <w:tc>
          <w:tcPr>
            <w:tcW w:w="2330" w:type="dxa"/>
            <w:tcBorders>
              <w:top w:val="single" w:color="auto" w:sz="8" w:space="0"/>
              <w:left w:val="single" w:color="auto" w:sz="8" w:space="0"/>
              <w:bottom w:val="single" w:color="auto" w:sz="8" w:space="0"/>
              <w:right w:val="single" w:color="auto" w:sz="8" w:space="0"/>
            </w:tcBorders>
          </w:tcPr>
          <w:p w14:paraId="5EB1538B">
            <w:pPr>
              <w:autoSpaceDE w:val="0"/>
              <w:autoSpaceDN w:val="0"/>
              <w:rPr>
                <w:color w:val="auto"/>
                <w:kern w:val="0"/>
                <w:sz w:val="24"/>
                <w:highlight w:val="none"/>
              </w:rPr>
            </w:pPr>
          </w:p>
        </w:tc>
        <w:tc>
          <w:tcPr>
            <w:tcW w:w="1387" w:type="dxa"/>
            <w:tcBorders>
              <w:top w:val="single" w:color="auto" w:sz="8" w:space="0"/>
              <w:left w:val="single" w:color="auto" w:sz="8" w:space="0"/>
              <w:bottom w:val="single" w:color="auto" w:sz="8" w:space="0"/>
              <w:right w:val="single" w:color="auto" w:sz="12" w:space="0"/>
            </w:tcBorders>
          </w:tcPr>
          <w:p w14:paraId="1A0CCDEA">
            <w:pPr>
              <w:autoSpaceDE w:val="0"/>
              <w:autoSpaceDN w:val="0"/>
              <w:rPr>
                <w:color w:val="auto"/>
                <w:kern w:val="0"/>
                <w:sz w:val="24"/>
                <w:highlight w:val="none"/>
              </w:rPr>
            </w:pPr>
          </w:p>
        </w:tc>
      </w:tr>
      <w:tr w14:paraId="429AE0E0">
        <w:tblPrEx>
          <w:tblCellMar>
            <w:top w:w="0" w:type="dxa"/>
            <w:left w:w="0" w:type="dxa"/>
            <w:bottom w:w="0" w:type="dxa"/>
            <w:right w:w="0" w:type="dxa"/>
          </w:tblCellMar>
        </w:tblPrEx>
        <w:trPr>
          <w:trHeight w:val="574" w:hRule="atLeast"/>
        </w:trPr>
        <w:tc>
          <w:tcPr>
            <w:tcW w:w="1437" w:type="dxa"/>
            <w:tcBorders>
              <w:top w:val="single" w:color="auto" w:sz="8" w:space="0"/>
              <w:left w:val="single" w:color="auto" w:sz="12" w:space="0"/>
              <w:bottom w:val="single" w:color="auto" w:sz="8" w:space="0"/>
              <w:right w:val="single" w:color="auto" w:sz="8" w:space="0"/>
            </w:tcBorders>
          </w:tcPr>
          <w:p w14:paraId="42ADDFCE">
            <w:pPr>
              <w:autoSpaceDE w:val="0"/>
              <w:autoSpaceDN w:val="0"/>
              <w:rPr>
                <w:color w:val="auto"/>
                <w:kern w:val="0"/>
                <w:sz w:val="24"/>
                <w:highlight w:val="none"/>
              </w:rPr>
            </w:pPr>
          </w:p>
        </w:tc>
        <w:tc>
          <w:tcPr>
            <w:tcW w:w="1430" w:type="dxa"/>
            <w:tcBorders>
              <w:top w:val="single" w:color="auto" w:sz="8" w:space="0"/>
              <w:left w:val="single" w:color="auto" w:sz="8" w:space="0"/>
              <w:bottom w:val="single" w:color="auto" w:sz="8" w:space="0"/>
              <w:right w:val="single" w:color="auto" w:sz="8" w:space="0"/>
            </w:tcBorders>
          </w:tcPr>
          <w:p w14:paraId="52542736">
            <w:pPr>
              <w:autoSpaceDE w:val="0"/>
              <w:autoSpaceDN w:val="0"/>
              <w:rPr>
                <w:color w:val="auto"/>
                <w:kern w:val="0"/>
                <w:sz w:val="24"/>
                <w:highlight w:val="none"/>
              </w:rPr>
            </w:pPr>
          </w:p>
        </w:tc>
        <w:tc>
          <w:tcPr>
            <w:tcW w:w="2516" w:type="dxa"/>
            <w:tcBorders>
              <w:top w:val="single" w:color="auto" w:sz="8" w:space="0"/>
              <w:left w:val="single" w:color="auto" w:sz="8" w:space="0"/>
              <w:bottom w:val="single" w:color="auto" w:sz="8" w:space="0"/>
              <w:right w:val="single" w:color="auto" w:sz="8" w:space="0"/>
            </w:tcBorders>
          </w:tcPr>
          <w:p w14:paraId="24766861">
            <w:pPr>
              <w:autoSpaceDE w:val="0"/>
              <w:autoSpaceDN w:val="0"/>
              <w:rPr>
                <w:color w:val="auto"/>
                <w:kern w:val="0"/>
                <w:sz w:val="24"/>
                <w:highlight w:val="none"/>
              </w:rPr>
            </w:pPr>
          </w:p>
        </w:tc>
        <w:tc>
          <w:tcPr>
            <w:tcW w:w="2330" w:type="dxa"/>
            <w:tcBorders>
              <w:top w:val="single" w:color="auto" w:sz="8" w:space="0"/>
              <w:left w:val="single" w:color="auto" w:sz="8" w:space="0"/>
              <w:bottom w:val="single" w:color="auto" w:sz="8" w:space="0"/>
              <w:right w:val="single" w:color="auto" w:sz="8" w:space="0"/>
            </w:tcBorders>
          </w:tcPr>
          <w:p w14:paraId="12DFA7D1">
            <w:pPr>
              <w:autoSpaceDE w:val="0"/>
              <w:autoSpaceDN w:val="0"/>
              <w:rPr>
                <w:color w:val="auto"/>
                <w:kern w:val="0"/>
                <w:sz w:val="24"/>
                <w:highlight w:val="none"/>
              </w:rPr>
            </w:pPr>
          </w:p>
        </w:tc>
        <w:tc>
          <w:tcPr>
            <w:tcW w:w="1387" w:type="dxa"/>
            <w:tcBorders>
              <w:top w:val="single" w:color="auto" w:sz="8" w:space="0"/>
              <w:left w:val="single" w:color="auto" w:sz="8" w:space="0"/>
              <w:bottom w:val="single" w:color="auto" w:sz="8" w:space="0"/>
              <w:right w:val="single" w:color="auto" w:sz="12" w:space="0"/>
            </w:tcBorders>
          </w:tcPr>
          <w:p w14:paraId="2D390D30">
            <w:pPr>
              <w:autoSpaceDE w:val="0"/>
              <w:autoSpaceDN w:val="0"/>
              <w:rPr>
                <w:color w:val="auto"/>
                <w:kern w:val="0"/>
                <w:sz w:val="24"/>
                <w:highlight w:val="none"/>
              </w:rPr>
            </w:pPr>
          </w:p>
        </w:tc>
      </w:tr>
      <w:tr w14:paraId="095FD209">
        <w:tblPrEx>
          <w:tblCellMar>
            <w:top w:w="0" w:type="dxa"/>
            <w:left w:w="0" w:type="dxa"/>
            <w:bottom w:w="0" w:type="dxa"/>
            <w:right w:w="0" w:type="dxa"/>
          </w:tblCellMar>
        </w:tblPrEx>
        <w:trPr>
          <w:trHeight w:val="566" w:hRule="atLeast"/>
        </w:trPr>
        <w:tc>
          <w:tcPr>
            <w:tcW w:w="1437" w:type="dxa"/>
            <w:tcBorders>
              <w:top w:val="single" w:color="auto" w:sz="8" w:space="0"/>
              <w:left w:val="single" w:color="auto" w:sz="12" w:space="0"/>
              <w:bottom w:val="single" w:color="auto" w:sz="8" w:space="0"/>
              <w:right w:val="single" w:color="auto" w:sz="8" w:space="0"/>
            </w:tcBorders>
          </w:tcPr>
          <w:p w14:paraId="3C19706F">
            <w:pPr>
              <w:autoSpaceDE w:val="0"/>
              <w:autoSpaceDN w:val="0"/>
              <w:rPr>
                <w:color w:val="auto"/>
                <w:kern w:val="0"/>
                <w:sz w:val="24"/>
                <w:highlight w:val="none"/>
              </w:rPr>
            </w:pPr>
          </w:p>
        </w:tc>
        <w:tc>
          <w:tcPr>
            <w:tcW w:w="1430" w:type="dxa"/>
            <w:tcBorders>
              <w:top w:val="single" w:color="auto" w:sz="8" w:space="0"/>
              <w:left w:val="single" w:color="auto" w:sz="8" w:space="0"/>
              <w:bottom w:val="single" w:color="auto" w:sz="8" w:space="0"/>
              <w:right w:val="single" w:color="auto" w:sz="8" w:space="0"/>
            </w:tcBorders>
          </w:tcPr>
          <w:p w14:paraId="69DEAC2B">
            <w:pPr>
              <w:autoSpaceDE w:val="0"/>
              <w:autoSpaceDN w:val="0"/>
              <w:rPr>
                <w:color w:val="auto"/>
                <w:kern w:val="0"/>
                <w:sz w:val="24"/>
                <w:highlight w:val="none"/>
              </w:rPr>
            </w:pPr>
          </w:p>
        </w:tc>
        <w:tc>
          <w:tcPr>
            <w:tcW w:w="2516" w:type="dxa"/>
            <w:tcBorders>
              <w:top w:val="single" w:color="auto" w:sz="8" w:space="0"/>
              <w:left w:val="single" w:color="auto" w:sz="8" w:space="0"/>
              <w:bottom w:val="single" w:color="auto" w:sz="8" w:space="0"/>
              <w:right w:val="single" w:color="auto" w:sz="8" w:space="0"/>
            </w:tcBorders>
          </w:tcPr>
          <w:p w14:paraId="774D154A">
            <w:pPr>
              <w:autoSpaceDE w:val="0"/>
              <w:autoSpaceDN w:val="0"/>
              <w:rPr>
                <w:color w:val="auto"/>
                <w:kern w:val="0"/>
                <w:sz w:val="24"/>
                <w:highlight w:val="none"/>
              </w:rPr>
            </w:pPr>
          </w:p>
        </w:tc>
        <w:tc>
          <w:tcPr>
            <w:tcW w:w="2330" w:type="dxa"/>
            <w:tcBorders>
              <w:top w:val="single" w:color="auto" w:sz="8" w:space="0"/>
              <w:left w:val="single" w:color="auto" w:sz="8" w:space="0"/>
              <w:bottom w:val="single" w:color="auto" w:sz="8" w:space="0"/>
              <w:right w:val="single" w:color="auto" w:sz="8" w:space="0"/>
            </w:tcBorders>
          </w:tcPr>
          <w:p w14:paraId="640D9513">
            <w:pPr>
              <w:autoSpaceDE w:val="0"/>
              <w:autoSpaceDN w:val="0"/>
              <w:rPr>
                <w:color w:val="auto"/>
                <w:kern w:val="0"/>
                <w:sz w:val="24"/>
                <w:highlight w:val="none"/>
              </w:rPr>
            </w:pPr>
          </w:p>
        </w:tc>
        <w:tc>
          <w:tcPr>
            <w:tcW w:w="1387" w:type="dxa"/>
            <w:tcBorders>
              <w:top w:val="single" w:color="auto" w:sz="8" w:space="0"/>
              <w:left w:val="single" w:color="auto" w:sz="8" w:space="0"/>
              <w:bottom w:val="single" w:color="auto" w:sz="8" w:space="0"/>
              <w:right w:val="single" w:color="auto" w:sz="12" w:space="0"/>
            </w:tcBorders>
          </w:tcPr>
          <w:p w14:paraId="184702BB">
            <w:pPr>
              <w:autoSpaceDE w:val="0"/>
              <w:autoSpaceDN w:val="0"/>
              <w:rPr>
                <w:color w:val="auto"/>
                <w:kern w:val="0"/>
                <w:sz w:val="24"/>
                <w:highlight w:val="none"/>
              </w:rPr>
            </w:pPr>
          </w:p>
        </w:tc>
      </w:tr>
      <w:tr w14:paraId="44A8CAC0">
        <w:tblPrEx>
          <w:tblCellMar>
            <w:top w:w="0" w:type="dxa"/>
            <w:left w:w="0" w:type="dxa"/>
            <w:bottom w:w="0" w:type="dxa"/>
            <w:right w:w="0" w:type="dxa"/>
          </w:tblCellMar>
        </w:tblPrEx>
        <w:trPr>
          <w:trHeight w:val="574" w:hRule="atLeast"/>
        </w:trPr>
        <w:tc>
          <w:tcPr>
            <w:tcW w:w="1437" w:type="dxa"/>
            <w:tcBorders>
              <w:top w:val="single" w:color="auto" w:sz="8" w:space="0"/>
              <w:left w:val="single" w:color="auto" w:sz="12" w:space="0"/>
              <w:bottom w:val="single" w:color="auto" w:sz="8" w:space="0"/>
              <w:right w:val="single" w:color="auto" w:sz="8" w:space="0"/>
            </w:tcBorders>
          </w:tcPr>
          <w:p w14:paraId="2BBB9FD2">
            <w:pPr>
              <w:autoSpaceDE w:val="0"/>
              <w:autoSpaceDN w:val="0"/>
              <w:rPr>
                <w:color w:val="auto"/>
                <w:kern w:val="0"/>
                <w:sz w:val="24"/>
                <w:highlight w:val="none"/>
              </w:rPr>
            </w:pPr>
          </w:p>
        </w:tc>
        <w:tc>
          <w:tcPr>
            <w:tcW w:w="1430" w:type="dxa"/>
            <w:tcBorders>
              <w:top w:val="single" w:color="auto" w:sz="8" w:space="0"/>
              <w:left w:val="single" w:color="auto" w:sz="8" w:space="0"/>
              <w:bottom w:val="single" w:color="auto" w:sz="8" w:space="0"/>
              <w:right w:val="single" w:color="auto" w:sz="8" w:space="0"/>
            </w:tcBorders>
          </w:tcPr>
          <w:p w14:paraId="43576CB1">
            <w:pPr>
              <w:autoSpaceDE w:val="0"/>
              <w:autoSpaceDN w:val="0"/>
              <w:rPr>
                <w:color w:val="auto"/>
                <w:kern w:val="0"/>
                <w:sz w:val="24"/>
                <w:highlight w:val="none"/>
              </w:rPr>
            </w:pPr>
          </w:p>
        </w:tc>
        <w:tc>
          <w:tcPr>
            <w:tcW w:w="2516" w:type="dxa"/>
            <w:tcBorders>
              <w:top w:val="single" w:color="auto" w:sz="8" w:space="0"/>
              <w:left w:val="single" w:color="auto" w:sz="8" w:space="0"/>
              <w:bottom w:val="single" w:color="auto" w:sz="8" w:space="0"/>
              <w:right w:val="single" w:color="auto" w:sz="8" w:space="0"/>
            </w:tcBorders>
          </w:tcPr>
          <w:p w14:paraId="6BDFC29D">
            <w:pPr>
              <w:autoSpaceDE w:val="0"/>
              <w:autoSpaceDN w:val="0"/>
              <w:rPr>
                <w:color w:val="auto"/>
                <w:kern w:val="0"/>
                <w:sz w:val="24"/>
                <w:highlight w:val="none"/>
              </w:rPr>
            </w:pPr>
          </w:p>
        </w:tc>
        <w:tc>
          <w:tcPr>
            <w:tcW w:w="2330" w:type="dxa"/>
            <w:tcBorders>
              <w:top w:val="single" w:color="auto" w:sz="8" w:space="0"/>
              <w:left w:val="single" w:color="auto" w:sz="8" w:space="0"/>
              <w:bottom w:val="single" w:color="auto" w:sz="8" w:space="0"/>
              <w:right w:val="single" w:color="auto" w:sz="8" w:space="0"/>
            </w:tcBorders>
          </w:tcPr>
          <w:p w14:paraId="36033D02">
            <w:pPr>
              <w:autoSpaceDE w:val="0"/>
              <w:autoSpaceDN w:val="0"/>
              <w:rPr>
                <w:color w:val="auto"/>
                <w:kern w:val="0"/>
                <w:sz w:val="24"/>
                <w:highlight w:val="none"/>
              </w:rPr>
            </w:pPr>
          </w:p>
        </w:tc>
        <w:tc>
          <w:tcPr>
            <w:tcW w:w="1387" w:type="dxa"/>
            <w:tcBorders>
              <w:top w:val="single" w:color="auto" w:sz="8" w:space="0"/>
              <w:left w:val="single" w:color="auto" w:sz="8" w:space="0"/>
              <w:bottom w:val="single" w:color="auto" w:sz="8" w:space="0"/>
              <w:right w:val="single" w:color="auto" w:sz="12" w:space="0"/>
            </w:tcBorders>
          </w:tcPr>
          <w:p w14:paraId="0078A0D2">
            <w:pPr>
              <w:autoSpaceDE w:val="0"/>
              <w:autoSpaceDN w:val="0"/>
              <w:rPr>
                <w:color w:val="auto"/>
                <w:kern w:val="0"/>
                <w:sz w:val="24"/>
                <w:highlight w:val="none"/>
              </w:rPr>
            </w:pPr>
          </w:p>
        </w:tc>
      </w:tr>
      <w:tr w14:paraId="10076D8E">
        <w:tblPrEx>
          <w:tblCellMar>
            <w:top w:w="0" w:type="dxa"/>
            <w:left w:w="0" w:type="dxa"/>
            <w:bottom w:w="0" w:type="dxa"/>
            <w:right w:w="0" w:type="dxa"/>
          </w:tblCellMar>
        </w:tblPrEx>
        <w:trPr>
          <w:trHeight w:val="780" w:hRule="atLeast"/>
        </w:trPr>
        <w:tc>
          <w:tcPr>
            <w:tcW w:w="1437" w:type="dxa"/>
            <w:tcBorders>
              <w:top w:val="single" w:color="auto" w:sz="8" w:space="0"/>
              <w:left w:val="single" w:color="auto" w:sz="12" w:space="0"/>
              <w:bottom w:val="single" w:color="auto" w:sz="8" w:space="0"/>
              <w:right w:val="single" w:color="auto" w:sz="8" w:space="0"/>
            </w:tcBorders>
          </w:tcPr>
          <w:p w14:paraId="79AFE8FE">
            <w:pPr>
              <w:autoSpaceDE w:val="0"/>
              <w:autoSpaceDN w:val="0"/>
              <w:rPr>
                <w:color w:val="auto"/>
                <w:kern w:val="0"/>
                <w:sz w:val="24"/>
                <w:highlight w:val="none"/>
              </w:rPr>
            </w:pPr>
          </w:p>
        </w:tc>
        <w:tc>
          <w:tcPr>
            <w:tcW w:w="1430" w:type="dxa"/>
            <w:tcBorders>
              <w:top w:val="single" w:color="auto" w:sz="8" w:space="0"/>
              <w:left w:val="single" w:color="auto" w:sz="8" w:space="0"/>
              <w:bottom w:val="single" w:color="auto" w:sz="8" w:space="0"/>
              <w:right w:val="single" w:color="auto" w:sz="8" w:space="0"/>
            </w:tcBorders>
          </w:tcPr>
          <w:p w14:paraId="6BDB347F">
            <w:pPr>
              <w:autoSpaceDE w:val="0"/>
              <w:autoSpaceDN w:val="0"/>
              <w:rPr>
                <w:color w:val="auto"/>
                <w:kern w:val="0"/>
                <w:sz w:val="24"/>
                <w:highlight w:val="none"/>
              </w:rPr>
            </w:pPr>
          </w:p>
        </w:tc>
        <w:tc>
          <w:tcPr>
            <w:tcW w:w="2516" w:type="dxa"/>
            <w:tcBorders>
              <w:top w:val="single" w:color="auto" w:sz="8" w:space="0"/>
              <w:left w:val="single" w:color="auto" w:sz="8" w:space="0"/>
              <w:bottom w:val="single" w:color="auto" w:sz="8" w:space="0"/>
              <w:right w:val="single" w:color="auto" w:sz="8" w:space="0"/>
            </w:tcBorders>
          </w:tcPr>
          <w:p w14:paraId="30D0D783">
            <w:pPr>
              <w:autoSpaceDE w:val="0"/>
              <w:autoSpaceDN w:val="0"/>
              <w:rPr>
                <w:rFonts w:ascii="宋体" w:cs="宋体"/>
                <w:color w:val="auto"/>
                <w:kern w:val="0"/>
                <w:sz w:val="24"/>
                <w:highlight w:val="none"/>
              </w:rPr>
            </w:pPr>
          </w:p>
        </w:tc>
        <w:tc>
          <w:tcPr>
            <w:tcW w:w="2330" w:type="dxa"/>
            <w:tcBorders>
              <w:top w:val="single" w:color="auto" w:sz="8" w:space="0"/>
              <w:left w:val="single" w:color="auto" w:sz="8" w:space="0"/>
              <w:bottom w:val="single" w:color="auto" w:sz="8" w:space="0"/>
              <w:right w:val="single" w:color="auto" w:sz="8" w:space="0"/>
            </w:tcBorders>
          </w:tcPr>
          <w:p w14:paraId="4BDB0863">
            <w:pPr>
              <w:autoSpaceDE w:val="0"/>
              <w:autoSpaceDN w:val="0"/>
              <w:rPr>
                <w:color w:val="auto"/>
                <w:kern w:val="0"/>
                <w:sz w:val="24"/>
                <w:highlight w:val="none"/>
              </w:rPr>
            </w:pPr>
          </w:p>
        </w:tc>
        <w:tc>
          <w:tcPr>
            <w:tcW w:w="1387" w:type="dxa"/>
            <w:tcBorders>
              <w:top w:val="single" w:color="auto" w:sz="8" w:space="0"/>
              <w:left w:val="single" w:color="auto" w:sz="8" w:space="0"/>
              <w:bottom w:val="single" w:color="auto" w:sz="8" w:space="0"/>
              <w:right w:val="single" w:color="auto" w:sz="12" w:space="0"/>
            </w:tcBorders>
          </w:tcPr>
          <w:p w14:paraId="00E469EB">
            <w:pPr>
              <w:autoSpaceDE w:val="0"/>
              <w:autoSpaceDN w:val="0"/>
              <w:rPr>
                <w:color w:val="auto"/>
                <w:kern w:val="0"/>
                <w:sz w:val="24"/>
                <w:highlight w:val="none"/>
              </w:rPr>
            </w:pPr>
          </w:p>
        </w:tc>
      </w:tr>
      <w:tr w14:paraId="0DFBD747">
        <w:tblPrEx>
          <w:tblCellMar>
            <w:top w:w="0" w:type="dxa"/>
            <w:left w:w="0" w:type="dxa"/>
            <w:bottom w:w="0" w:type="dxa"/>
            <w:right w:w="0" w:type="dxa"/>
          </w:tblCellMar>
        </w:tblPrEx>
        <w:trPr>
          <w:trHeight w:val="574" w:hRule="atLeast"/>
        </w:trPr>
        <w:tc>
          <w:tcPr>
            <w:tcW w:w="1437" w:type="dxa"/>
            <w:tcBorders>
              <w:top w:val="single" w:color="auto" w:sz="8" w:space="0"/>
              <w:left w:val="single" w:color="auto" w:sz="12" w:space="0"/>
              <w:bottom w:val="single" w:color="auto" w:sz="8" w:space="0"/>
              <w:right w:val="single" w:color="auto" w:sz="8" w:space="0"/>
            </w:tcBorders>
          </w:tcPr>
          <w:p w14:paraId="575B6562">
            <w:pPr>
              <w:autoSpaceDE w:val="0"/>
              <w:autoSpaceDN w:val="0"/>
              <w:rPr>
                <w:color w:val="auto"/>
                <w:kern w:val="0"/>
                <w:sz w:val="24"/>
                <w:highlight w:val="none"/>
              </w:rPr>
            </w:pPr>
          </w:p>
        </w:tc>
        <w:tc>
          <w:tcPr>
            <w:tcW w:w="1430" w:type="dxa"/>
            <w:tcBorders>
              <w:top w:val="single" w:color="auto" w:sz="8" w:space="0"/>
              <w:left w:val="single" w:color="auto" w:sz="8" w:space="0"/>
              <w:bottom w:val="single" w:color="auto" w:sz="8" w:space="0"/>
              <w:right w:val="single" w:color="auto" w:sz="8" w:space="0"/>
            </w:tcBorders>
          </w:tcPr>
          <w:p w14:paraId="36A3D559">
            <w:pPr>
              <w:autoSpaceDE w:val="0"/>
              <w:autoSpaceDN w:val="0"/>
              <w:rPr>
                <w:color w:val="auto"/>
                <w:kern w:val="0"/>
                <w:sz w:val="24"/>
                <w:highlight w:val="none"/>
              </w:rPr>
            </w:pPr>
          </w:p>
        </w:tc>
        <w:tc>
          <w:tcPr>
            <w:tcW w:w="2516" w:type="dxa"/>
            <w:tcBorders>
              <w:top w:val="single" w:color="auto" w:sz="8" w:space="0"/>
              <w:left w:val="single" w:color="auto" w:sz="8" w:space="0"/>
              <w:bottom w:val="single" w:color="auto" w:sz="8" w:space="0"/>
              <w:right w:val="single" w:color="auto" w:sz="8" w:space="0"/>
            </w:tcBorders>
          </w:tcPr>
          <w:p w14:paraId="718B6234">
            <w:pPr>
              <w:autoSpaceDE w:val="0"/>
              <w:autoSpaceDN w:val="0"/>
              <w:rPr>
                <w:color w:val="auto"/>
                <w:kern w:val="0"/>
                <w:sz w:val="24"/>
                <w:highlight w:val="none"/>
              </w:rPr>
            </w:pPr>
          </w:p>
        </w:tc>
        <w:tc>
          <w:tcPr>
            <w:tcW w:w="2330" w:type="dxa"/>
            <w:tcBorders>
              <w:top w:val="single" w:color="auto" w:sz="8" w:space="0"/>
              <w:left w:val="single" w:color="auto" w:sz="8" w:space="0"/>
              <w:bottom w:val="single" w:color="auto" w:sz="8" w:space="0"/>
              <w:right w:val="single" w:color="auto" w:sz="8" w:space="0"/>
            </w:tcBorders>
          </w:tcPr>
          <w:p w14:paraId="3216E73A">
            <w:pPr>
              <w:autoSpaceDE w:val="0"/>
              <w:autoSpaceDN w:val="0"/>
              <w:rPr>
                <w:color w:val="auto"/>
                <w:kern w:val="0"/>
                <w:sz w:val="24"/>
                <w:highlight w:val="none"/>
              </w:rPr>
            </w:pPr>
          </w:p>
        </w:tc>
        <w:tc>
          <w:tcPr>
            <w:tcW w:w="1387" w:type="dxa"/>
            <w:tcBorders>
              <w:top w:val="single" w:color="auto" w:sz="8" w:space="0"/>
              <w:left w:val="single" w:color="auto" w:sz="8" w:space="0"/>
              <w:bottom w:val="single" w:color="auto" w:sz="8" w:space="0"/>
              <w:right w:val="single" w:color="auto" w:sz="12" w:space="0"/>
            </w:tcBorders>
          </w:tcPr>
          <w:p w14:paraId="1882F812">
            <w:pPr>
              <w:autoSpaceDE w:val="0"/>
              <w:autoSpaceDN w:val="0"/>
              <w:rPr>
                <w:color w:val="auto"/>
                <w:kern w:val="0"/>
                <w:sz w:val="24"/>
                <w:highlight w:val="none"/>
              </w:rPr>
            </w:pPr>
          </w:p>
        </w:tc>
      </w:tr>
      <w:tr w14:paraId="66C62E4D">
        <w:tblPrEx>
          <w:tblCellMar>
            <w:top w:w="0" w:type="dxa"/>
            <w:left w:w="0" w:type="dxa"/>
            <w:bottom w:w="0" w:type="dxa"/>
            <w:right w:w="0" w:type="dxa"/>
          </w:tblCellMar>
        </w:tblPrEx>
        <w:trPr>
          <w:trHeight w:val="566" w:hRule="atLeast"/>
        </w:trPr>
        <w:tc>
          <w:tcPr>
            <w:tcW w:w="1437" w:type="dxa"/>
            <w:tcBorders>
              <w:top w:val="single" w:color="auto" w:sz="8" w:space="0"/>
              <w:left w:val="single" w:color="auto" w:sz="12" w:space="0"/>
              <w:bottom w:val="single" w:color="auto" w:sz="8" w:space="0"/>
              <w:right w:val="single" w:color="auto" w:sz="8" w:space="0"/>
            </w:tcBorders>
          </w:tcPr>
          <w:p w14:paraId="6E89CC7E">
            <w:pPr>
              <w:autoSpaceDE w:val="0"/>
              <w:autoSpaceDN w:val="0"/>
              <w:rPr>
                <w:color w:val="auto"/>
                <w:kern w:val="0"/>
                <w:sz w:val="24"/>
                <w:highlight w:val="none"/>
              </w:rPr>
            </w:pPr>
          </w:p>
        </w:tc>
        <w:tc>
          <w:tcPr>
            <w:tcW w:w="1430" w:type="dxa"/>
            <w:tcBorders>
              <w:top w:val="single" w:color="auto" w:sz="8" w:space="0"/>
              <w:left w:val="single" w:color="auto" w:sz="8" w:space="0"/>
              <w:bottom w:val="single" w:color="auto" w:sz="8" w:space="0"/>
              <w:right w:val="single" w:color="auto" w:sz="8" w:space="0"/>
            </w:tcBorders>
          </w:tcPr>
          <w:p w14:paraId="1196F89B">
            <w:pPr>
              <w:autoSpaceDE w:val="0"/>
              <w:autoSpaceDN w:val="0"/>
              <w:rPr>
                <w:color w:val="auto"/>
                <w:kern w:val="0"/>
                <w:sz w:val="24"/>
                <w:highlight w:val="none"/>
              </w:rPr>
            </w:pPr>
          </w:p>
        </w:tc>
        <w:tc>
          <w:tcPr>
            <w:tcW w:w="2516" w:type="dxa"/>
            <w:tcBorders>
              <w:top w:val="single" w:color="auto" w:sz="8" w:space="0"/>
              <w:left w:val="single" w:color="auto" w:sz="8" w:space="0"/>
              <w:bottom w:val="single" w:color="auto" w:sz="8" w:space="0"/>
              <w:right w:val="single" w:color="auto" w:sz="8" w:space="0"/>
            </w:tcBorders>
          </w:tcPr>
          <w:p w14:paraId="30DD7E18">
            <w:pPr>
              <w:autoSpaceDE w:val="0"/>
              <w:autoSpaceDN w:val="0"/>
              <w:rPr>
                <w:color w:val="auto"/>
                <w:kern w:val="0"/>
                <w:sz w:val="24"/>
                <w:highlight w:val="none"/>
              </w:rPr>
            </w:pPr>
          </w:p>
        </w:tc>
        <w:tc>
          <w:tcPr>
            <w:tcW w:w="2330" w:type="dxa"/>
            <w:tcBorders>
              <w:top w:val="single" w:color="auto" w:sz="8" w:space="0"/>
              <w:left w:val="single" w:color="auto" w:sz="8" w:space="0"/>
              <w:bottom w:val="single" w:color="auto" w:sz="8" w:space="0"/>
              <w:right w:val="single" w:color="auto" w:sz="8" w:space="0"/>
            </w:tcBorders>
          </w:tcPr>
          <w:p w14:paraId="04A7E110">
            <w:pPr>
              <w:autoSpaceDE w:val="0"/>
              <w:autoSpaceDN w:val="0"/>
              <w:rPr>
                <w:color w:val="auto"/>
                <w:kern w:val="0"/>
                <w:sz w:val="24"/>
                <w:highlight w:val="none"/>
              </w:rPr>
            </w:pPr>
          </w:p>
        </w:tc>
        <w:tc>
          <w:tcPr>
            <w:tcW w:w="1387" w:type="dxa"/>
            <w:tcBorders>
              <w:top w:val="single" w:color="auto" w:sz="8" w:space="0"/>
              <w:left w:val="single" w:color="auto" w:sz="8" w:space="0"/>
              <w:bottom w:val="single" w:color="auto" w:sz="8" w:space="0"/>
              <w:right w:val="single" w:color="auto" w:sz="12" w:space="0"/>
            </w:tcBorders>
          </w:tcPr>
          <w:p w14:paraId="39295B3F">
            <w:pPr>
              <w:autoSpaceDE w:val="0"/>
              <w:autoSpaceDN w:val="0"/>
              <w:rPr>
                <w:color w:val="auto"/>
                <w:kern w:val="0"/>
                <w:sz w:val="24"/>
                <w:highlight w:val="none"/>
              </w:rPr>
            </w:pPr>
          </w:p>
        </w:tc>
      </w:tr>
      <w:tr w14:paraId="5CF49477">
        <w:tblPrEx>
          <w:tblCellMar>
            <w:top w:w="0" w:type="dxa"/>
            <w:left w:w="0" w:type="dxa"/>
            <w:bottom w:w="0" w:type="dxa"/>
            <w:right w:w="0" w:type="dxa"/>
          </w:tblCellMar>
        </w:tblPrEx>
        <w:trPr>
          <w:trHeight w:val="574" w:hRule="atLeast"/>
        </w:trPr>
        <w:tc>
          <w:tcPr>
            <w:tcW w:w="1437" w:type="dxa"/>
            <w:tcBorders>
              <w:top w:val="single" w:color="auto" w:sz="8" w:space="0"/>
              <w:left w:val="single" w:color="auto" w:sz="12" w:space="0"/>
              <w:bottom w:val="single" w:color="auto" w:sz="8" w:space="0"/>
              <w:right w:val="single" w:color="auto" w:sz="8" w:space="0"/>
            </w:tcBorders>
          </w:tcPr>
          <w:p w14:paraId="3DFF5DAF">
            <w:pPr>
              <w:autoSpaceDE w:val="0"/>
              <w:autoSpaceDN w:val="0"/>
              <w:rPr>
                <w:color w:val="auto"/>
                <w:kern w:val="0"/>
                <w:sz w:val="24"/>
                <w:highlight w:val="none"/>
              </w:rPr>
            </w:pPr>
          </w:p>
        </w:tc>
        <w:tc>
          <w:tcPr>
            <w:tcW w:w="1430" w:type="dxa"/>
            <w:tcBorders>
              <w:top w:val="single" w:color="auto" w:sz="8" w:space="0"/>
              <w:left w:val="single" w:color="auto" w:sz="8" w:space="0"/>
              <w:bottom w:val="single" w:color="auto" w:sz="8" w:space="0"/>
              <w:right w:val="single" w:color="auto" w:sz="8" w:space="0"/>
            </w:tcBorders>
          </w:tcPr>
          <w:p w14:paraId="486371DD">
            <w:pPr>
              <w:autoSpaceDE w:val="0"/>
              <w:autoSpaceDN w:val="0"/>
              <w:rPr>
                <w:color w:val="auto"/>
                <w:kern w:val="0"/>
                <w:sz w:val="24"/>
                <w:highlight w:val="none"/>
              </w:rPr>
            </w:pPr>
          </w:p>
        </w:tc>
        <w:tc>
          <w:tcPr>
            <w:tcW w:w="2516" w:type="dxa"/>
            <w:tcBorders>
              <w:top w:val="single" w:color="auto" w:sz="8" w:space="0"/>
              <w:left w:val="single" w:color="auto" w:sz="8" w:space="0"/>
              <w:bottom w:val="single" w:color="auto" w:sz="8" w:space="0"/>
              <w:right w:val="single" w:color="auto" w:sz="8" w:space="0"/>
            </w:tcBorders>
          </w:tcPr>
          <w:p w14:paraId="17B83CDB">
            <w:pPr>
              <w:autoSpaceDE w:val="0"/>
              <w:autoSpaceDN w:val="0"/>
              <w:rPr>
                <w:color w:val="auto"/>
                <w:kern w:val="0"/>
                <w:sz w:val="24"/>
                <w:highlight w:val="none"/>
              </w:rPr>
            </w:pPr>
          </w:p>
        </w:tc>
        <w:tc>
          <w:tcPr>
            <w:tcW w:w="2330" w:type="dxa"/>
            <w:tcBorders>
              <w:top w:val="single" w:color="auto" w:sz="8" w:space="0"/>
              <w:left w:val="single" w:color="auto" w:sz="8" w:space="0"/>
              <w:bottom w:val="single" w:color="auto" w:sz="8" w:space="0"/>
              <w:right w:val="single" w:color="auto" w:sz="8" w:space="0"/>
            </w:tcBorders>
          </w:tcPr>
          <w:p w14:paraId="32488F0B">
            <w:pPr>
              <w:autoSpaceDE w:val="0"/>
              <w:autoSpaceDN w:val="0"/>
              <w:rPr>
                <w:color w:val="auto"/>
                <w:kern w:val="0"/>
                <w:sz w:val="24"/>
                <w:highlight w:val="none"/>
              </w:rPr>
            </w:pPr>
          </w:p>
        </w:tc>
        <w:tc>
          <w:tcPr>
            <w:tcW w:w="1387" w:type="dxa"/>
            <w:tcBorders>
              <w:top w:val="single" w:color="auto" w:sz="8" w:space="0"/>
              <w:left w:val="single" w:color="auto" w:sz="8" w:space="0"/>
              <w:bottom w:val="single" w:color="auto" w:sz="8" w:space="0"/>
              <w:right w:val="single" w:color="auto" w:sz="12" w:space="0"/>
            </w:tcBorders>
          </w:tcPr>
          <w:p w14:paraId="5DFA6EEF">
            <w:pPr>
              <w:autoSpaceDE w:val="0"/>
              <w:autoSpaceDN w:val="0"/>
              <w:rPr>
                <w:color w:val="auto"/>
                <w:kern w:val="0"/>
                <w:sz w:val="24"/>
                <w:highlight w:val="none"/>
              </w:rPr>
            </w:pPr>
          </w:p>
        </w:tc>
      </w:tr>
      <w:tr w14:paraId="79A206C5">
        <w:tblPrEx>
          <w:tblCellMar>
            <w:top w:w="0" w:type="dxa"/>
            <w:left w:w="0" w:type="dxa"/>
            <w:bottom w:w="0" w:type="dxa"/>
            <w:right w:w="0" w:type="dxa"/>
          </w:tblCellMar>
        </w:tblPrEx>
        <w:trPr>
          <w:trHeight w:val="574" w:hRule="atLeast"/>
        </w:trPr>
        <w:tc>
          <w:tcPr>
            <w:tcW w:w="1437" w:type="dxa"/>
            <w:tcBorders>
              <w:top w:val="single" w:color="auto" w:sz="8" w:space="0"/>
              <w:left w:val="single" w:color="auto" w:sz="12" w:space="0"/>
              <w:bottom w:val="single" w:color="auto" w:sz="8" w:space="0"/>
              <w:right w:val="single" w:color="auto" w:sz="8" w:space="0"/>
            </w:tcBorders>
          </w:tcPr>
          <w:p w14:paraId="6F56771E">
            <w:pPr>
              <w:autoSpaceDE w:val="0"/>
              <w:autoSpaceDN w:val="0"/>
              <w:rPr>
                <w:color w:val="auto"/>
                <w:kern w:val="0"/>
                <w:sz w:val="24"/>
                <w:highlight w:val="none"/>
              </w:rPr>
            </w:pPr>
          </w:p>
        </w:tc>
        <w:tc>
          <w:tcPr>
            <w:tcW w:w="1430" w:type="dxa"/>
            <w:tcBorders>
              <w:top w:val="single" w:color="auto" w:sz="8" w:space="0"/>
              <w:left w:val="single" w:color="auto" w:sz="8" w:space="0"/>
              <w:bottom w:val="single" w:color="auto" w:sz="8" w:space="0"/>
              <w:right w:val="single" w:color="auto" w:sz="8" w:space="0"/>
            </w:tcBorders>
          </w:tcPr>
          <w:p w14:paraId="6AA476AA">
            <w:pPr>
              <w:autoSpaceDE w:val="0"/>
              <w:autoSpaceDN w:val="0"/>
              <w:rPr>
                <w:color w:val="auto"/>
                <w:kern w:val="0"/>
                <w:sz w:val="24"/>
                <w:highlight w:val="none"/>
              </w:rPr>
            </w:pPr>
          </w:p>
        </w:tc>
        <w:tc>
          <w:tcPr>
            <w:tcW w:w="2516" w:type="dxa"/>
            <w:tcBorders>
              <w:top w:val="single" w:color="auto" w:sz="8" w:space="0"/>
              <w:left w:val="single" w:color="auto" w:sz="8" w:space="0"/>
              <w:bottom w:val="single" w:color="auto" w:sz="8" w:space="0"/>
              <w:right w:val="single" w:color="auto" w:sz="8" w:space="0"/>
            </w:tcBorders>
          </w:tcPr>
          <w:p w14:paraId="7DE23D10">
            <w:pPr>
              <w:autoSpaceDE w:val="0"/>
              <w:autoSpaceDN w:val="0"/>
              <w:rPr>
                <w:color w:val="auto"/>
                <w:kern w:val="0"/>
                <w:sz w:val="24"/>
                <w:highlight w:val="none"/>
              </w:rPr>
            </w:pPr>
          </w:p>
        </w:tc>
        <w:tc>
          <w:tcPr>
            <w:tcW w:w="2330" w:type="dxa"/>
            <w:tcBorders>
              <w:top w:val="single" w:color="auto" w:sz="8" w:space="0"/>
              <w:left w:val="single" w:color="auto" w:sz="8" w:space="0"/>
              <w:bottom w:val="single" w:color="auto" w:sz="8" w:space="0"/>
              <w:right w:val="single" w:color="auto" w:sz="8" w:space="0"/>
            </w:tcBorders>
          </w:tcPr>
          <w:p w14:paraId="5FB52BE0">
            <w:pPr>
              <w:autoSpaceDE w:val="0"/>
              <w:autoSpaceDN w:val="0"/>
              <w:rPr>
                <w:color w:val="auto"/>
                <w:kern w:val="0"/>
                <w:sz w:val="24"/>
                <w:highlight w:val="none"/>
              </w:rPr>
            </w:pPr>
          </w:p>
        </w:tc>
        <w:tc>
          <w:tcPr>
            <w:tcW w:w="1387" w:type="dxa"/>
            <w:tcBorders>
              <w:top w:val="single" w:color="auto" w:sz="8" w:space="0"/>
              <w:left w:val="single" w:color="auto" w:sz="8" w:space="0"/>
              <w:bottom w:val="single" w:color="auto" w:sz="8" w:space="0"/>
              <w:right w:val="single" w:color="auto" w:sz="12" w:space="0"/>
            </w:tcBorders>
          </w:tcPr>
          <w:p w14:paraId="591A6D1C">
            <w:pPr>
              <w:autoSpaceDE w:val="0"/>
              <w:autoSpaceDN w:val="0"/>
              <w:rPr>
                <w:color w:val="auto"/>
                <w:kern w:val="0"/>
                <w:sz w:val="24"/>
                <w:highlight w:val="none"/>
              </w:rPr>
            </w:pPr>
          </w:p>
        </w:tc>
      </w:tr>
      <w:tr w14:paraId="62155C74">
        <w:tblPrEx>
          <w:tblCellMar>
            <w:top w:w="0" w:type="dxa"/>
            <w:left w:w="0" w:type="dxa"/>
            <w:bottom w:w="0" w:type="dxa"/>
            <w:right w:w="0" w:type="dxa"/>
          </w:tblCellMar>
        </w:tblPrEx>
        <w:trPr>
          <w:trHeight w:val="602" w:hRule="atLeast"/>
        </w:trPr>
        <w:tc>
          <w:tcPr>
            <w:tcW w:w="1437" w:type="dxa"/>
            <w:tcBorders>
              <w:top w:val="single" w:color="auto" w:sz="8" w:space="0"/>
              <w:left w:val="single" w:color="auto" w:sz="12" w:space="0"/>
              <w:bottom w:val="single" w:color="auto" w:sz="12" w:space="0"/>
              <w:right w:val="single" w:color="auto" w:sz="8" w:space="0"/>
            </w:tcBorders>
          </w:tcPr>
          <w:p w14:paraId="17D64671">
            <w:pPr>
              <w:autoSpaceDE w:val="0"/>
              <w:autoSpaceDN w:val="0"/>
              <w:rPr>
                <w:color w:val="auto"/>
                <w:kern w:val="0"/>
                <w:sz w:val="24"/>
                <w:highlight w:val="none"/>
              </w:rPr>
            </w:pPr>
          </w:p>
        </w:tc>
        <w:tc>
          <w:tcPr>
            <w:tcW w:w="1430" w:type="dxa"/>
            <w:tcBorders>
              <w:top w:val="single" w:color="auto" w:sz="8" w:space="0"/>
              <w:left w:val="single" w:color="auto" w:sz="8" w:space="0"/>
              <w:bottom w:val="single" w:color="auto" w:sz="12" w:space="0"/>
              <w:right w:val="single" w:color="auto" w:sz="8" w:space="0"/>
            </w:tcBorders>
          </w:tcPr>
          <w:p w14:paraId="03AC6C68">
            <w:pPr>
              <w:autoSpaceDE w:val="0"/>
              <w:autoSpaceDN w:val="0"/>
              <w:rPr>
                <w:color w:val="auto"/>
                <w:kern w:val="0"/>
                <w:sz w:val="24"/>
                <w:highlight w:val="none"/>
              </w:rPr>
            </w:pPr>
          </w:p>
        </w:tc>
        <w:tc>
          <w:tcPr>
            <w:tcW w:w="2516" w:type="dxa"/>
            <w:tcBorders>
              <w:top w:val="single" w:color="auto" w:sz="8" w:space="0"/>
              <w:left w:val="single" w:color="auto" w:sz="8" w:space="0"/>
              <w:bottom w:val="single" w:color="auto" w:sz="12" w:space="0"/>
              <w:right w:val="single" w:color="auto" w:sz="8" w:space="0"/>
            </w:tcBorders>
          </w:tcPr>
          <w:p w14:paraId="7B842493">
            <w:pPr>
              <w:autoSpaceDE w:val="0"/>
              <w:autoSpaceDN w:val="0"/>
              <w:rPr>
                <w:color w:val="auto"/>
                <w:kern w:val="0"/>
                <w:sz w:val="24"/>
                <w:highlight w:val="none"/>
              </w:rPr>
            </w:pPr>
          </w:p>
        </w:tc>
        <w:tc>
          <w:tcPr>
            <w:tcW w:w="2330" w:type="dxa"/>
            <w:tcBorders>
              <w:top w:val="single" w:color="auto" w:sz="8" w:space="0"/>
              <w:left w:val="single" w:color="auto" w:sz="8" w:space="0"/>
              <w:bottom w:val="single" w:color="auto" w:sz="12" w:space="0"/>
              <w:right w:val="single" w:color="auto" w:sz="8" w:space="0"/>
            </w:tcBorders>
          </w:tcPr>
          <w:p w14:paraId="6C7B3A2B">
            <w:pPr>
              <w:autoSpaceDE w:val="0"/>
              <w:autoSpaceDN w:val="0"/>
              <w:rPr>
                <w:color w:val="auto"/>
                <w:kern w:val="0"/>
                <w:sz w:val="24"/>
                <w:highlight w:val="none"/>
              </w:rPr>
            </w:pPr>
          </w:p>
        </w:tc>
        <w:tc>
          <w:tcPr>
            <w:tcW w:w="1387" w:type="dxa"/>
            <w:tcBorders>
              <w:top w:val="single" w:color="auto" w:sz="8" w:space="0"/>
              <w:left w:val="single" w:color="auto" w:sz="8" w:space="0"/>
              <w:bottom w:val="single" w:color="auto" w:sz="12" w:space="0"/>
              <w:right w:val="single" w:color="auto" w:sz="12" w:space="0"/>
            </w:tcBorders>
          </w:tcPr>
          <w:p w14:paraId="3F24C16E">
            <w:pPr>
              <w:autoSpaceDE w:val="0"/>
              <w:autoSpaceDN w:val="0"/>
              <w:rPr>
                <w:color w:val="auto"/>
                <w:kern w:val="0"/>
                <w:sz w:val="24"/>
                <w:highlight w:val="none"/>
              </w:rPr>
            </w:pPr>
          </w:p>
        </w:tc>
      </w:tr>
    </w:tbl>
    <w:p w14:paraId="0852D63A">
      <w:pPr>
        <w:autoSpaceDE w:val="0"/>
        <w:autoSpaceDN w:val="0"/>
        <w:adjustRightInd w:val="0"/>
        <w:jc w:val="left"/>
        <w:rPr>
          <w:color w:val="auto"/>
          <w:kern w:val="0"/>
          <w:sz w:val="24"/>
          <w:highlight w:val="none"/>
        </w:rPr>
      </w:pPr>
    </w:p>
    <w:p w14:paraId="3C031BA4">
      <w:pPr>
        <w:snapToGrid w:val="0"/>
        <w:spacing w:before="50" w:after="50"/>
        <w:rPr>
          <w:rFonts w:ascii="宋体" w:hAnsi="宋体"/>
          <w:color w:val="auto"/>
          <w:szCs w:val="21"/>
          <w:highlight w:val="none"/>
        </w:rPr>
      </w:pPr>
    </w:p>
    <w:p w14:paraId="32C04C0B">
      <w:pPr>
        <w:pStyle w:val="5"/>
        <w:overflowPunct w:val="0"/>
        <w:spacing w:line="520" w:lineRule="exact"/>
        <w:ind w:firstLine="0"/>
        <w:jc w:val="center"/>
        <w:rPr>
          <w:color w:val="auto"/>
          <w:sz w:val="24"/>
          <w:highlight w:val="none"/>
        </w:rPr>
      </w:pPr>
      <w:r>
        <w:rPr>
          <w:rFonts w:hint="eastAsia"/>
          <w:color w:val="auto"/>
          <w:sz w:val="24"/>
          <w:highlight w:val="none"/>
        </w:rPr>
        <w:t>供应商名称：</w:t>
      </w:r>
      <w:r>
        <w:rPr>
          <w:rFonts w:hint="eastAsia"/>
          <w:color w:val="auto"/>
          <w:sz w:val="24"/>
          <w:highlight w:val="none"/>
          <w:u w:val="single"/>
        </w:rPr>
        <w:t xml:space="preserve">                         </w:t>
      </w:r>
      <w:r>
        <w:rPr>
          <w:rFonts w:hint="eastAsia"/>
          <w:color w:val="auto"/>
          <w:sz w:val="24"/>
          <w:highlight w:val="none"/>
        </w:rPr>
        <w:t>（盖单位公章）</w:t>
      </w:r>
    </w:p>
    <w:p w14:paraId="762DEC56">
      <w:pPr>
        <w:pStyle w:val="5"/>
        <w:overflowPunct w:val="0"/>
        <w:spacing w:line="520" w:lineRule="exact"/>
        <w:ind w:firstLine="1478" w:firstLineChars="616"/>
        <w:rPr>
          <w:color w:val="auto"/>
          <w:sz w:val="24"/>
          <w:highlight w:val="none"/>
        </w:rPr>
      </w:pPr>
      <w:r>
        <w:rPr>
          <w:rFonts w:hint="eastAsia"/>
          <w:color w:val="auto"/>
          <w:sz w:val="24"/>
          <w:highlight w:val="none"/>
        </w:rPr>
        <w:t>法定代表人或其委托代理人：</w:t>
      </w:r>
      <w:r>
        <w:rPr>
          <w:rFonts w:hint="eastAsia"/>
          <w:color w:val="auto"/>
          <w:sz w:val="24"/>
          <w:highlight w:val="none"/>
          <w:u w:val="single"/>
        </w:rPr>
        <w:t xml:space="preserve">           </w:t>
      </w:r>
      <w:r>
        <w:rPr>
          <w:rFonts w:hint="eastAsia"/>
          <w:color w:val="auto"/>
          <w:sz w:val="24"/>
          <w:highlight w:val="none"/>
        </w:rPr>
        <w:t>（签字）</w:t>
      </w:r>
    </w:p>
    <w:p w14:paraId="63EE8259">
      <w:pPr>
        <w:pStyle w:val="5"/>
        <w:overflowPunct w:val="0"/>
        <w:spacing w:line="520" w:lineRule="exact"/>
        <w:ind w:firstLine="3998" w:firstLineChars="1666"/>
        <w:rPr>
          <w:color w:val="auto"/>
          <w:sz w:val="24"/>
          <w:highlight w:val="none"/>
        </w:rPr>
      </w:pPr>
      <w:r>
        <w:rPr>
          <w:rFonts w:hint="eastAsia"/>
          <w:color w:val="auto"/>
          <w:sz w:val="24"/>
          <w:highlight w:val="none"/>
          <w:u w:val="single"/>
        </w:rPr>
        <w:t xml:space="preserve">      </w:t>
      </w:r>
      <w:r>
        <w:rPr>
          <w:rFonts w:hint="eastAsia"/>
          <w:color w:val="auto"/>
          <w:sz w:val="24"/>
          <w:highlight w:val="none"/>
        </w:rPr>
        <w:t>年</w:t>
      </w:r>
      <w:r>
        <w:rPr>
          <w:rFonts w:hint="eastAsia"/>
          <w:color w:val="auto"/>
          <w:sz w:val="24"/>
          <w:highlight w:val="none"/>
          <w:u w:val="single"/>
        </w:rPr>
        <w:t xml:space="preserve">    </w:t>
      </w:r>
      <w:r>
        <w:rPr>
          <w:rFonts w:hint="eastAsia"/>
          <w:color w:val="auto"/>
          <w:sz w:val="24"/>
          <w:highlight w:val="none"/>
        </w:rPr>
        <w:t>月</w:t>
      </w:r>
      <w:r>
        <w:rPr>
          <w:rFonts w:hint="eastAsia"/>
          <w:color w:val="auto"/>
          <w:sz w:val="24"/>
          <w:highlight w:val="none"/>
          <w:u w:val="single"/>
        </w:rPr>
        <w:t xml:space="preserve">    </w:t>
      </w:r>
      <w:r>
        <w:rPr>
          <w:rFonts w:hint="eastAsia"/>
          <w:color w:val="auto"/>
          <w:sz w:val="24"/>
          <w:highlight w:val="none"/>
        </w:rPr>
        <w:t>日</w:t>
      </w:r>
    </w:p>
    <w:p w14:paraId="65F00846">
      <w:pPr>
        <w:snapToGrid w:val="0"/>
        <w:spacing w:before="120" w:beforeLines="50" w:after="50"/>
        <w:jc w:val="left"/>
        <w:rPr>
          <w:rFonts w:ascii="宋体" w:hAnsi="宋体"/>
          <w:color w:val="auto"/>
          <w:szCs w:val="21"/>
          <w:highlight w:val="none"/>
        </w:rPr>
      </w:pPr>
    </w:p>
    <w:p w14:paraId="62469DAE">
      <w:pPr>
        <w:snapToGrid w:val="0"/>
        <w:spacing w:before="120" w:beforeLines="50" w:after="50"/>
        <w:jc w:val="left"/>
        <w:rPr>
          <w:rFonts w:ascii="宋体" w:hAnsi="宋体"/>
          <w:color w:val="auto"/>
          <w:szCs w:val="21"/>
          <w:highlight w:val="none"/>
        </w:rPr>
      </w:pPr>
    </w:p>
    <w:p w14:paraId="36026572">
      <w:pPr>
        <w:jc w:val="center"/>
        <w:outlineLvl w:val="3"/>
        <w:rPr>
          <w:rFonts w:ascii="黑体" w:hAnsi="宋体" w:eastAsia="黑体"/>
          <w:color w:val="auto"/>
          <w:sz w:val="24"/>
          <w:highlight w:val="none"/>
        </w:rPr>
      </w:pPr>
      <w:r>
        <w:rPr>
          <w:rFonts w:hint="eastAsia" w:ascii="宋体" w:hAnsi="宋体"/>
          <w:b/>
          <w:color w:val="auto"/>
          <w:sz w:val="24"/>
          <w:highlight w:val="none"/>
        </w:rPr>
        <w:br w:type="page"/>
      </w:r>
      <w:r>
        <w:rPr>
          <w:rFonts w:hint="eastAsia" w:ascii="宋体" w:hAnsi="宋体"/>
          <w:b/>
          <w:color w:val="auto"/>
          <w:sz w:val="24"/>
          <w:highlight w:val="none"/>
        </w:rPr>
        <w:t>2.</w:t>
      </w:r>
      <w:r>
        <w:rPr>
          <w:rFonts w:ascii="黑体" w:hAnsi="宋体" w:eastAsia="黑体"/>
          <w:b/>
          <w:bCs/>
          <w:color w:val="auto"/>
          <w:sz w:val="24"/>
          <w:highlight w:val="none"/>
        </w:rPr>
        <w:t>近</w:t>
      </w:r>
      <w:r>
        <w:rPr>
          <w:rFonts w:hint="eastAsia" w:ascii="黑体" w:hAnsi="宋体" w:eastAsia="黑体"/>
          <w:b/>
          <w:bCs/>
          <w:color w:val="auto"/>
          <w:sz w:val="24"/>
          <w:highlight w:val="none"/>
          <w:lang w:val="en-US" w:eastAsia="zh-CN"/>
        </w:rPr>
        <w:t>5</w:t>
      </w:r>
      <w:r>
        <w:rPr>
          <w:rFonts w:ascii="黑体" w:hAnsi="宋体" w:eastAsia="黑体"/>
          <w:b/>
          <w:bCs/>
          <w:color w:val="auto"/>
          <w:sz w:val="24"/>
          <w:highlight w:val="none"/>
        </w:rPr>
        <w:t xml:space="preserve"> 年类似项目情况详表</w:t>
      </w:r>
    </w:p>
    <w:p w14:paraId="5A0E0A27">
      <w:pPr>
        <w:rPr>
          <w:rFonts w:ascii="黑体" w:hAnsi="宋体" w:eastAsia="黑体"/>
          <w:color w:val="auto"/>
          <w:sz w:val="24"/>
          <w:highlight w:val="none"/>
        </w:rPr>
      </w:pPr>
    </w:p>
    <w:tbl>
      <w:tblPr>
        <w:tblStyle w:val="24"/>
        <w:tblW w:w="0" w:type="auto"/>
        <w:tblInd w:w="0" w:type="dxa"/>
        <w:tblLayout w:type="fixed"/>
        <w:tblCellMar>
          <w:top w:w="0" w:type="dxa"/>
          <w:left w:w="0" w:type="dxa"/>
          <w:bottom w:w="0" w:type="dxa"/>
          <w:right w:w="0" w:type="dxa"/>
        </w:tblCellMar>
      </w:tblPr>
      <w:tblGrid>
        <w:gridCol w:w="2700"/>
        <w:gridCol w:w="6465"/>
      </w:tblGrid>
      <w:tr w14:paraId="284A9F59">
        <w:tblPrEx>
          <w:tblCellMar>
            <w:top w:w="0" w:type="dxa"/>
            <w:left w:w="0" w:type="dxa"/>
            <w:bottom w:w="0" w:type="dxa"/>
            <w:right w:w="0" w:type="dxa"/>
          </w:tblCellMar>
        </w:tblPrEx>
        <w:trPr>
          <w:trHeight w:val="432" w:hRule="atLeast"/>
        </w:trPr>
        <w:tc>
          <w:tcPr>
            <w:tcW w:w="2700" w:type="dxa"/>
            <w:tcBorders>
              <w:top w:val="single" w:color="auto" w:sz="12" w:space="0"/>
              <w:left w:val="single" w:color="auto" w:sz="12" w:space="0"/>
              <w:bottom w:val="single" w:color="auto" w:sz="8" w:space="0"/>
              <w:right w:val="single" w:color="auto" w:sz="8" w:space="0"/>
            </w:tcBorders>
            <w:vAlign w:val="center"/>
          </w:tcPr>
          <w:p w14:paraId="79D8106B">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项目名称</w:t>
            </w:r>
          </w:p>
        </w:tc>
        <w:tc>
          <w:tcPr>
            <w:tcW w:w="6465" w:type="dxa"/>
            <w:tcBorders>
              <w:top w:val="single" w:color="auto" w:sz="12" w:space="0"/>
              <w:left w:val="single" w:color="auto" w:sz="8" w:space="0"/>
              <w:bottom w:val="single" w:color="auto" w:sz="8" w:space="0"/>
              <w:right w:val="single" w:color="auto" w:sz="12" w:space="0"/>
            </w:tcBorders>
          </w:tcPr>
          <w:p w14:paraId="354E00E9">
            <w:pPr>
              <w:autoSpaceDE w:val="0"/>
              <w:autoSpaceDN w:val="0"/>
              <w:rPr>
                <w:color w:val="auto"/>
                <w:kern w:val="0"/>
                <w:sz w:val="24"/>
                <w:highlight w:val="none"/>
              </w:rPr>
            </w:pPr>
          </w:p>
        </w:tc>
      </w:tr>
      <w:tr w14:paraId="70951C06">
        <w:tblPrEx>
          <w:tblCellMar>
            <w:top w:w="0" w:type="dxa"/>
            <w:left w:w="0" w:type="dxa"/>
            <w:bottom w:w="0" w:type="dxa"/>
            <w:right w:w="0" w:type="dxa"/>
          </w:tblCellMar>
        </w:tblPrEx>
        <w:trPr>
          <w:trHeight w:val="453" w:hRule="atLeast"/>
        </w:trPr>
        <w:tc>
          <w:tcPr>
            <w:tcW w:w="2700" w:type="dxa"/>
            <w:tcBorders>
              <w:top w:val="single" w:color="auto" w:sz="8" w:space="0"/>
              <w:left w:val="single" w:color="auto" w:sz="12" w:space="0"/>
              <w:bottom w:val="single" w:color="auto" w:sz="8" w:space="0"/>
              <w:right w:val="single" w:color="auto" w:sz="8" w:space="0"/>
            </w:tcBorders>
            <w:vAlign w:val="center"/>
          </w:tcPr>
          <w:p w14:paraId="76601784">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项目所在地</w:t>
            </w:r>
          </w:p>
        </w:tc>
        <w:tc>
          <w:tcPr>
            <w:tcW w:w="6465" w:type="dxa"/>
            <w:tcBorders>
              <w:top w:val="single" w:color="auto" w:sz="8" w:space="0"/>
              <w:left w:val="single" w:color="auto" w:sz="8" w:space="0"/>
              <w:bottom w:val="single" w:color="auto" w:sz="8" w:space="0"/>
              <w:right w:val="single" w:color="auto" w:sz="12" w:space="0"/>
            </w:tcBorders>
          </w:tcPr>
          <w:p w14:paraId="4F9EA828">
            <w:pPr>
              <w:autoSpaceDE w:val="0"/>
              <w:autoSpaceDN w:val="0"/>
              <w:rPr>
                <w:color w:val="auto"/>
                <w:kern w:val="0"/>
                <w:sz w:val="24"/>
                <w:highlight w:val="none"/>
              </w:rPr>
            </w:pPr>
          </w:p>
        </w:tc>
      </w:tr>
      <w:tr w14:paraId="3E48EE0E">
        <w:tblPrEx>
          <w:tblCellMar>
            <w:top w:w="0" w:type="dxa"/>
            <w:left w:w="0" w:type="dxa"/>
            <w:bottom w:w="0" w:type="dxa"/>
            <w:right w:w="0" w:type="dxa"/>
          </w:tblCellMar>
        </w:tblPrEx>
        <w:trPr>
          <w:trHeight w:val="446" w:hRule="atLeast"/>
        </w:trPr>
        <w:tc>
          <w:tcPr>
            <w:tcW w:w="2700" w:type="dxa"/>
            <w:tcBorders>
              <w:top w:val="single" w:color="auto" w:sz="8" w:space="0"/>
              <w:left w:val="single" w:color="auto" w:sz="12" w:space="0"/>
              <w:bottom w:val="single" w:color="auto" w:sz="8" w:space="0"/>
              <w:right w:val="single" w:color="auto" w:sz="8" w:space="0"/>
            </w:tcBorders>
            <w:vAlign w:val="center"/>
          </w:tcPr>
          <w:p w14:paraId="0FE35490">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发包人名称</w:t>
            </w:r>
          </w:p>
        </w:tc>
        <w:tc>
          <w:tcPr>
            <w:tcW w:w="6465" w:type="dxa"/>
            <w:tcBorders>
              <w:top w:val="single" w:color="auto" w:sz="8" w:space="0"/>
              <w:left w:val="single" w:color="auto" w:sz="8" w:space="0"/>
              <w:bottom w:val="single" w:color="auto" w:sz="8" w:space="0"/>
              <w:right w:val="single" w:color="auto" w:sz="12" w:space="0"/>
            </w:tcBorders>
          </w:tcPr>
          <w:p w14:paraId="390F7861">
            <w:pPr>
              <w:autoSpaceDE w:val="0"/>
              <w:autoSpaceDN w:val="0"/>
              <w:rPr>
                <w:color w:val="auto"/>
                <w:kern w:val="0"/>
                <w:sz w:val="24"/>
                <w:highlight w:val="none"/>
              </w:rPr>
            </w:pPr>
          </w:p>
        </w:tc>
      </w:tr>
      <w:tr w14:paraId="4C7FE252">
        <w:tblPrEx>
          <w:tblCellMar>
            <w:top w:w="0" w:type="dxa"/>
            <w:left w:w="0" w:type="dxa"/>
            <w:bottom w:w="0" w:type="dxa"/>
            <w:right w:w="0" w:type="dxa"/>
          </w:tblCellMar>
        </w:tblPrEx>
        <w:trPr>
          <w:trHeight w:val="453" w:hRule="atLeast"/>
        </w:trPr>
        <w:tc>
          <w:tcPr>
            <w:tcW w:w="2700" w:type="dxa"/>
            <w:tcBorders>
              <w:top w:val="single" w:color="auto" w:sz="8" w:space="0"/>
              <w:left w:val="single" w:color="auto" w:sz="12" w:space="0"/>
              <w:bottom w:val="single" w:color="auto" w:sz="8" w:space="0"/>
              <w:right w:val="single" w:color="auto" w:sz="8" w:space="0"/>
            </w:tcBorders>
            <w:vAlign w:val="center"/>
          </w:tcPr>
          <w:p w14:paraId="1DE342AF">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发包人地址</w:t>
            </w:r>
          </w:p>
        </w:tc>
        <w:tc>
          <w:tcPr>
            <w:tcW w:w="6465" w:type="dxa"/>
            <w:tcBorders>
              <w:top w:val="single" w:color="auto" w:sz="8" w:space="0"/>
              <w:left w:val="single" w:color="auto" w:sz="8" w:space="0"/>
              <w:bottom w:val="single" w:color="auto" w:sz="8" w:space="0"/>
              <w:right w:val="single" w:color="auto" w:sz="12" w:space="0"/>
            </w:tcBorders>
          </w:tcPr>
          <w:p w14:paraId="77A35335">
            <w:pPr>
              <w:autoSpaceDE w:val="0"/>
              <w:autoSpaceDN w:val="0"/>
              <w:rPr>
                <w:color w:val="auto"/>
                <w:kern w:val="0"/>
                <w:sz w:val="24"/>
                <w:highlight w:val="none"/>
              </w:rPr>
            </w:pPr>
          </w:p>
        </w:tc>
      </w:tr>
      <w:tr w14:paraId="5253E74E">
        <w:tblPrEx>
          <w:tblCellMar>
            <w:top w:w="0" w:type="dxa"/>
            <w:left w:w="0" w:type="dxa"/>
            <w:bottom w:w="0" w:type="dxa"/>
            <w:right w:w="0" w:type="dxa"/>
          </w:tblCellMar>
        </w:tblPrEx>
        <w:trPr>
          <w:trHeight w:val="453" w:hRule="atLeast"/>
        </w:trPr>
        <w:tc>
          <w:tcPr>
            <w:tcW w:w="2700" w:type="dxa"/>
            <w:tcBorders>
              <w:top w:val="single" w:color="auto" w:sz="8" w:space="0"/>
              <w:left w:val="single" w:color="auto" w:sz="12" w:space="0"/>
              <w:bottom w:val="single" w:color="auto" w:sz="8" w:space="0"/>
              <w:right w:val="single" w:color="auto" w:sz="8" w:space="0"/>
            </w:tcBorders>
            <w:vAlign w:val="center"/>
          </w:tcPr>
          <w:p w14:paraId="606D539C">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发包人电话</w:t>
            </w:r>
          </w:p>
        </w:tc>
        <w:tc>
          <w:tcPr>
            <w:tcW w:w="6465" w:type="dxa"/>
            <w:tcBorders>
              <w:top w:val="single" w:color="auto" w:sz="8" w:space="0"/>
              <w:left w:val="single" w:color="auto" w:sz="8" w:space="0"/>
              <w:bottom w:val="single" w:color="auto" w:sz="8" w:space="0"/>
              <w:right w:val="single" w:color="auto" w:sz="12" w:space="0"/>
            </w:tcBorders>
          </w:tcPr>
          <w:p w14:paraId="2D42A198">
            <w:pPr>
              <w:autoSpaceDE w:val="0"/>
              <w:autoSpaceDN w:val="0"/>
              <w:rPr>
                <w:color w:val="auto"/>
                <w:kern w:val="0"/>
                <w:sz w:val="24"/>
                <w:highlight w:val="none"/>
              </w:rPr>
            </w:pPr>
          </w:p>
        </w:tc>
      </w:tr>
      <w:tr w14:paraId="73E77B7A">
        <w:tblPrEx>
          <w:tblCellMar>
            <w:top w:w="0" w:type="dxa"/>
            <w:left w:w="0" w:type="dxa"/>
            <w:bottom w:w="0" w:type="dxa"/>
            <w:right w:w="0" w:type="dxa"/>
          </w:tblCellMar>
        </w:tblPrEx>
        <w:trPr>
          <w:trHeight w:val="453" w:hRule="atLeast"/>
        </w:trPr>
        <w:tc>
          <w:tcPr>
            <w:tcW w:w="2700" w:type="dxa"/>
            <w:tcBorders>
              <w:top w:val="single" w:color="auto" w:sz="8" w:space="0"/>
              <w:left w:val="single" w:color="auto" w:sz="12" w:space="0"/>
              <w:bottom w:val="single" w:color="auto" w:sz="8" w:space="0"/>
              <w:right w:val="single" w:color="auto" w:sz="8" w:space="0"/>
            </w:tcBorders>
            <w:vAlign w:val="center"/>
          </w:tcPr>
          <w:p w14:paraId="5A2611AD">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项目规模</w:t>
            </w:r>
          </w:p>
        </w:tc>
        <w:tc>
          <w:tcPr>
            <w:tcW w:w="6465" w:type="dxa"/>
            <w:tcBorders>
              <w:top w:val="single" w:color="auto" w:sz="8" w:space="0"/>
              <w:left w:val="single" w:color="auto" w:sz="8" w:space="0"/>
              <w:bottom w:val="single" w:color="auto" w:sz="8" w:space="0"/>
              <w:right w:val="single" w:color="auto" w:sz="12" w:space="0"/>
            </w:tcBorders>
          </w:tcPr>
          <w:p w14:paraId="31665DCB">
            <w:pPr>
              <w:autoSpaceDE w:val="0"/>
              <w:autoSpaceDN w:val="0"/>
              <w:rPr>
                <w:color w:val="auto"/>
                <w:kern w:val="0"/>
                <w:sz w:val="24"/>
                <w:highlight w:val="none"/>
              </w:rPr>
            </w:pPr>
          </w:p>
        </w:tc>
      </w:tr>
      <w:tr w14:paraId="3B867471">
        <w:tblPrEx>
          <w:tblCellMar>
            <w:top w:w="0" w:type="dxa"/>
            <w:left w:w="0" w:type="dxa"/>
            <w:bottom w:w="0" w:type="dxa"/>
            <w:right w:w="0" w:type="dxa"/>
          </w:tblCellMar>
        </w:tblPrEx>
        <w:trPr>
          <w:trHeight w:val="446" w:hRule="atLeast"/>
        </w:trPr>
        <w:tc>
          <w:tcPr>
            <w:tcW w:w="2700" w:type="dxa"/>
            <w:tcBorders>
              <w:top w:val="single" w:color="auto" w:sz="8" w:space="0"/>
              <w:left w:val="single" w:color="auto" w:sz="12" w:space="0"/>
              <w:bottom w:val="single" w:color="auto" w:sz="8" w:space="0"/>
              <w:right w:val="single" w:color="auto" w:sz="8" w:space="0"/>
            </w:tcBorders>
            <w:vAlign w:val="center"/>
          </w:tcPr>
          <w:p w14:paraId="6703137B">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项目总投资</w:t>
            </w:r>
          </w:p>
        </w:tc>
        <w:tc>
          <w:tcPr>
            <w:tcW w:w="6465" w:type="dxa"/>
            <w:tcBorders>
              <w:top w:val="single" w:color="auto" w:sz="8" w:space="0"/>
              <w:left w:val="single" w:color="auto" w:sz="8" w:space="0"/>
              <w:bottom w:val="single" w:color="auto" w:sz="8" w:space="0"/>
              <w:right w:val="single" w:color="auto" w:sz="12" w:space="0"/>
            </w:tcBorders>
          </w:tcPr>
          <w:p w14:paraId="3AA739B4">
            <w:pPr>
              <w:autoSpaceDE w:val="0"/>
              <w:autoSpaceDN w:val="0"/>
              <w:rPr>
                <w:rFonts w:ascii="宋体" w:cs="宋体"/>
                <w:color w:val="auto"/>
                <w:kern w:val="0"/>
                <w:sz w:val="24"/>
                <w:highlight w:val="none"/>
              </w:rPr>
            </w:pPr>
          </w:p>
        </w:tc>
      </w:tr>
      <w:tr w14:paraId="2CF37D5E">
        <w:tblPrEx>
          <w:tblCellMar>
            <w:top w:w="0" w:type="dxa"/>
            <w:left w:w="0" w:type="dxa"/>
            <w:bottom w:w="0" w:type="dxa"/>
            <w:right w:w="0" w:type="dxa"/>
          </w:tblCellMar>
        </w:tblPrEx>
        <w:trPr>
          <w:trHeight w:val="453" w:hRule="atLeast"/>
        </w:trPr>
        <w:tc>
          <w:tcPr>
            <w:tcW w:w="2700" w:type="dxa"/>
            <w:tcBorders>
              <w:top w:val="single" w:color="auto" w:sz="8" w:space="0"/>
              <w:left w:val="single" w:color="auto" w:sz="12" w:space="0"/>
              <w:bottom w:val="single" w:color="auto" w:sz="8" w:space="0"/>
              <w:right w:val="single" w:color="auto" w:sz="8" w:space="0"/>
            </w:tcBorders>
            <w:vAlign w:val="center"/>
          </w:tcPr>
          <w:p w14:paraId="046AC534">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承担的工作</w:t>
            </w:r>
          </w:p>
        </w:tc>
        <w:tc>
          <w:tcPr>
            <w:tcW w:w="6465" w:type="dxa"/>
            <w:tcBorders>
              <w:top w:val="single" w:color="auto" w:sz="8" w:space="0"/>
              <w:left w:val="single" w:color="auto" w:sz="8" w:space="0"/>
              <w:bottom w:val="single" w:color="auto" w:sz="8" w:space="0"/>
              <w:right w:val="single" w:color="auto" w:sz="12" w:space="0"/>
            </w:tcBorders>
          </w:tcPr>
          <w:p w14:paraId="3392345D">
            <w:pPr>
              <w:autoSpaceDE w:val="0"/>
              <w:autoSpaceDN w:val="0"/>
              <w:rPr>
                <w:color w:val="auto"/>
                <w:kern w:val="0"/>
                <w:sz w:val="24"/>
                <w:highlight w:val="none"/>
              </w:rPr>
            </w:pPr>
          </w:p>
        </w:tc>
      </w:tr>
      <w:tr w14:paraId="5CE2B5E6">
        <w:tblPrEx>
          <w:tblCellMar>
            <w:top w:w="0" w:type="dxa"/>
            <w:left w:w="0" w:type="dxa"/>
            <w:bottom w:w="0" w:type="dxa"/>
            <w:right w:w="0" w:type="dxa"/>
          </w:tblCellMar>
        </w:tblPrEx>
        <w:trPr>
          <w:trHeight w:val="453" w:hRule="atLeast"/>
        </w:trPr>
        <w:tc>
          <w:tcPr>
            <w:tcW w:w="2700" w:type="dxa"/>
            <w:tcBorders>
              <w:top w:val="single" w:color="auto" w:sz="8" w:space="0"/>
              <w:left w:val="single" w:color="auto" w:sz="12" w:space="0"/>
              <w:bottom w:val="single" w:color="auto" w:sz="8" w:space="0"/>
              <w:right w:val="single" w:color="auto" w:sz="8" w:space="0"/>
            </w:tcBorders>
            <w:vAlign w:val="center"/>
          </w:tcPr>
          <w:p w14:paraId="069ED021">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工期</w:t>
            </w:r>
          </w:p>
        </w:tc>
        <w:tc>
          <w:tcPr>
            <w:tcW w:w="6465" w:type="dxa"/>
            <w:tcBorders>
              <w:top w:val="single" w:color="auto" w:sz="8" w:space="0"/>
              <w:left w:val="single" w:color="auto" w:sz="8" w:space="0"/>
              <w:bottom w:val="single" w:color="auto" w:sz="8" w:space="0"/>
              <w:right w:val="single" w:color="auto" w:sz="12" w:space="0"/>
            </w:tcBorders>
          </w:tcPr>
          <w:p w14:paraId="4362EE0C">
            <w:pPr>
              <w:autoSpaceDE w:val="0"/>
              <w:autoSpaceDN w:val="0"/>
              <w:rPr>
                <w:color w:val="auto"/>
                <w:kern w:val="0"/>
                <w:sz w:val="24"/>
                <w:highlight w:val="none"/>
              </w:rPr>
            </w:pPr>
          </w:p>
        </w:tc>
      </w:tr>
      <w:tr w14:paraId="1C5A08CD">
        <w:tblPrEx>
          <w:tblCellMar>
            <w:top w:w="0" w:type="dxa"/>
            <w:left w:w="0" w:type="dxa"/>
            <w:bottom w:w="0" w:type="dxa"/>
            <w:right w:w="0" w:type="dxa"/>
          </w:tblCellMar>
        </w:tblPrEx>
        <w:trPr>
          <w:trHeight w:val="453" w:hRule="atLeast"/>
        </w:trPr>
        <w:tc>
          <w:tcPr>
            <w:tcW w:w="2700" w:type="dxa"/>
            <w:tcBorders>
              <w:top w:val="single" w:color="auto" w:sz="8" w:space="0"/>
              <w:left w:val="single" w:color="auto" w:sz="12" w:space="0"/>
              <w:bottom w:val="single" w:color="auto" w:sz="8" w:space="0"/>
              <w:right w:val="single" w:color="auto" w:sz="8" w:space="0"/>
            </w:tcBorders>
            <w:vAlign w:val="center"/>
          </w:tcPr>
          <w:p w14:paraId="378AB98E">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项目负责人</w:t>
            </w:r>
          </w:p>
        </w:tc>
        <w:tc>
          <w:tcPr>
            <w:tcW w:w="6465" w:type="dxa"/>
            <w:tcBorders>
              <w:top w:val="single" w:color="auto" w:sz="8" w:space="0"/>
              <w:left w:val="single" w:color="auto" w:sz="8" w:space="0"/>
              <w:bottom w:val="single" w:color="auto" w:sz="8" w:space="0"/>
              <w:right w:val="single" w:color="auto" w:sz="12" w:space="0"/>
            </w:tcBorders>
          </w:tcPr>
          <w:p w14:paraId="159F0760">
            <w:pPr>
              <w:autoSpaceDE w:val="0"/>
              <w:autoSpaceDN w:val="0"/>
              <w:rPr>
                <w:color w:val="auto"/>
                <w:kern w:val="0"/>
                <w:sz w:val="24"/>
                <w:highlight w:val="none"/>
              </w:rPr>
            </w:pPr>
          </w:p>
        </w:tc>
      </w:tr>
      <w:tr w14:paraId="5F3B50E2">
        <w:tblPrEx>
          <w:tblCellMar>
            <w:top w:w="0" w:type="dxa"/>
            <w:left w:w="0" w:type="dxa"/>
            <w:bottom w:w="0" w:type="dxa"/>
            <w:right w:w="0" w:type="dxa"/>
          </w:tblCellMar>
        </w:tblPrEx>
        <w:trPr>
          <w:trHeight w:val="453" w:hRule="atLeast"/>
        </w:trPr>
        <w:tc>
          <w:tcPr>
            <w:tcW w:w="2700" w:type="dxa"/>
            <w:tcBorders>
              <w:top w:val="single" w:color="auto" w:sz="8" w:space="0"/>
              <w:left w:val="single" w:color="auto" w:sz="12" w:space="0"/>
              <w:bottom w:val="single" w:color="auto" w:sz="8" w:space="0"/>
              <w:right w:val="single" w:color="auto" w:sz="8" w:space="0"/>
            </w:tcBorders>
            <w:vAlign w:val="center"/>
          </w:tcPr>
          <w:p w14:paraId="3FD2AC91">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项目完成情况</w:t>
            </w:r>
          </w:p>
        </w:tc>
        <w:tc>
          <w:tcPr>
            <w:tcW w:w="6465" w:type="dxa"/>
            <w:tcBorders>
              <w:top w:val="single" w:color="auto" w:sz="8" w:space="0"/>
              <w:left w:val="single" w:color="auto" w:sz="8" w:space="0"/>
              <w:bottom w:val="single" w:color="auto" w:sz="8" w:space="0"/>
              <w:right w:val="single" w:color="auto" w:sz="12" w:space="0"/>
            </w:tcBorders>
          </w:tcPr>
          <w:p w14:paraId="31065ABC">
            <w:pPr>
              <w:autoSpaceDE w:val="0"/>
              <w:autoSpaceDN w:val="0"/>
              <w:rPr>
                <w:color w:val="auto"/>
                <w:kern w:val="0"/>
                <w:sz w:val="24"/>
                <w:highlight w:val="none"/>
              </w:rPr>
            </w:pPr>
          </w:p>
        </w:tc>
      </w:tr>
      <w:tr w14:paraId="1F8EA860">
        <w:tblPrEx>
          <w:tblCellMar>
            <w:top w:w="0" w:type="dxa"/>
            <w:left w:w="0" w:type="dxa"/>
            <w:bottom w:w="0" w:type="dxa"/>
            <w:right w:w="0" w:type="dxa"/>
          </w:tblCellMar>
        </w:tblPrEx>
        <w:trPr>
          <w:trHeight w:val="453" w:hRule="atLeast"/>
        </w:trPr>
        <w:tc>
          <w:tcPr>
            <w:tcW w:w="2700" w:type="dxa"/>
            <w:tcBorders>
              <w:top w:val="single" w:color="auto" w:sz="8" w:space="0"/>
              <w:left w:val="single" w:color="auto" w:sz="12" w:space="0"/>
              <w:bottom w:val="single" w:color="auto" w:sz="8" w:space="0"/>
              <w:right w:val="single" w:color="auto" w:sz="8" w:space="0"/>
            </w:tcBorders>
            <w:vAlign w:val="center"/>
          </w:tcPr>
          <w:p w14:paraId="2BAA1FED">
            <w:pPr>
              <w:autoSpaceDE w:val="0"/>
              <w:autoSpaceDN w:val="0"/>
              <w:jc w:val="center"/>
              <w:rPr>
                <w:rFonts w:ascii="宋体" w:cs="宋体"/>
                <w:color w:val="auto"/>
                <w:kern w:val="0"/>
                <w:sz w:val="24"/>
                <w:highlight w:val="none"/>
              </w:rPr>
            </w:pPr>
            <w:r>
              <w:rPr>
                <w:rFonts w:hint="eastAsia" w:ascii="宋体" w:hAnsi="宋体" w:cs="宋体"/>
                <w:color w:val="auto"/>
                <w:kern w:val="0"/>
                <w:sz w:val="24"/>
                <w:highlight w:val="none"/>
              </w:rPr>
              <w:t>成果文件完成时间</w:t>
            </w:r>
          </w:p>
        </w:tc>
        <w:tc>
          <w:tcPr>
            <w:tcW w:w="6465" w:type="dxa"/>
            <w:tcBorders>
              <w:top w:val="single" w:color="auto" w:sz="8" w:space="0"/>
              <w:left w:val="single" w:color="auto" w:sz="8" w:space="0"/>
              <w:bottom w:val="single" w:color="auto" w:sz="8" w:space="0"/>
              <w:right w:val="single" w:color="auto" w:sz="12" w:space="0"/>
            </w:tcBorders>
          </w:tcPr>
          <w:p w14:paraId="55757DC6">
            <w:pPr>
              <w:autoSpaceDE w:val="0"/>
              <w:autoSpaceDN w:val="0"/>
              <w:rPr>
                <w:color w:val="auto"/>
                <w:kern w:val="0"/>
                <w:sz w:val="24"/>
                <w:highlight w:val="none"/>
              </w:rPr>
            </w:pPr>
          </w:p>
        </w:tc>
      </w:tr>
      <w:tr w14:paraId="4D41A5C8">
        <w:tblPrEx>
          <w:tblCellMar>
            <w:top w:w="0" w:type="dxa"/>
            <w:left w:w="0" w:type="dxa"/>
            <w:bottom w:w="0" w:type="dxa"/>
            <w:right w:w="0" w:type="dxa"/>
          </w:tblCellMar>
        </w:tblPrEx>
        <w:trPr>
          <w:trHeight w:val="446" w:hRule="atLeast"/>
        </w:trPr>
        <w:tc>
          <w:tcPr>
            <w:tcW w:w="2700" w:type="dxa"/>
            <w:tcBorders>
              <w:top w:val="single" w:color="auto" w:sz="8" w:space="0"/>
              <w:left w:val="single" w:color="auto" w:sz="12" w:space="0"/>
              <w:bottom w:val="single" w:color="auto" w:sz="12" w:space="0"/>
              <w:right w:val="single" w:color="auto" w:sz="8" w:space="0"/>
            </w:tcBorders>
            <w:vAlign w:val="center"/>
          </w:tcPr>
          <w:p w14:paraId="5D78E089">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备注</w:t>
            </w:r>
          </w:p>
        </w:tc>
        <w:tc>
          <w:tcPr>
            <w:tcW w:w="6465" w:type="dxa"/>
            <w:tcBorders>
              <w:top w:val="single" w:color="auto" w:sz="8" w:space="0"/>
              <w:left w:val="single" w:color="auto" w:sz="8" w:space="0"/>
              <w:bottom w:val="single" w:color="auto" w:sz="12" w:space="0"/>
              <w:right w:val="single" w:color="auto" w:sz="12" w:space="0"/>
            </w:tcBorders>
          </w:tcPr>
          <w:p w14:paraId="127B830A">
            <w:pPr>
              <w:autoSpaceDE w:val="0"/>
              <w:autoSpaceDN w:val="0"/>
              <w:rPr>
                <w:color w:val="auto"/>
                <w:kern w:val="0"/>
                <w:sz w:val="24"/>
                <w:highlight w:val="none"/>
              </w:rPr>
            </w:pPr>
          </w:p>
        </w:tc>
      </w:tr>
    </w:tbl>
    <w:p w14:paraId="01DB3DE1">
      <w:pPr>
        <w:autoSpaceDE w:val="0"/>
        <w:autoSpaceDN w:val="0"/>
        <w:adjustRightInd w:val="0"/>
        <w:spacing w:line="160" w:lineRule="exact"/>
        <w:jc w:val="left"/>
        <w:rPr>
          <w:color w:val="auto"/>
          <w:kern w:val="0"/>
          <w:sz w:val="24"/>
          <w:highlight w:val="none"/>
        </w:rPr>
      </w:pPr>
    </w:p>
    <w:p w14:paraId="1B41761E">
      <w:pPr>
        <w:spacing w:line="360" w:lineRule="auto"/>
        <w:ind w:firstLine="420" w:firstLineChars="200"/>
        <w:rPr>
          <w:rFonts w:hAnsi="宋体" w:cs="仿宋"/>
          <w:color w:val="auto"/>
          <w:szCs w:val="21"/>
          <w:highlight w:val="none"/>
        </w:rPr>
      </w:pPr>
      <w:r>
        <w:rPr>
          <w:rFonts w:hint="eastAsia" w:hAnsi="宋体" w:cs="仿宋"/>
          <w:color w:val="auto"/>
          <w:szCs w:val="21"/>
          <w:highlight w:val="none"/>
        </w:rPr>
        <w:t>注：每个项目填写一张表</w:t>
      </w:r>
    </w:p>
    <w:p w14:paraId="3E25A3CC">
      <w:pPr>
        <w:spacing w:line="360" w:lineRule="auto"/>
        <w:ind w:left="420"/>
        <w:rPr>
          <w:rFonts w:hAnsi="宋体" w:cs="仿宋"/>
          <w:color w:val="auto"/>
          <w:szCs w:val="21"/>
          <w:highlight w:val="none"/>
        </w:rPr>
      </w:pPr>
      <w:r>
        <w:rPr>
          <w:rFonts w:hint="eastAsia" w:hAnsi="宋体" w:cs="仿宋"/>
          <w:color w:val="auto"/>
          <w:szCs w:val="21"/>
          <w:highlight w:val="none"/>
        </w:rPr>
        <w:t>①投标人应将</w:t>
      </w:r>
      <w:r>
        <w:rPr>
          <w:rFonts w:hint="eastAsia" w:hAnsi="宋体" w:cs="仿宋"/>
          <w:b/>
          <w:color w:val="auto"/>
          <w:szCs w:val="21"/>
          <w:highlight w:val="none"/>
          <w:u w:val="single"/>
        </w:rPr>
        <w:t xml:space="preserve"> 202</w:t>
      </w:r>
      <w:r>
        <w:rPr>
          <w:rFonts w:hint="eastAsia" w:hAnsi="宋体" w:cs="仿宋"/>
          <w:b/>
          <w:color w:val="auto"/>
          <w:szCs w:val="21"/>
          <w:highlight w:val="none"/>
          <w:u w:val="single"/>
          <w:lang w:val="en-US" w:eastAsia="zh-CN"/>
        </w:rPr>
        <w:t>1</w:t>
      </w:r>
      <w:r>
        <w:rPr>
          <w:rFonts w:hint="eastAsia" w:hAnsi="宋体" w:cs="仿宋"/>
          <w:b/>
          <w:color w:val="auto"/>
          <w:szCs w:val="21"/>
          <w:highlight w:val="none"/>
          <w:u w:val="single"/>
        </w:rPr>
        <w:t xml:space="preserve">年1月 </w:t>
      </w:r>
      <w:r>
        <w:rPr>
          <w:rFonts w:hint="eastAsia" w:hAnsi="宋体" w:cs="仿宋"/>
          <w:color w:val="auto"/>
          <w:szCs w:val="21"/>
          <w:highlight w:val="none"/>
        </w:rPr>
        <w:t>以来已完成的类似项目情况填入本表中，</w:t>
      </w:r>
    </w:p>
    <w:p w14:paraId="78E24D46">
      <w:pPr>
        <w:spacing w:line="360" w:lineRule="auto"/>
        <w:ind w:firstLine="420" w:firstLineChars="200"/>
        <w:rPr>
          <w:rFonts w:hAnsi="宋体" w:cs="仿宋"/>
          <w:color w:val="auto"/>
          <w:szCs w:val="21"/>
          <w:highlight w:val="none"/>
        </w:rPr>
      </w:pPr>
      <w:r>
        <w:rPr>
          <w:rFonts w:hint="eastAsia" w:hAnsi="宋体" w:cs="仿宋"/>
          <w:color w:val="auto"/>
          <w:szCs w:val="21"/>
          <w:highlight w:val="none"/>
        </w:rPr>
        <w:t>②</w:t>
      </w:r>
      <w:r>
        <w:rPr>
          <w:rFonts w:hAnsi="宋体" w:cs="仿宋"/>
          <w:color w:val="auto"/>
          <w:szCs w:val="21"/>
          <w:highlight w:val="none"/>
        </w:rPr>
        <w:t>本表后须</w:t>
      </w:r>
      <w:r>
        <w:rPr>
          <w:rFonts w:hAnsi="宋体" w:cs="仿宋"/>
          <w:b/>
          <w:color w:val="auto"/>
          <w:szCs w:val="21"/>
          <w:highlight w:val="none"/>
        </w:rPr>
        <w:t>应附合同协议书或委托书</w:t>
      </w:r>
      <w:r>
        <w:rPr>
          <w:rFonts w:hAnsi="宋体" w:cs="仿宋"/>
          <w:color w:val="auto"/>
          <w:szCs w:val="21"/>
          <w:highlight w:val="none"/>
        </w:rPr>
        <w:t>等的</w:t>
      </w:r>
      <w:r>
        <w:rPr>
          <w:rFonts w:hint="eastAsia" w:hAnsi="宋体" w:cs="仿宋"/>
          <w:color w:val="auto"/>
          <w:szCs w:val="21"/>
          <w:highlight w:val="none"/>
        </w:rPr>
        <w:t>扫描件</w:t>
      </w:r>
      <w:r>
        <w:rPr>
          <w:rFonts w:hAnsi="宋体" w:cs="仿宋"/>
          <w:color w:val="auto"/>
          <w:szCs w:val="21"/>
          <w:highlight w:val="none"/>
        </w:rPr>
        <w:t>；</w:t>
      </w:r>
    </w:p>
    <w:p w14:paraId="581A4DFD">
      <w:pPr>
        <w:spacing w:line="360" w:lineRule="auto"/>
        <w:ind w:firstLine="420" w:firstLineChars="200"/>
        <w:rPr>
          <w:rFonts w:hAnsi="宋体" w:cs="仿宋"/>
          <w:color w:val="auto"/>
          <w:szCs w:val="21"/>
          <w:highlight w:val="none"/>
        </w:rPr>
      </w:pPr>
      <w:r>
        <w:rPr>
          <w:rFonts w:hint="eastAsia" w:hAnsi="宋体" w:cs="仿宋"/>
          <w:color w:val="auto"/>
          <w:szCs w:val="21"/>
          <w:highlight w:val="none"/>
        </w:rPr>
        <w:t>③</w:t>
      </w:r>
      <w:r>
        <w:rPr>
          <w:rFonts w:hAnsi="宋体" w:cs="仿宋"/>
          <w:color w:val="auto"/>
          <w:szCs w:val="21"/>
          <w:highlight w:val="none"/>
        </w:rPr>
        <w:t>近年来，</w:t>
      </w:r>
      <w:r>
        <w:rPr>
          <w:rFonts w:hint="eastAsia" w:hAnsi="宋体" w:cs="仿宋"/>
          <w:color w:val="auto"/>
          <w:szCs w:val="21"/>
          <w:highlight w:val="none"/>
        </w:rPr>
        <w:t>供应商</w:t>
      </w:r>
      <w:r>
        <w:rPr>
          <w:rFonts w:hAnsi="宋体" w:cs="仿宋"/>
          <w:color w:val="auto"/>
          <w:szCs w:val="21"/>
          <w:highlight w:val="none"/>
        </w:rPr>
        <w:t>法人机构发生合法变更或重组或法人名称变更时，应提供相关部门的合法批件及其他相关证明材料来证明其所附业绩的继承性；</w:t>
      </w:r>
    </w:p>
    <w:p w14:paraId="2266DA76">
      <w:pPr>
        <w:spacing w:line="360" w:lineRule="auto"/>
        <w:ind w:firstLine="420" w:firstLineChars="200"/>
        <w:rPr>
          <w:rFonts w:ascii="宋体" w:hAnsi="宋体"/>
          <w:color w:val="auto"/>
          <w:sz w:val="24"/>
          <w:highlight w:val="none"/>
        </w:rPr>
      </w:pPr>
      <w:r>
        <w:rPr>
          <w:rFonts w:hint="eastAsia" w:hAnsi="宋体" w:cs="仿宋"/>
          <w:color w:val="auto"/>
          <w:szCs w:val="21"/>
          <w:highlight w:val="none"/>
        </w:rPr>
        <w:t>④</w:t>
      </w:r>
      <w:r>
        <w:rPr>
          <w:rFonts w:hint="eastAsia" w:hAnsi="宋体" w:cs="仿宋"/>
          <w:color w:val="auto"/>
          <w:highlight w:val="none"/>
        </w:rPr>
        <w:t>须附有效证明材料，有效证明材料具体要求见第四章评审办法。</w:t>
      </w:r>
    </w:p>
    <w:p w14:paraId="39317B16">
      <w:pPr>
        <w:rPr>
          <w:rFonts w:ascii="黑体" w:hAnsi="宋体" w:eastAsia="黑体"/>
          <w:color w:val="auto"/>
          <w:sz w:val="24"/>
          <w:highlight w:val="none"/>
        </w:rPr>
      </w:pPr>
    </w:p>
    <w:p w14:paraId="256C2301">
      <w:pPr>
        <w:snapToGrid w:val="0"/>
        <w:spacing w:before="120" w:beforeLines="50" w:after="50"/>
        <w:jc w:val="center"/>
        <w:outlineLvl w:val="2"/>
        <w:rPr>
          <w:rFonts w:ascii="宋体" w:hAnsi="宋体"/>
          <w:b/>
          <w:bCs/>
          <w:color w:val="auto"/>
          <w:sz w:val="24"/>
          <w:highlight w:val="none"/>
        </w:rPr>
      </w:pPr>
      <w:r>
        <w:rPr>
          <w:rFonts w:hint="eastAsia" w:ascii="宋体" w:hAnsi="宋体"/>
          <w:b/>
          <w:color w:val="auto"/>
          <w:sz w:val="24"/>
          <w:highlight w:val="none"/>
        </w:rPr>
        <w:br w:type="page"/>
      </w:r>
      <w:bookmarkStart w:id="244" w:name="_Toc212"/>
      <w:bookmarkStart w:id="245" w:name="_Toc5907"/>
      <w:bookmarkStart w:id="246" w:name="_Toc12138"/>
      <w:bookmarkStart w:id="247" w:name="_Toc11569"/>
      <w:r>
        <w:rPr>
          <w:rFonts w:hint="eastAsia" w:ascii="宋体" w:hAnsi="宋体"/>
          <w:b/>
          <w:bCs/>
          <w:color w:val="auto"/>
          <w:sz w:val="24"/>
          <w:highlight w:val="none"/>
        </w:rPr>
        <w:t>（三）供应商信用及守法证明材料</w:t>
      </w:r>
      <w:bookmarkEnd w:id="244"/>
      <w:bookmarkEnd w:id="245"/>
      <w:bookmarkEnd w:id="246"/>
      <w:bookmarkEnd w:id="247"/>
    </w:p>
    <w:p w14:paraId="67F396E3">
      <w:pPr>
        <w:snapToGrid w:val="0"/>
        <w:spacing w:before="120" w:beforeLines="50" w:after="50"/>
        <w:ind w:left="142"/>
        <w:jc w:val="left"/>
        <w:rPr>
          <w:rFonts w:ascii="宋体" w:hAnsi="宋体"/>
          <w:b/>
          <w:color w:val="auto"/>
          <w:sz w:val="24"/>
          <w:highlight w:val="none"/>
        </w:rPr>
      </w:pPr>
    </w:p>
    <w:p w14:paraId="265000D7">
      <w:pPr>
        <w:jc w:val="center"/>
        <w:outlineLvl w:val="9"/>
        <w:rPr>
          <w:rFonts w:ascii="黑体" w:hAnsi="宋体" w:eastAsia="黑体"/>
          <w:color w:val="auto"/>
          <w:sz w:val="24"/>
          <w:highlight w:val="none"/>
        </w:rPr>
      </w:pPr>
      <w:r>
        <w:rPr>
          <w:rFonts w:hint="eastAsia" w:ascii="黑体" w:hAnsi="宋体" w:eastAsia="黑体"/>
          <w:color w:val="auto"/>
          <w:sz w:val="24"/>
          <w:highlight w:val="none"/>
        </w:rPr>
        <w:t>根据采购文件规定提供。</w:t>
      </w:r>
    </w:p>
    <w:p w14:paraId="0740E190">
      <w:pPr>
        <w:rPr>
          <w:rFonts w:ascii="宋体" w:hAnsi="宋体"/>
          <w:color w:val="auto"/>
          <w:sz w:val="24"/>
          <w:highlight w:val="none"/>
        </w:rPr>
      </w:pPr>
    </w:p>
    <w:p w14:paraId="466FC222">
      <w:pPr>
        <w:rPr>
          <w:rFonts w:ascii="宋体" w:hAnsi="宋体"/>
          <w:color w:val="auto"/>
          <w:sz w:val="24"/>
          <w:highlight w:val="none"/>
        </w:rPr>
      </w:pPr>
    </w:p>
    <w:p w14:paraId="137396B0">
      <w:pPr>
        <w:snapToGrid w:val="0"/>
        <w:spacing w:before="120" w:beforeLines="50" w:after="50"/>
        <w:jc w:val="left"/>
        <w:rPr>
          <w:rFonts w:ascii="宋体" w:hAnsi="宋体"/>
          <w:color w:val="auto"/>
          <w:szCs w:val="21"/>
          <w:highlight w:val="none"/>
        </w:rPr>
      </w:pPr>
    </w:p>
    <w:p w14:paraId="4F6475C5">
      <w:pPr>
        <w:snapToGrid w:val="0"/>
        <w:spacing w:before="120" w:beforeLines="50" w:after="50"/>
        <w:jc w:val="center"/>
        <w:outlineLvl w:val="2"/>
        <w:rPr>
          <w:rFonts w:ascii="宋体" w:hAnsi="宋体"/>
          <w:b/>
          <w:bCs/>
          <w:color w:val="auto"/>
          <w:sz w:val="24"/>
          <w:highlight w:val="none"/>
        </w:rPr>
      </w:pPr>
      <w:r>
        <w:rPr>
          <w:rFonts w:hint="eastAsia" w:ascii="宋体" w:hAnsi="宋体"/>
          <w:b/>
          <w:color w:val="auto"/>
          <w:sz w:val="24"/>
          <w:highlight w:val="none"/>
        </w:rPr>
        <w:br w:type="page"/>
      </w:r>
      <w:bookmarkStart w:id="248" w:name="_Toc27275"/>
      <w:bookmarkStart w:id="249" w:name="_Toc5115"/>
      <w:r>
        <w:rPr>
          <w:rFonts w:hint="eastAsia" w:ascii="宋体" w:hAnsi="宋体"/>
          <w:b/>
          <w:bCs/>
          <w:color w:val="auto"/>
          <w:sz w:val="24"/>
          <w:highlight w:val="none"/>
        </w:rPr>
        <w:t>（四）拟投入的主要人员表</w:t>
      </w:r>
      <w:bookmarkEnd w:id="248"/>
      <w:bookmarkEnd w:id="249"/>
    </w:p>
    <w:p w14:paraId="5591F511">
      <w:pPr>
        <w:jc w:val="center"/>
        <w:rPr>
          <w:rFonts w:ascii="黑体" w:hAnsi="宋体" w:eastAsia="黑体"/>
          <w:color w:val="auto"/>
          <w:sz w:val="24"/>
          <w:highlight w:val="none"/>
        </w:rPr>
      </w:pPr>
    </w:p>
    <w:tbl>
      <w:tblPr>
        <w:tblStyle w:val="24"/>
        <w:tblW w:w="9165" w:type="dxa"/>
        <w:tblInd w:w="15" w:type="dxa"/>
        <w:tblLayout w:type="fixed"/>
        <w:tblCellMar>
          <w:top w:w="0" w:type="dxa"/>
          <w:left w:w="0" w:type="dxa"/>
          <w:bottom w:w="0" w:type="dxa"/>
          <w:right w:w="0" w:type="dxa"/>
        </w:tblCellMar>
      </w:tblPr>
      <w:tblGrid>
        <w:gridCol w:w="712"/>
        <w:gridCol w:w="720"/>
        <w:gridCol w:w="1815"/>
        <w:gridCol w:w="1267"/>
        <w:gridCol w:w="1267"/>
        <w:gridCol w:w="1267"/>
        <w:gridCol w:w="2117"/>
      </w:tblGrid>
      <w:tr w14:paraId="2BBC686A">
        <w:tblPrEx>
          <w:tblCellMar>
            <w:top w:w="0" w:type="dxa"/>
            <w:left w:w="0" w:type="dxa"/>
            <w:bottom w:w="0" w:type="dxa"/>
            <w:right w:w="0" w:type="dxa"/>
          </w:tblCellMar>
        </w:tblPrEx>
        <w:trPr>
          <w:trHeight w:val="900" w:hRule="atLeast"/>
        </w:trPr>
        <w:tc>
          <w:tcPr>
            <w:tcW w:w="712" w:type="dxa"/>
            <w:tcBorders>
              <w:top w:val="single" w:color="auto" w:sz="12" w:space="0"/>
              <w:left w:val="single" w:color="auto" w:sz="12" w:space="0"/>
              <w:bottom w:val="single" w:color="auto" w:sz="8" w:space="0"/>
              <w:right w:val="single" w:color="auto" w:sz="8" w:space="0"/>
            </w:tcBorders>
            <w:vAlign w:val="center"/>
          </w:tcPr>
          <w:p w14:paraId="0154C576">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姓名</w:t>
            </w:r>
          </w:p>
        </w:tc>
        <w:tc>
          <w:tcPr>
            <w:tcW w:w="720" w:type="dxa"/>
            <w:tcBorders>
              <w:top w:val="single" w:color="auto" w:sz="12" w:space="0"/>
              <w:left w:val="single" w:color="auto" w:sz="8" w:space="0"/>
              <w:bottom w:val="single" w:color="auto" w:sz="8" w:space="0"/>
              <w:right w:val="single" w:color="auto" w:sz="8" w:space="0"/>
            </w:tcBorders>
            <w:vAlign w:val="center"/>
          </w:tcPr>
          <w:p w14:paraId="50EB8DBE">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年龄</w:t>
            </w:r>
          </w:p>
        </w:tc>
        <w:tc>
          <w:tcPr>
            <w:tcW w:w="1815" w:type="dxa"/>
            <w:tcBorders>
              <w:top w:val="single" w:color="auto" w:sz="12" w:space="0"/>
              <w:left w:val="single" w:color="auto" w:sz="8" w:space="0"/>
              <w:bottom w:val="single" w:color="auto" w:sz="8" w:space="0"/>
              <w:right w:val="single" w:color="auto" w:sz="8" w:space="0"/>
            </w:tcBorders>
            <w:vAlign w:val="center"/>
          </w:tcPr>
          <w:p w14:paraId="366AE625">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拟在本项目中</w:t>
            </w:r>
          </w:p>
          <w:p w14:paraId="46F995CB">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担任的职务</w:t>
            </w:r>
          </w:p>
        </w:tc>
        <w:tc>
          <w:tcPr>
            <w:tcW w:w="1267" w:type="dxa"/>
            <w:tcBorders>
              <w:top w:val="single" w:color="auto" w:sz="12" w:space="0"/>
              <w:left w:val="single" w:color="auto" w:sz="8" w:space="0"/>
              <w:bottom w:val="single" w:color="auto" w:sz="8" w:space="0"/>
              <w:right w:val="single" w:color="auto" w:sz="8" w:space="0"/>
            </w:tcBorders>
            <w:vAlign w:val="center"/>
          </w:tcPr>
          <w:p w14:paraId="34F16B49">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技术职称</w:t>
            </w:r>
          </w:p>
        </w:tc>
        <w:tc>
          <w:tcPr>
            <w:tcW w:w="1267" w:type="dxa"/>
            <w:tcBorders>
              <w:top w:val="single" w:color="auto" w:sz="12" w:space="0"/>
              <w:left w:val="single" w:color="auto" w:sz="8" w:space="0"/>
              <w:bottom w:val="single" w:color="auto" w:sz="8" w:space="0"/>
              <w:right w:val="single" w:color="auto" w:sz="8" w:space="0"/>
            </w:tcBorders>
            <w:vAlign w:val="center"/>
          </w:tcPr>
          <w:p w14:paraId="5A6FE56E">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从事专业</w:t>
            </w:r>
          </w:p>
        </w:tc>
        <w:tc>
          <w:tcPr>
            <w:tcW w:w="1267" w:type="dxa"/>
            <w:tcBorders>
              <w:top w:val="single" w:color="auto" w:sz="12" w:space="0"/>
              <w:left w:val="single" w:color="auto" w:sz="8" w:space="0"/>
              <w:bottom w:val="single" w:color="auto" w:sz="8" w:space="0"/>
              <w:right w:val="single" w:color="auto" w:sz="8" w:space="0"/>
            </w:tcBorders>
            <w:vAlign w:val="center"/>
          </w:tcPr>
          <w:p w14:paraId="59B72A7F">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工作年限</w:t>
            </w:r>
          </w:p>
        </w:tc>
        <w:tc>
          <w:tcPr>
            <w:tcW w:w="2117" w:type="dxa"/>
            <w:tcBorders>
              <w:top w:val="single" w:color="auto" w:sz="12" w:space="0"/>
              <w:left w:val="single" w:color="auto" w:sz="8" w:space="0"/>
              <w:bottom w:val="single" w:color="auto" w:sz="8" w:space="0"/>
              <w:right w:val="single" w:color="auto" w:sz="12" w:space="0"/>
            </w:tcBorders>
            <w:vAlign w:val="center"/>
          </w:tcPr>
          <w:p w14:paraId="1AF1A774">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类似项目</w:t>
            </w:r>
          </w:p>
          <w:p w14:paraId="3448A327">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经验年限</w:t>
            </w:r>
          </w:p>
        </w:tc>
      </w:tr>
      <w:tr w14:paraId="23ADAD81">
        <w:tblPrEx>
          <w:tblCellMar>
            <w:top w:w="0" w:type="dxa"/>
            <w:left w:w="0" w:type="dxa"/>
            <w:bottom w:w="0" w:type="dxa"/>
            <w:right w:w="0" w:type="dxa"/>
          </w:tblCellMar>
        </w:tblPrEx>
        <w:trPr>
          <w:trHeight w:val="900" w:hRule="atLeast"/>
        </w:trPr>
        <w:tc>
          <w:tcPr>
            <w:tcW w:w="712" w:type="dxa"/>
            <w:tcBorders>
              <w:top w:val="single" w:color="auto" w:sz="8" w:space="0"/>
              <w:left w:val="single" w:color="auto" w:sz="12" w:space="0"/>
              <w:bottom w:val="single" w:color="auto" w:sz="8" w:space="0"/>
              <w:right w:val="single" w:color="auto" w:sz="8" w:space="0"/>
            </w:tcBorders>
            <w:vAlign w:val="center"/>
          </w:tcPr>
          <w:p w14:paraId="62962B74">
            <w:pPr>
              <w:autoSpaceDE w:val="0"/>
              <w:autoSpaceDN w:val="0"/>
              <w:jc w:val="center"/>
              <w:rPr>
                <w:color w:val="auto"/>
                <w:kern w:val="0"/>
                <w:sz w:val="24"/>
                <w:highlight w:val="none"/>
              </w:rPr>
            </w:pPr>
          </w:p>
        </w:tc>
        <w:tc>
          <w:tcPr>
            <w:tcW w:w="720" w:type="dxa"/>
            <w:tcBorders>
              <w:top w:val="single" w:color="auto" w:sz="8" w:space="0"/>
              <w:left w:val="single" w:color="auto" w:sz="8" w:space="0"/>
              <w:bottom w:val="single" w:color="auto" w:sz="8" w:space="0"/>
              <w:right w:val="single" w:color="auto" w:sz="8" w:space="0"/>
            </w:tcBorders>
            <w:vAlign w:val="center"/>
          </w:tcPr>
          <w:p w14:paraId="7F06F3F4">
            <w:pPr>
              <w:autoSpaceDE w:val="0"/>
              <w:autoSpaceDN w:val="0"/>
              <w:jc w:val="center"/>
              <w:rPr>
                <w:color w:val="auto"/>
                <w:kern w:val="0"/>
                <w:sz w:val="24"/>
                <w:highlight w:val="none"/>
              </w:rPr>
            </w:pPr>
          </w:p>
        </w:tc>
        <w:tc>
          <w:tcPr>
            <w:tcW w:w="1815" w:type="dxa"/>
            <w:tcBorders>
              <w:top w:val="single" w:color="auto" w:sz="8" w:space="0"/>
              <w:left w:val="single" w:color="auto" w:sz="8" w:space="0"/>
              <w:bottom w:val="single" w:color="auto" w:sz="8" w:space="0"/>
              <w:right w:val="single" w:color="auto" w:sz="8" w:space="0"/>
            </w:tcBorders>
            <w:vAlign w:val="center"/>
          </w:tcPr>
          <w:p w14:paraId="4F65DB65">
            <w:pPr>
              <w:autoSpaceDE w:val="0"/>
              <w:autoSpaceDN w:val="0"/>
              <w:jc w:val="center"/>
              <w:rPr>
                <w:color w:val="auto"/>
                <w:kern w:val="0"/>
                <w:sz w:val="24"/>
                <w:highlight w:val="none"/>
              </w:rPr>
            </w:pPr>
          </w:p>
        </w:tc>
        <w:tc>
          <w:tcPr>
            <w:tcW w:w="1267" w:type="dxa"/>
            <w:tcBorders>
              <w:top w:val="single" w:color="auto" w:sz="8" w:space="0"/>
              <w:left w:val="single" w:color="auto" w:sz="8" w:space="0"/>
              <w:bottom w:val="single" w:color="auto" w:sz="8" w:space="0"/>
              <w:right w:val="single" w:color="auto" w:sz="8" w:space="0"/>
            </w:tcBorders>
            <w:vAlign w:val="center"/>
          </w:tcPr>
          <w:p w14:paraId="02F44D9F">
            <w:pPr>
              <w:autoSpaceDE w:val="0"/>
              <w:autoSpaceDN w:val="0"/>
              <w:jc w:val="center"/>
              <w:rPr>
                <w:color w:val="auto"/>
                <w:kern w:val="0"/>
                <w:sz w:val="24"/>
                <w:highlight w:val="none"/>
              </w:rPr>
            </w:pPr>
          </w:p>
        </w:tc>
        <w:tc>
          <w:tcPr>
            <w:tcW w:w="1267" w:type="dxa"/>
            <w:tcBorders>
              <w:top w:val="single" w:color="auto" w:sz="8" w:space="0"/>
              <w:left w:val="single" w:color="auto" w:sz="8" w:space="0"/>
              <w:bottom w:val="single" w:color="auto" w:sz="8" w:space="0"/>
              <w:right w:val="single" w:color="auto" w:sz="8" w:space="0"/>
            </w:tcBorders>
            <w:vAlign w:val="center"/>
          </w:tcPr>
          <w:p w14:paraId="0DC8E2E4">
            <w:pPr>
              <w:autoSpaceDE w:val="0"/>
              <w:autoSpaceDN w:val="0"/>
              <w:jc w:val="center"/>
              <w:rPr>
                <w:color w:val="auto"/>
                <w:kern w:val="0"/>
                <w:sz w:val="24"/>
                <w:highlight w:val="none"/>
              </w:rPr>
            </w:pPr>
          </w:p>
        </w:tc>
        <w:tc>
          <w:tcPr>
            <w:tcW w:w="1267" w:type="dxa"/>
            <w:tcBorders>
              <w:top w:val="single" w:color="auto" w:sz="8" w:space="0"/>
              <w:left w:val="single" w:color="auto" w:sz="8" w:space="0"/>
              <w:bottom w:val="single" w:color="auto" w:sz="8" w:space="0"/>
              <w:right w:val="single" w:color="auto" w:sz="8" w:space="0"/>
            </w:tcBorders>
            <w:vAlign w:val="center"/>
          </w:tcPr>
          <w:p w14:paraId="617AB747">
            <w:pPr>
              <w:autoSpaceDE w:val="0"/>
              <w:autoSpaceDN w:val="0"/>
              <w:jc w:val="center"/>
              <w:rPr>
                <w:color w:val="auto"/>
                <w:kern w:val="0"/>
                <w:sz w:val="24"/>
                <w:highlight w:val="none"/>
              </w:rPr>
            </w:pPr>
          </w:p>
        </w:tc>
        <w:tc>
          <w:tcPr>
            <w:tcW w:w="2117" w:type="dxa"/>
            <w:tcBorders>
              <w:top w:val="single" w:color="auto" w:sz="8" w:space="0"/>
              <w:left w:val="single" w:color="auto" w:sz="8" w:space="0"/>
              <w:bottom w:val="single" w:color="auto" w:sz="8" w:space="0"/>
              <w:right w:val="single" w:color="auto" w:sz="12" w:space="0"/>
            </w:tcBorders>
            <w:vAlign w:val="center"/>
          </w:tcPr>
          <w:p w14:paraId="5C4F00AF">
            <w:pPr>
              <w:autoSpaceDE w:val="0"/>
              <w:autoSpaceDN w:val="0"/>
              <w:jc w:val="center"/>
              <w:rPr>
                <w:color w:val="auto"/>
                <w:kern w:val="0"/>
                <w:sz w:val="24"/>
                <w:highlight w:val="none"/>
              </w:rPr>
            </w:pPr>
          </w:p>
        </w:tc>
      </w:tr>
      <w:tr w14:paraId="5F6DE498">
        <w:tblPrEx>
          <w:tblCellMar>
            <w:top w:w="0" w:type="dxa"/>
            <w:left w:w="0" w:type="dxa"/>
            <w:bottom w:w="0" w:type="dxa"/>
            <w:right w:w="0" w:type="dxa"/>
          </w:tblCellMar>
        </w:tblPrEx>
        <w:trPr>
          <w:trHeight w:val="907" w:hRule="atLeast"/>
        </w:trPr>
        <w:tc>
          <w:tcPr>
            <w:tcW w:w="712" w:type="dxa"/>
            <w:tcBorders>
              <w:top w:val="single" w:color="auto" w:sz="8" w:space="0"/>
              <w:left w:val="single" w:color="auto" w:sz="12" w:space="0"/>
              <w:bottom w:val="single" w:color="auto" w:sz="8" w:space="0"/>
              <w:right w:val="single" w:color="auto" w:sz="8" w:space="0"/>
            </w:tcBorders>
            <w:vAlign w:val="center"/>
          </w:tcPr>
          <w:p w14:paraId="52B5E562">
            <w:pPr>
              <w:autoSpaceDE w:val="0"/>
              <w:autoSpaceDN w:val="0"/>
              <w:jc w:val="center"/>
              <w:rPr>
                <w:color w:val="auto"/>
                <w:kern w:val="0"/>
                <w:sz w:val="24"/>
                <w:highlight w:val="none"/>
              </w:rPr>
            </w:pPr>
          </w:p>
        </w:tc>
        <w:tc>
          <w:tcPr>
            <w:tcW w:w="720" w:type="dxa"/>
            <w:tcBorders>
              <w:top w:val="single" w:color="auto" w:sz="8" w:space="0"/>
              <w:left w:val="single" w:color="auto" w:sz="8" w:space="0"/>
              <w:bottom w:val="single" w:color="auto" w:sz="8" w:space="0"/>
              <w:right w:val="single" w:color="auto" w:sz="8" w:space="0"/>
            </w:tcBorders>
            <w:vAlign w:val="center"/>
          </w:tcPr>
          <w:p w14:paraId="310F5DF4">
            <w:pPr>
              <w:autoSpaceDE w:val="0"/>
              <w:autoSpaceDN w:val="0"/>
              <w:jc w:val="center"/>
              <w:rPr>
                <w:color w:val="auto"/>
                <w:kern w:val="0"/>
                <w:sz w:val="24"/>
                <w:highlight w:val="none"/>
              </w:rPr>
            </w:pPr>
          </w:p>
        </w:tc>
        <w:tc>
          <w:tcPr>
            <w:tcW w:w="1815" w:type="dxa"/>
            <w:tcBorders>
              <w:top w:val="single" w:color="auto" w:sz="8" w:space="0"/>
              <w:left w:val="single" w:color="auto" w:sz="8" w:space="0"/>
              <w:bottom w:val="single" w:color="auto" w:sz="8" w:space="0"/>
              <w:right w:val="single" w:color="auto" w:sz="8" w:space="0"/>
            </w:tcBorders>
            <w:vAlign w:val="center"/>
          </w:tcPr>
          <w:p w14:paraId="3EA512CC">
            <w:pPr>
              <w:autoSpaceDE w:val="0"/>
              <w:autoSpaceDN w:val="0"/>
              <w:jc w:val="center"/>
              <w:rPr>
                <w:color w:val="auto"/>
                <w:kern w:val="0"/>
                <w:sz w:val="24"/>
                <w:highlight w:val="none"/>
              </w:rPr>
            </w:pPr>
          </w:p>
        </w:tc>
        <w:tc>
          <w:tcPr>
            <w:tcW w:w="1267" w:type="dxa"/>
            <w:tcBorders>
              <w:top w:val="single" w:color="auto" w:sz="8" w:space="0"/>
              <w:left w:val="single" w:color="auto" w:sz="8" w:space="0"/>
              <w:bottom w:val="single" w:color="auto" w:sz="8" w:space="0"/>
              <w:right w:val="single" w:color="auto" w:sz="8" w:space="0"/>
            </w:tcBorders>
            <w:vAlign w:val="center"/>
          </w:tcPr>
          <w:p w14:paraId="3CE6D287">
            <w:pPr>
              <w:autoSpaceDE w:val="0"/>
              <w:autoSpaceDN w:val="0"/>
              <w:jc w:val="center"/>
              <w:rPr>
                <w:color w:val="auto"/>
                <w:kern w:val="0"/>
                <w:sz w:val="24"/>
                <w:highlight w:val="none"/>
              </w:rPr>
            </w:pPr>
          </w:p>
        </w:tc>
        <w:tc>
          <w:tcPr>
            <w:tcW w:w="1267" w:type="dxa"/>
            <w:tcBorders>
              <w:top w:val="single" w:color="auto" w:sz="8" w:space="0"/>
              <w:left w:val="single" w:color="auto" w:sz="8" w:space="0"/>
              <w:bottom w:val="single" w:color="auto" w:sz="8" w:space="0"/>
              <w:right w:val="single" w:color="auto" w:sz="8" w:space="0"/>
            </w:tcBorders>
            <w:vAlign w:val="center"/>
          </w:tcPr>
          <w:p w14:paraId="72C64620">
            <w:pPr>
              <w:autoSpaceDE w:val="0"/>
              <w:autoSpaceDN w:val="0"/>
              <w:jc w:val="center"/>
              <w:rPr>
                <w:color w:val="auto"/>
                <w:kern w:val="0"/>
                <w:sz w:val="24"/>
                <w:highlight w:val="none"/>
              </w:rPr>
            </w:pPr>
          </w:p>
        </w:tc>
        <w:tc>
          <w:tcPr>
            <w:tcW w:w="1267" w:type="dxa"/>
            <w:tcBorders>
              <w:top w:val="single" w:color="auto" w:sz="8" w:space="0"/>
              <w:left w:val="single" w:color="auto" w:sz="8" w:space="0"/>
              <w:bottom w:val="single" w:color="auto" w:sz="8" w:space="0"/>
              <w:right w:val="single" w:color="auto" w:sz="8" w:space="0"/>
            </w:tcBorders>
            <w:vAlign w:val="center"/>
          </w:tcPr>
          <w:p w14:paraId="5E659CF4">
            <w:pPr>
              <w:autoSpaceDE w:val="0"/>
              <w:autoSpaceDN w:val="0"/>
              <w:jc w:val="center"/>
              <w:rPr>
                <w:color w:val="auto"/>
                <w:kern w:val="0"/>
                <w:sz w:val="24"/>
                <w:highlight w:val="none"/>
              </w:rPr>
            </w:pPr>
          </w:p>
        </w:tc>
        <w:tc>
          <w:tcPr>
            <w:tcW w:w="2117" w:type="dxa"/>
            <w:tcBorders>
              <w:top w:val="single" w:color="auto" w:sz="8" w:space="0"/>
              <w:left w:val="single" w:color="auto" w:sz="8" w:space="0"/>
              <w:bottom w:val="single" w:color="auto" w:sz="8" w:space="0"/>
              <w:right w:val="single" w:color="auto" w:sz="12" w:space="0"/>
            </w:tcBorders>
            <w:vAlign w:val="center"/>
          </w:tcPr>
          <w:p w14:paraId="200FC717">
            <w:pPr>
              <w:autoSpaceDE w:val="0"/>
              <w:autoSpaceDN w:val="0"/>
              <w:jc w:val="center"/>
              <w:rPr>
                <w:color w:val="auto"/>
                <w:kern w:val="0"/>
                <w:sz w:val="24"/>
                <w:highlight w:val="none"/>
              </w:rPr>
            </w:pPr>
          </w:p>
        </w:tc>
      </w:tr>
      <w:tr w14:paraId="7F51402D">
        <w:tblPrEx>
          <w:tblCellMar>
            <w:top w:w="0" w:type="dxa"/>
            <w:left w:w="0" w:type="dxa"/>
            <w:bottom w:w="0" w:type="dxa"/>
            <w:right w:w="0" w:type="dxa"/>
          </w:tblCellMar>
        </w:tblPrEx>
        <w:trPr>
          <w:trHeight w:val="907" w:hRule="atLeast"/>
        </w:trPr>
        <w:tc>
          <w:tcPr>
            <w:tcW w:w="712" w:type="dxa"/>
            <w:tcBorders>
              <w:top w:val="single" w:color="auto" w:sz="8" w:space="0"/>
              <w:left w:val="single" w:color="auto" w:sz="12" w:space="0"/>
              <w:bottom w:val="single" w:color="auto" w:sz="8" w:space="0"/>
              <w:right w:val="single" w:color="auto" w:sz="8" w:space="0"/>
            </w:tcBorders>
            <w:vAlign w:val="center"/>
          </w:tcPr>
          <w:p w14:paraId="42B19576">
            <w:pPr>
              <w:autoSpaceDE w:val="0"/>
              <w:autoSpaceDN w:val="0"/>
              <w:jc w:val="center"/>
              <w:rPr>
                <w:color w:val="auto"/>
                <w:kern w:val="0"/>
                <w:sz w:val="24"/>
                <w:highlight w:val="none"/>
              </w:rPr>
            </w:pPr>
          </w:p>
        </w:tc>
        <w:tc>
          <w:tcPr>
            <w:tcW w:w="720" w:type="dxa"/>
            <w:tcBorders>
              <w:top w:val="single" w:color="auto" w:sz="8" w:space="0"/>
              <w:left w:val="single" w:color="auto" w:sz="8" w:space="0"/>
              <w:bottom w:val="single" w:color="auto" w:sz="8" w:space="0"/>
              <w:right w:val="single" w:color="auto" w:sz="8" w:space="0"/>
            </w:tcBorders>
            <w:vAlign w:val="center"/>
          </w:tcPr>
          <w:p w14:paraId="1A5D5F8E">
            <w:pPr>
              <w:autoSpaceDE w:val="0"/>
              <w:autoSpaceDN w:val="0"/>
              <w:jc w:val="center"/>
              <w:rPr>
                <w:color w:val="auto"/>
                <w:kern w:val="0"/>
                <w:sz w:val="24"/>
                <w:highlight w:val="none"/>
              </w:rPr>
            </w:pPr>
          </w:p>
        </w:tc>
        <w:tc>
          <w:tcPr>
            <w:tcW w:w="1815" w:type="dxa"/>
            <w:tcBorders>
              <w:top w:val="single" w:color="auto" w:sz="8" w:space="0"/>
              <w:left w:val="single" w:color="auto" w:sz="8" w:space="0"/>
              <w:bottom w:val="single" w:color="auto" w:sz="8" w:space="0"/>
              <w:right w:val="single" w:color="auto" w:sz="8" w:space="0"/>
            </w:tcBorders>
            <w:vAlign w:val="center"/>
          </w:tcPr>
          <w:p w14:paraId="10466E73">
            <w:pPr>
              <w:autoSpaceDE w:val="0"/>
              <w:autoSpaceDN w:val="0"/>
              <w:jc w:val="center"/>
              <w:rPr>
                <w:rFonts w:ascii="宋体" w:cs="宋体"/>
                <w:color w:val="auto"/>
                <w:kern w:val="0"/>
                <w:sz w:val="24"/>
                <w:highlight w:val="none"/>
              </w:rPr>
            </w:pPr>
          </w:p>
        </w:tc>
        <w:tc>
          <w:tcPr>
            <w:tcW w:w="1267" w:type="dxa"/>
            <w:tcBorders>
              <w:top w:val="single" w:color="auto" w:sz="8" w:space="0"/>
              <w:left w:val="single" w:color="auto" w:sz="8" w:space="0"/>
              <w:bottom w:val="single" w:color="auto" w:sz="8" w:space="0"/>
              <w:right w:val="single" w:color="auto" w:sz="8" w:space="0"/>
            </w:tcBorders>
            <w:vAlign w:val="center"/>
          </w:tcPr>
          <w:p w14:paraId="471288B5">
            <w:pPr>
              <w:autoSpaceDE w:val="0"/>
              <w:autoSpaceDN w:val="0"/>
              <w:jc w:val="center"/>
              <w:rPr>
                <w:color w:val="auto"/>
                <w:kern w:val="0"/>
                <w:sz w:val="24"/>
                <w:highlight w:val="none"/>
              </w:rPr>
            </w:pPr>
          </w:p>
        </w:tc>
        <w:tc>
          <w:tcPr>
            <w:tcW w:w="1267" w:type="dxa"/>
            <w:tcBorders>
              <w:top w:val="single" w:color="auto" w:sz="8" w:space="0"/>
              <w:left w:val="single" w:color="auto" w:sz="8" w:space="0"/>
              <w:bottom w:val="single" w:color="auto" w:sz="8" w:space="0"/>
              <w:right w:val="single" w:color="auto" w:sz="8" w:space="0"/>
            </w:tcBorders>
            <w:vAlign w:val="center"/>
          </w:tcPr>
          <w:p w14:paraId="10FBE29E">
            <w:pPr>
              <w:autoSpaceDE w:val="0"/>
              <w:autoSpaceDN w:val="0"/>
              <w:jc w:val="center"/>
              <w:rPr>
                <w:color w:val="auto"/>
                <w:kern w:val="0"/>
                <w:sz w:val="24"/>
                <w:highlight w:val="none"/>
              </w:rPr>
            </w:pPr>
          </w:p>
        </w:tc>
        <w:tc>
          <w:tcPr>
            <w:tcW w:w="1267" w:type="dxa"/>
            <w:tcBorders>
              <w:top w:val="single" w:color="auto" w:sz="8" w:space="0"/>
              <w:left w:val="single" w:color="auto" w:sz="8" w:space="0"/>
              <w:bottom w:val="single" w:color="auto" w:sz="8" w:space="0"/>
              <w:right w:val="single" w:color="auto" w:sz="8" w:space="0"/>
            </w:tcBorders>
            <w:vAlign w:val="center"/>
          </w:tcPr>
          <w:p w14:paraId="6D4A13D6">
            <w:pPr>
              <w:autoSpaceDE w:val="0"/>
              <w:autoSpaceDN w:val="0"/>
              <w:jc w:val="center"/>
              <w:rPr>
                <w:color w:val="auto"/>
                <w:kern w:val="0"/>
                <w:sz w:val="24"/>
                <w:highlight w:val="none"/>
              </w:rPr>
            </w:pPr>
          </w:p>
        </w:tc>
        <w:tc>
          <w:tcPr>
            <w:tcW w:w="2117" w:type="dxa"/>
            <w:tcBorders>
              <w:top w:val="single" w:color="auto" w:sz="8" w:space="0"/>
              <w:left w:val="single" w:color="auto" w:sz="8" w:space="0"/>
              <w:bottom w:val="single" w:color="auto" w:sz="8" w:space="0"/>
              <w:right w:val="single" w:color="auto" w:sz="12" w:space="0"/>
            </w:tcBorders>
            <w:vAlign w:val="center"/>
          </w:tcPr>
          <w:p w14:paraId="775DE3C6">
            <w:pPr>
              <w:autoSpaceDE w:val="0"/>
              <w:autoSpaceDN w:val="0"/>
              <w:jc w:val="center"/>
              <w:rPr>
                <w:color w:val="auto"/>
                <w:kern w:val="0"/>
                <w:sz w:val="24"/>
                <w:highlight w:val="none"/>
              </w:rPr>
            </w:pPr>
          </w:p>
        </w:tc>
      </w:tr>
      <w:tr w14:paraId="2C54B01D">
        <w:tblPrEx>
          <w:tblCellMar>
            <w:top w:w="0" w:type="dxa"/>
            <w:left w:w="0" w:type="dxa"/>
            <w:bottom w:w="0" w:type="dxa"/>
            <w:right w:w="0" w:type="dxa"/>
          </w:tblCellMar>
        </w:tblPrEx>
        <w:trPr>
          <w:trHeight w:val="900" w:hRule="atLeast"/>
        </w:trPr>
        <w:tc>
          <w:tcPr>
            <w:tcW w:w="712" w:type="dxa"/>
            <w:tcBorders>
              <w:top w:val="single" w:color="auto" w:sz="8" w:space="0"/>
              <w:left w:val="single" w:color="auto" w:sz="12" w:space="0"/>
              <w:bottom w:val="single" w:color="auto" w:sz="8" w:space="0"/>
              <w:right w:val="single" w:color="auto" w:sz="8" w:space="0"/>
            </w:tcBorders>
            <w:vAlign w:val="center"/>
          </w:tcPr>
          <w:p w14:paraId="4BF8FFF8">
            <w:pPr>
              <w:autoSpaceDE w:val="0"/>
              <w:autoSpaceDN w:val="0"/>
              <w:jc w:val="center"/>
              <w:rPr>
                <w:color w:val="auto"/>
                <w:kern w:val="0"/>
                <w:sz w:val="24"/>
                <w:highlight w:val="none"/>
              </w:rPr>
            </w:pPr>
          </w:p>
        </w:tc>
        <w:tc>
          <w:tcPr>
            <w:tcW w:w="720" w:type="dxa"/>
            <w:tcBorders>
              <w:top w:val="single" w:color="auto" w:sz="8" w:space="0"/>
              <w:left w:val="single" w:color="auto" w:sz="8" w:space="0"/>
              <w:bottom w:val="single" w:color="auto" w:sz="8" w:space="0"/>
              <w:right w:val="single" w:color="auto" w:sz="8" w:space="0"/>
            </w:tcBorders>
            <w:vAlign w:val="center"/>
          </w:tcPr>
          <w:p w14:paraId="779C21BB">
            <w:pPr>
              <w:autoSpaceDE w:val="0"/>
              <w:autoSpaceDN w:val="0"/>
              <w:jc w:val="center"/>
              <w:rPr>
                <w:color w:val="auto"/>
                <w:kern w:val="0"/>
                <w:sz w:val="24"/>
                <w:highlight w:val="none"/>
              </w:rPr>
            </w:pPr>
          </w:p>
        </w:tc>
        <w:tc>
          <w:tcPr>
            <w:tcW w:w="1815" w:type="dxa"/>
            <w:tcBorders>
              <w:top w:val="single" w:color="auto" w:sz="8" w:space="0"/>
              <w:left w:val="single" w:color="auto" w:sz="8" w:space="0"/>
              <w:bottom w:val="single" w:color="auto" w:sz="8" w:space="0"/>
              <w:right w:val="single" w:color="auto" w:sz="8" w:space="0"/>
            </w:tcBorders>
            <w:vAlign w:val="center"/>
          </w:tcPr>
          <w:p w14:paraId="366C55A8">
            <w:pPr>
              <w:autoSpaceDE w:val="0"/>
              <w:autoSpaceDN w:val="0"/>
              <w:jc w:val="center"/>
              <w:rPr>
                <w:color w:val="auto"/>
                <w:kern w:val="0"/>
                <w:sz w:val="24"/>
                <w:highlight w:val="none"/>
              </w:rPr>
            </w:pPr>
          </w:p>
        </w:tc>
        <w:tc>
          <w:tcPr>
            <w:tcW w:w="1267" w:type="dxa"/>
            <w:tcBorders>
              <w:top w:val="single" w:color="auto" w:sz="8" w:space="0"/>
              <w:left w:val="single" w:color="auto" w:sz="8" w:space="0"/>
              <w:bottom w:val="single" w:color="auto" w:sz="8" w:space="0"/>
              <w:right w:val="single" w:color="auto" w:sz="8" w:space="0"/>
            </w:tcBorders>
            <w:vAlign w:val="center"/>
          </w:tcPr>
          <w:p w14:paraId="508E030F">
            <w:pPr>
              <w:autoSpaceDE w:val="0"/>
              <w:autoSpaceDN w:val="0"/>
              <w:jc w:val="center"/>
              <w:rPr>
                <w:color w:val="auto"/>
                <w:kern w:val="0"/>
                <w:sz w:val="24"/>
                <w:highlight w:val="none"/>
              </w:rPr>
            </w:pPr>
          </w:p>
        </w:tc>
        <w:tc>
          <w:tcPr>
            <w:tcW w:w="1267" w:type="dxa"/>
            <w:tcBorders>
              <w:top w:val="single" w:color="auto" w:sz="8" w:space="0"/>
              <w:left w:val="single" w:color="auto" w:sz="8" w:space="0"/>
              <w:bottom w:val="single" w:color="auto" w:sz="8" w:space="0"/>
              <w:right w:val="single" w:color="auto" w:sz="8" w:space="0"/>
            </w:tcBorders>
            <w:vAlign w:val="center"/>
          </w:tcPr>
          <w:p w14:paraId="4EFC7279">
            <w:pPr>
              <w:autoSpaceDE w:val="0"/>
              <w:autoSpaceDN w:val="0"/>
              <w:jc w:val="center"/>
              <w:rPr>
                <w:color w:val="auto"/>
                <w:kern w:val="0"/>
                <w:sz w:val="24"/>
                <w:highlight w:val="none"/>
              </w:rPr>
            </w:pPr>
          </w:p>
        </w:tc>
        <w:tc>
          <w:tcPr>
            <w:tcW w:w="1267" w:type="dxa"/>
            <w:tcBorders>
              <w:top w:val="single" w:color="auto" w:sz="8" w:space="0"/>
              <w:left w:val="single" w:color="auto" w:sz="8" w:space="0"/>
              <w:bottom w:val="single" w:color="auto" w:sz="8" w:space="0"/>
              <w:right w:val="single" w:color="auto" w:sz="8" w:space="0"/>
            </w:tcBorders>
            <w:vAlign w:val="center"/>
          </w:tcPr>
          <w:p w14:paraId="46DD28FB">
            <w:pPr>
              <w:autoSpaceDE w:val="0"/>
              <w:autoSpaceDN w:val="0"/>
              <w:jc w:val="center"/>
              <w:rPr>
                <w:color w:val="auto"/>
                <w:kern w:val="0"/>
                <w:sz w:val="24"/>
                <w:highlight w:val="none"/>
              </w:rPr>
            </w:pPr>
          </w:p>
        </w:tc>
        <w:tc>
          <w:tcPr>
            <w:tcW w:w="2117" w:type="dxa"/>
            <w:tcBorders>
              <w:top w:val="single" w:color="auto" w:sz="8" w:space="0"/>
              <w:left w:val="single" w:color="auto" w:sz="8" w:space="0"/>
              <w:bottom w:val="single" w:color="auto" w:sz="8" w:space="0"/>
              <w:right w:val="single" w:color="auto" w:sz="12" w:space="0"/>
            </w:tcBorders>
            <w:vAlign w:val="center"/>
          </w:tcPr>
          <w:p w14:paraId="656424B7">
            <w:pPr>
              <w:autoSpaceDE w:val="0"/>
              <w:autoSpaceDN w:val="0"/>
              <w:jc w:val="center"/>
              <w:rPr>
                <w:color w:val="auto"/>
                <w:kern w:val="0"/>
                <w:sz w:val="24"/>
                <w:highlight w:val="none"/>
              </w:rPr>
            </w:pPr>
          </w:p>
        </w:tc>
      </w:tr>
      <w:tr w14:paraId="39C94D08">
        <w:tblPrEx>
          <w:tblCellMar>
            <w:top w:w="0" w:type="dxa"/>
            <w:left w:w="0" w:type="dxa"/>
            <w:bottom w:w="0" w:type="dxa"/>
            <w:right w:w="0" w:type="dxa"/>
          </w:tblCellMar>
        </w:tblPrEx>
        <w:trPr>
          <w:trHeight w:val="907" w:hRule="atLeast"/>
        </w:trPr>
        <w:tc>
          <w:tcPr>
            <w:tcW w:w="712" w:type="dxa"/>
            <w:tcBorders>
              <w:top w:val="single" w:color="auto" w:sz="8" w:space="0"/>
              <w:left w:val="single" w:color="auto" w:sz="12" w:space="0"/>
              <w:bottom w:val="single" w:color="auto" w:sz="8" w:space="0"/>
              <w:right w:val="single" w:color="auto" w:sz="8" w:space="0"/>
            </w:tcBorders>
            <w:vAlign w:val="center"/>
          </w:tcPr>
          <w:p w14:paraId="461EED76">
            <w:pPr>
              <w:autoSpaceDE w:val="0"/>
              <w:autoSpaceDN w:val="0"/>
              <w:jc w:val="center"/>
              <w:rPr>
                <w:color w:val="auto"/>
                <w:kern w:val="0"/>
                <w:sz w:val="24"/>
                <w:highlight w:val="none"/>
              </w:rPr>
            </w:pPr>
          </w:p>
        </w:tc>
        <w:tc>
          <w:tcPr>
            <w:tcW w:w="720" w:type="dxa"/>
            <w:tcBorders>
              <w:top w:val="single" w:color="auto" w:sz="8" w:space="0"/>
              <w:left w:val="single" w:color="auto" w:sz="8" w:space="0"/>
              <w:bottom w:val="single" w:color="auto" w:sz="8" w:space="0"/>
              <w:right w:val="single" w:color="auto" w:sz="8" w:space="0"/>
            </w:tcBorders>
            <w:vAlign w:val="center"/>
          </w:tcPr>
          <w:p w14:paraId="3F8BD988">
            <w:pPr>
              <w:autoSpaceDE w:val="0"/>
              <w:autoSpaceDN w:val="0"/>
              <w:jc w:val="center"/>
              <w:rPr>
                <w:color w:val="auto"/>
                <w:kern w:val="0"/>
                <w:sz w:val="24"/>
                <w:highlight w:val="none"/>
              </w:rPr>
            </w:pPr>
          </w:p>
        </w:tc>
        <w:tc>
          <w:tcPr>
            <w:tcW w:w="1815" w:type="dxa"/>
            <w:tcBorders>
              <w:top w:val="single" w:color="auto" w:sz="8" w:space="0"/>
              <w:left w:val="single" w:color="auto" w:sz="8" w:space="0"/>
              <w:bottom w:val="single" w:color="auto" w:sz="8" w:space="0"/>
              <w:right w:val="single" w:color="auto" w:sz="8" w:space="0"/>
            </w:tcBorders>
            <w:vAlign w:val="center"/>
          </w:tcPr>
          <w:p w14:paraId="7D8C6035">
            <w:pPr>
              <w:autoSpaceDE w:val="0"/>
              <w:autoSpaceDN w:val="0"/>
              <w:jc w:val="center"/>
              <w:rPr>
                <w:color w:val="auto"/>
                <w:kern w:val="0"/>
                <w:sz w:val="24"/>
                <w:highlight w:val="none"/>
              </w:rPr>
            </w:pPr>
          </w:p>
        </w:tc>
        <w:tc>
          <w:tcPr>
            <w:tcW w:w="1267" w:type="dxa"/>
            <w:tcBorders>
              <w:top w:val="single" w:color="auto" w:sz="8" w:space="0"/>
              <w:left w:val="single" w:color="auto" w:sz="8" w:space="0"/>
              <w:bottom w:val="single" w:color="auto" w:sz="8" w:space="0"/>
              <w:right w:val="single" w:color="auto" w:sz="8" w:space="0"/>
            </w:tcBorders>
            <w:vAlign w:val="center"/>
          </w:tcPr>
          <w:p w14:paraId="2A3658AE">
            <w:pPr>
              <w:autoSpaceDE w:val="0"/>
              <w:autoSpaceDN w:val="0"/>
              <w:jc w:val="center"/>
              <w:rPr>
                <w:color w:val="auto"/>
                <w:kern w:val="0"/>
                <w:sz w:val="24"/>
                <w:highlight w:val="none"/>
              </w:rPr>
            </w:pPr>
          </w:p>
        </w:tc>
        <w:tc>
          <w:tcPr>
            <w:tcW w:w="1267" w:type="dxa"/>
            <w:tcBorders>
              <w:top w:val="single" w:color="auto" w:sz="8" w:space="0"/>
              <w:left w:val="single" w:color="auto" w:sz="8" w:space="0"/>
              <w:bottom w:val="single" w:color="auto" w:sz="8" w:space="0"/>
              <w:right w:val="single" w:color="auto" w:sz="8" w:space="0"/>
            </w:tcBorders>
            <w:vAlign w:val="center"/>
          </w:tcPr>
          <w:p w14:paraId="2BF6CFBC">
            <w:pPr>
              <w:autoSpaceDE w:val="0"/>
              <w:autoSpaceDN w:val="0"/>
              <w:jc w:val="center"/>
              <w:rPr>
                <w:color w:val="auto"/>
                <w:kern w:val="0"/>
                <w:sz w:val="24"/>
                <w:highlight w:val="none"/>
              </w:rPr>
            </w:pPr>
          </w:p>
        </w:tc>
        <w:tc>
          <w:tcPr>
            <w:tcW w:w="1267" w:type="dxa"/>
            <w:tcBorders>
              <w:top w:val="single" w:color="auto" w:sz="8" w:space="0"/>
              <w:left w:val="single" w:color="auto" w:sz="8" w:space="0"/>
              <w:bottom w:val="single" w:color="auto" w:sz="8" w:space="0"/>
              <w:right w:val="single" w:color="auto" w:sz="8" w:space="0"/>
            </w:tcBorders>
            <w:vAlign w:val="center"/>
          </w:tcPr>
          <w:p w14:paraId="7E044422">
            <w:pPr>
              <w:autoSpaceDE w:val="0"/>
              <w:autoSpaceDN w:val="0"/>
              <w:jc w:val="center"/>
              <w:rPr>
                <w:color w:val="auto"/>
                <w:kern w:val="0"/>
                <w:sz w:val="24"/>
                <w:highlight w:val="none"/>
              </w:rPr>
            </w:pPr>
          </w:p>
        </w:tc>
        <w:tc>
          <w:tcPr>
            <w:tcW w:w="2117" w:type="dxa"/>
            <w:tcBorders>
              <w:top w:val="single" w:color="auto" w:sz="8" w:space="0"/>
              <w:left w:val="single" w:color="auto" w:sz="8" w:space="0"/>
              <w:bottom w:val="single" w:color="auto" w:sz="8" w:space="0"/>
              <w:right w:val="single" w:color="auto" w:sz="12" w:space="0"/>
            </w:tcBorders>
            <w:vAlign w:val="center"/>
          </w:tcPr>
          <w:p w14:paraId="027C0E7C">
            <w:pPr>
              <w:autoSpaceDE w:val="0"/>
              <w:autoSpaceDN w:val="0"/>
              <w:jc w:val="center"/>
              <w:rPr>
                <w:color w:val="auto"/>
                <w:kern w:val="0"/>
                <w:sz w:val="24"/>
                <w:highlight w:val="none"/>
              </w:rPr>
            </w:pPr>
          </w:p>
        </w:tc>
      </w:tr>
      <w:tr w14:paraId="7AA7E91E">
        <w:tblPrEx>
          <w:tblCellMar>
            <w:top w:w="0" w:type="dxa"/>
            <w:left w:w="0" w:type="dxa"/>
            <w:bottom w:w="0" w:type="dxa"/>
            <w:right w:w="0" w:type="dxa"/>
          </w:tblCellMar>
        </w:tblPrEx>
        <w:trPr>
          <w:trHeight w:val="900" w:hRule="atLeast"/>
        </w:trPr>
        <w:tc>
          <w:tcPr>
            <w:tcW w:w="712" w:type="dxa"/>
            <w:tcBorders>
              <w:top w:val="single" w:color="auto" w:sz="8" w:space="0"/>
              <w:left w:val="single" w:color="auto" w:sz="12" w:space="0"/>
              <w:bottom w:val="single" w:color="auto" w:sz="12" w:space="0"/>
              <w:right w:val="single" w:color="auto" w:sz="8" w:space="0"/>
            </w:tcBorders>
            <w:vAlign w:val="center"/>
          </w:tcPr>
          <w:p w14:paraId="7E509DF7">
            <w:pPr>
              <w:autoSpaceDE w:val="0"/>
              <w:autoSpaceDN w:val="0"/>
              <w:jc w:val="center"/>
              <w:rPr>
                <w:color w:val="auto"/>
                <w:kern w:val="0"/>
                <w:sz w:val="24"/>
                <w:highlight w:val="none"/>
              </w:rPr>
            </w:pPr>
          </w:p>
        </w:tc>
        <w:tc>
          <w:tcPr>
            <w:tcW w:w="720" w:type="dxa"/>
            <w:tcBorders>
              <w:top w:val="single" w:color="auto" w:sz="8" w:space="0"/>
              <w:left w:val="single" w:color="auto" w:sz="8" w:space="0"/>
              <w:bottom w:val="single" w:color="auto" w:sz="12" w:space="0"/>
              <w:right w:val="single" w:color="auto" w:sz="8" w:space="0"/>
            </w:tcBorders>
            <w:vAlign w:val="center"/>
          </w:tcPr>
          <w:p w14:paraId="3662A328">
            <w:pPr>
              <w:autoSpaceDE w:val="0"/>
              <w:autoSpaceDN w:val="0"/>
              <w:jc w:val="center"/>
              <w:rPr>
                <w:color w:val="auto"/>
                <w:kern w:val="0"/>
                <w:sz w:val="24"/>
                <w:highlight w:val="none"/>
              </w:rPr>
            </w:pPr>
          </w:p>
        </w:tc>
        <w:tc>
          <w:tcPr>
            <w:tcW w:w="1815" w:type="dxa"/>
            <w:tcBorders>
              <w:top w:val="single" w:color="auto" w:sz="8" w:space="0"/>
              <w:left w:val="single" w:color="auto" w:sz="8" w:space="0"/>
              <w:bottom w:val="single" w:color="auto" w:sz="12" w:space="0"/>
              <w:right w:val="single" w:color="auto" w:sz="8" w:space="0"/>
            </w:tcBorders>
            <w:vAlign w:val="center"/>
          </w:tcPr>
          <w:p w14:paraId="12225B19">
            <w:pPr>
              <w:autoSpaceDE w:val="0"/>
              <w:autoSpaceDN w:val="0"/>
              <w:jc w:val="center"/>
              <w:rPr>
                <w:color w:val="auto"/>
                <w:kern w:val="0"/>
                <w:sz w:val="24"/>
                <w:highlight w:val="none"/>
              </w:rPr>
            </w:pPr>
          </w:p>
        </w:tc>
        <w:tc>
          <w:tcPr>
            <w:tcW w:w="1267" w:type="dxa"/>
            <w:tcBorders>
              <w:top w:val="single" w:color="auto" w:sz="8" w:space="0"/>
              <w:left w:val="single" w:color="auto" w:sz="8" w:space="0"/>
              <w:bottom w:val="single" w:color="auto" w:sz="12" w:space="0"/>
              <w:right w:val="single" w:color="auto" w:sz="8" w:space="0"/>
            </w:tcBorders>
            <w:vAlign w:val="center"/>
          </w:tcPr>
          <w:p w14:paraId="01F95D62">
            <w:pPr>
              <w:autoSpaceDE w:val="0"/>
              <w:autoSpaceDN w:val="0"/>
              <w:jc w:val="center"/>
              <w:rPr>
                <w:color w:val="auto"/>
                <w:kern w:val="0"/>
                <w:sz w:val="24"/>
                <w:highlight w:val="none"/>
              </w:rPr>
            </w:pPr>
          </w:p>
        </w:tc>
        <w:tc>
          <w:tcPr>
            <w:tcW w:w="1267" w:type="dxa"/>
            <w:tcBorders>
              <w:top w:val="single" w:color="auto" w:sz="8" w:space="0"/>
              <w:left w:val="single" w:color="auto" w:sz="8" w:space="0"/>
              <w:bottom w:val="single" w:color="auto" w:sz="12" w:space="0"/>
              <w:right w:val="single" w:color="auto" w:sz="8" w:space="0"/>
            </w:tcBorders>
            <w:vAlign w:val="center"/>
          </w:tcPr>
          <w:p w14:paraId="1FEC1428">
            <w:pPr>
              <w:autoSpaceDE w:val="0"/>
              <w:autoSpaceDN w:val="0"/>
              <w:jc w:val="center"/>
              <w:rPr>
                <w:color w:val="auto"/>
                <w:kern w:val="0"/>
                <w:sz w:val="24"/>
                <w:highlight w:val="none"/>
              </w:rPr>
            </w:pPr>
          </w:p>
        </w:tc>
        <w:tc>
          <w:tcPr>
            <w:tcW w:w="1267" w:type="dxa"/>
            <w:tcBorders>
              <w:top w:val="single" w:color="auto" w:sz="8" w:space="0"/>
              <w:left w:val="single" w:color="auto" w:sz="8" w:space="0"/>
              <w:bottom w:val="single" w:color="auto" w:sz="12" w:space="0"/>
              <w:right w:val="single" w:color="auto" w:sz="8" w:space="0"/>
            </w:tcBorders>
            <w:vAlign w:val="center"/>
          </w:tcPr>
          <w:p w14:paraId="5FE00AF1">
            <w:pPr>
              <w:autoSpaceDE w:val="0"/>
              <w:autoSpaceDN w:val="0"/>
              <w:jc w:val="center"/>
              <w:rPr>
                <w:color w:val="auto"/>
                <w:kern w:val="0"/>
                <w:sz w:val="24"/>
                <w:highlight w:val="none"/>
              </w:rPr>
            </w:pPr>
          </w:p>
        </w:tc>
        <w:tc>
          <w:tcPr>
            <w:tcW w:w="2117" w:type="dxa"/>
            <w:tcBorders>
              <w:top w:val="single" w:color="auto" w:sz="8" w:space="0"/>
              <w:left w:val="single" w:color="auto" w:sz="8" w:space="0"/>
              <w:bottom w:val="single" w:color="auto" w:sz="12" w:space="0"/>
              <w:right w:val="single" w:color="auto" w:sz="12" w:space="0"/>
            </w:tcBorders>
            <w:vAlign w:val="center"/>
          </w:tcPr>
          <w:p w14:paraId="76DEC0EB">
            <w:pPr>
              <w:autoSpaceDE w:val="0"/>
              <w:autoSpaceDN w:val="0"/>
              <w:jc w:val="center"/>
              <w:rPr>
                <w:color w:val="auto"/>
                <w:kern w:val="0"/>
                <w:sz w:val="24"/>
                <w:highlight w:val="none"/>
              </w:rPr>
            </w:pPr>
          </w:p>
        </w:tc>
      </w:tr>
    </w:tbl>
    <w:p w14:paraId="231C856B">
      <w:pPr>
        <w:spacing w:line="360" w:lineRule="auto"/>
        <w:rPr>
          <w:rFonts w:hAnsi="宋体" w:cs="仿宋"/>
          <w:color w:val="auto"/>
          <w:szCs w:val="21"/>
          <w:highlight w:val="none"/>
        </w:rPr>
      </w:pPr>
      <w:r>
        <w:rPr>
          <w:rFonts w:hint="eastAsia" w:hAnsi="宋体" w:cs="仿宋"/>
          <w:color w:val="auto"/>
          <w:szCs w:val="21"/>
          <w:highlight w:val="none"/>
        </w:rPr>
        <w:t>注：①项目负责人及各专业负责人均应填写；</w:t>
      </w:r>
    </w:p>
    <w:p w14:paraId="67FA5801">
      <w:pPr>
        <w:spacing w:line="360" w:lineRule="auto"/>
        <w:ind w:firstLine="420" w:firstLineChars="200"/>
        <w:rPr>
          <w:rFonts w:hAnsi="宋体" w:cs="仿宋"/>
          <w:color w:val="auto"/>
          <w:szCs w:val="21"/>
          <w:highlight w:val="none"/>
        </w:rPr>
      </w:pPr>
      <w:r>
        <w:rPr>
          <w:rFonts w:hint="eastAsia" w:hAnsi="宋体" w:cs="仿宋"/>
          <w:color w:val="auto"/>
          <w:szCs w:val="21"/>
          <w:highlight w:val="none"/>
        </w:rPr>
        <w:t>①</w:t>
      </w:r>
      <w:r>
        <w:rPr>
          <w:rFonts w:hAnsi="宋体" w:cs="仿宋"/>
          <w:color w:val="auto"/>
          <w:szCs w:val="21"/>
          <w:highlight w:val="none"/>
        </w:rPr>
        <w:t>本表人员应附</w:t>
      </w:r>
      <w:r>
        <w:rPr>
          <w:rFonts w:hAnsi="宋体" w:cs="仿宋"/>
          <w:b/>
          <w:color w:val="auto"/>
          <w:szCs w:val="21"/>
          <w:highlight w:val="none"/>
        </w:rPr>
        <w:t>身份证、毕业证、职称证、执业资格证书</w:t>
      </w:r>
      <w:r>
        <w:rPr>
          <w:rFonts w:hint="eastAsia" w:hAnsi="宋体" w:cs="仿宋"/>
          <w:b/>
          <w:color w:val="auto"/>
          <w:szCs w:val="21"/>
          <w:highlight w:val="none"/>
        </w:rPr>
        <w:t>（如有）</w:t>
      </w:r>
      <w:r>
        <w:rPr>
          <w:rFonts w:hAnsi="宋体" w:cs="仿宋"/>
          <w:color w:val="auto"/>
          <w:szCs w:val="21"/>
          <w:highlight w:val="none"/>
        </w:rPr>
        <w:t>以及资格审查条件所要求的其他相关证书的</w:t>
      </w:r>
      <w:r>
        <w:rPr>
          <w:rFonts w:hint="eastAsia" w:hAnsi="宋体" w:cs="仿宋"/>
          <w:color w:val="auto"/>
          <w:szCs w:val="21"/>
          <w:highlight w:val="none"/>
        </w:rPr>
        <w:t>原件扫描</w:t>
      </w:r>
      <w:r>
        <w:rPr>
          <w:rFonts w:hAnsi="宋体" w:cs="仿宋"/>
          <w:color w:val="auto"/>
          <w:szCs w:val="21"/>
          <w:highlight w:val="none"/>
        </w:rPr>
        <w:t>件。</w:t>
      </w:r>
    </w:p>
    <w:p w14:paraId="14C670B9">
      <w:pPr>
        <w:spacing w:line="360" w:lineRule="auto"/>
        <w:ind w:firstLine="420" w:firstLineChars="200"/>
        <w:rPr>
          <w:rFonts w:hAnsi="宋体" w:cs="仿宋"/>
          <w:color w:val="auto"/>
          <w:szCs w:val="21"/>
          <w:highlight w:val="none"/>
        </w:rPr>
      </w:pPr>
      <w:r>
        <w:rPr>
          <w:rFonts w:hAnsi="宋体" w:cs="仿宋"/>
          <w:color w:val="auto"/>
          <w:szCs w:val="21"/>
          <w:highlight w:val="none"/>
        </w:rPr>
        <w:t>②</w:t>
      </w:r>
      <w:r>
        <w:rPr>
          <w:rFonts w:hint="eastAsia" w:hAnsi="宋体" w:cs="仿宋"/>
          <w:color w:val="auto"/>
          <w:szCs w:val="21"/>
          <w:highlight w:val="none"/>
        </w:rPr>
        <w:t>供应商拟安排参与本工程的人员必须是在供应商处进行岗位登记[要求出具近半年来连续三个月的社保缴费证明或参加社保的有效证明材料]。</w:t>
      </w:r>
    </w:p>
    <w:p w14:paraId="137C67FA">
      <w:pPr>
        <w:spacing w:line="360" w:lineRule="auto"/>
        <w:ind w:firstLine="420" w:firstLineChars="200"/>
        <w:rPr>
          <w:rFonts w:hAnsi="宋体" w:cs="仿宋"/>
          <w:color w:val="auto"/>
          <w:szCs w:val="21"/>
          <w:highlight w:val="none"/>
        </w:rPr>
      </w:pPr>
      <w:r>
        <w:rPr>
          <w:rFonts w:hint="eastAsia" w:ascii="微软雅黑" w:hAnsi="微软雅黑" w:eastAsia="微软雅黑" w:cs="微软雅黑"/>
          <w:color w:val="auto"/>
          <w:szCs w:val="21"/>
          <w:highlight w:val="none"/>
        </w:rPr>
        <w:t>③</w:t>
      </w:r>
      <w:r>
        <w:rPr>
          <w:rFonts w:hint="eastAsia" w:hAnsi="宋体" w:cs="仿宋"/>
          <w:color w:val="auto"/>
          <w:szCs w:val="21"/>
          <w:highlight w:val="none"/>
        </w:rPr>
        <w:t>须附有效证明材料，如成果文件签名页面等，有效证明材料具体要求见</w:t>
      </w:r>
      <w:r>
        <w:rPr>
          <w:rFonts w:hint="eastAsia" w:hAnsi="宋体" w:cs="仿宋"/>
          <w:color w:val="auto"/>
          <w:highlight w:val="none"/>
        </w:rPr>
        <w:t>第四章评审办法</w:t>
      </w:r>
      <w:r>
        <w:rPr>
          <w:rFonts w:hint="eastAsia" w:hAnsi="宋体" w:cs="仿宋"/>
          <w:color w:val="auto"/>
          <w:szCs w:val="21"/>
          <w:highlight w:val="none"/>
        </w:rPr>
        <w:t>。</w:t>
      </w:r>
    </w:p>
    <w:p w14:paraId="103B3BDC">
      <w:pPr>
        <w:snapToGrid w:val="0"/>
        <w:spacing w:before="50" w:after="50"/>
        <w:rPr>
          <w:rFonts w:ascii="宋体" w:hAnsi="宋体"/>
          <w:color w:val="auto"/>
          <w:szCs w:val="21"/>
          <w:highlight w:val="none"/>
        </w:rPr>
      </w:pPr>
    </w:p>
    <w:p w14:paraId="3619F61A">
      <w:pPr>
        <w:pStyle w:val="5"/>
        <w:overflowPunct w:val="0"/>
        <w:spacing w:line="520" w:lineRule="exact"/>
        <w:ind w:firstLine="0"/>
        <w:jc w:val="center"/>
        <w:rPr>
          <w:color w:val="auto"/>
          <w:sz w:val="24"/>
          <w:highlight w:val="none"/>
        </w:rPr>
      </w:pPr>
      <w:r>
        <w:rPr>
          <w:rFonts w:hint="eastAsia"/>
          <w:color w:val="auto"/>
          <w:sz w:val="24"/>
          <w:highlight w:val="none"/>
        </w:rPr>
        <w:t>供应商名称：</w:t>
      </w:r>
      <w:r>
        <w:rPr>
          <w:rFonts w:hint="eastAsia"/>
          <w:color w:val="auto"/>
          <w:sz w:val="24"/>
          <w:highlight w:val="none"/>
          <w:u w:val="single"/>
        </w:rPr>
        <w:t xml:space="preserve">                         </w:t>
      </w:r>
      <w:r>
        <w:rPr>
          <w:rFonts w:hint="eastAsia"/>
          <w:color w:val="auto"/>
          <w:sz w:val="24"/>
          <w:highlight w:val="none"/>
        </w:rPr>
        <w:t>（盖单位公章）</w:t>
      </w:r>
    </w:p>
    <w:p w14:paraId="7FCB0EEE">
      <w:pPr>
        <w:pStyle w:val="5"/>
        <w:overflowPunct w:val="0"/>
        <w:spacing w:line="520" w:lineRule="exact"/>
        <w:ind w:firstLine="1478" w:firstLineChars="616"/>
        <w:rPr>
          <w:color w:val="auto"/>
          <w:sz w:val="24"/>
          <w:highlight w:val="none"/>
        </w:rPr>
      </w:pPr>
      <w:r>
        <w:rPr>
          <w:rFonts w:hint="eastAsia"/>
          <w:color w:val="auto"/>
          <w:sz w:val="24"/>
          <w:highlight w:val="none"/>
        </w:rPr>
        <w:t>法定代表人或其委托代理人：</w:t>
      </w:r>
      <w:r>
        <w:rPr>
          <w:rFonts w:hint="eastAsia"/>
          <w:color w:val="auto"/>
          <w:sz w:val="24"/>
          <w:highlight w:val="none"/>
          <w:u w:val="single"/>
        </w:rPr>
        <w:t xml:space="preserve">           </w:t>
      </w:r>
      <w:r>
        <w:rPr>
          <w:rFonts w:hint="eastAsia"/>
          <w:color w:val="auto"/>
          <w:sz w:val="24"/>
          <w:highlight w:val="none"/>
        </w:rPr>
        <w:t>（签字）</w:t>
      </w:r>
    </w:p>
    <w:p w14:paraId="762C3CA8">
      <w:pPr>
        <w:pStyle w:val="5"/>
        <w:overflowPunct w:val="0"/>
        <w:spacing w:line="520" w:lineRule="exact"/>
        <w:ind w:firstLine="3998" w:firstLineChars="1666"/>
        <w:rPr>
          <w:color w:val="auto"/>
          <w:sz w:val="24"/>
          <w:highlight w:val="none"/>
        </w:rPr>
      </w:pPr>
      <w:r>
        <w:rPr>
          <w:rFonts w:hint="eastAsia"/>
          <w:color w:val="auto"/>
          <w:sz w:val="24"/>
          <w:highlight w:val="none"/>
          <w:u w:val="single"/>
        </w:rPr>
        <w:t xml:space="preserve">      </w:t>
      </w:r>
      <w:r>
        <w:rPr>
          <w:rFonts w:hint="eastAsia"/>
          <w:color w:val="auto"/>
          <w:sz w:val="24"/>
          <w:highlight w:val="none"/>
        </w:rPr>
        <w:t>年</w:t>
      </w:r>
      <w:r>
        <w:rPr>
          <w:rFonts w:hint="eastAsia"/>
          <w:color w:val="auto"/>
          <w:sz w:val="24"/>
          <w:highlight w:val="none"/>
          <w:u w:val="single"/>
        </w:rPr>
        <w:t xml:space="preserve">    </w:t>
      </w:r>
      <w:r>
        <w:rPr>
          <w:rFonts w:hint="eastAsia"/>
          <w:color w:val="auto"/>
          <w:sz w:val="24"/>
          <w:highlight w:val="none"/>
        </w:rPr>
        <w:t>月</w:t>
      </w:r>
      <w:r>
        <w:rPr>
          <w:rFonts w:hint="eastAsia"/>
          <w:color w:val="auto"/>
          <w:sz w:val="24"/>
          <w:highlight w:val="none"/>
          <w:u w:val="single"/>
        </w:rPr>
        <w:t xml:space="preserve">    </w:t>
      </w:r>
      <w:r>
        <w:rPr>
          <w:rFonts w:hint="eastAsia"/>
          <w:color w:val="auto"/>
          <w:sz w:val="24"/>
          <w:highlight w:val="none"/>
        </w:rPr>
        <w:t>日</w:t>
      </w:r>
    </w:p>
    <w:p w14:paraId="71F30320">
      <w:pPr>
        <w:snapToGrid w:val="0"/>
        <w:spacing w:before="50" w:after="120" w:afterLines="50"/>
        <w:jc w:val="left"/>
        <w:rPr>
          <w:rFonts w:ascii="宋体" w:hAnsi="宋体"/>
          <w:color w:val="auto"/>
          <w:sz w:val="24"/>
          <w:szCs w:val="20"/>
          <w:highlight w:val="none"/>
        </w:rPr>
      </w:pPr>
    </w:p>
    <w:p w14:paraId="331F3929">
      <w:pPr>
        <w:rPr>
          <w:rFonts w:ascii="黑体" w:hAnsi="宋体" w:eastAsia="黑体"/>
          <w:b/>
          <w:color w:val="auto"/>
          <w:sz w:val="24"/>
          <w:highlight w:val="none"/>
        </w:rPr>
      </w:pPr>
      <w:r>
        <w:rPr>
          <w:rFonts w:ascii="黑体" w:hAnsi="宋体" w:eastAsia="黑体"/>
          <w:b/>
          <w:color w:val="auto"/>
          <w:sz w:val="24"/>
          <w:highlight w:val="none"/>
        </w:rPr>
        <w:br w:type="page"/>
      </w:r>
    </w:p>
    <w:p w14:paraId="131F5919">
      <w:pPr>
        <w:pStyle w:val="10"/>
        <w:rPr>
          <w:color w:val="auto"/>
          <w:highlight w:val="none"/>
        </w:rPr>
      </w:pPr>
    </w:p>
    <w:p w14:paraId="2C6CEF86">
      <w:pPr>
        <w:snapToGrid w:val="0"/>
        <w:spacing w:line="360" w:lineRule="auto"/>
        <w:jc w:val="center"/>
        <w:outlineLvl w:val="1"/>
        <w:rPr>
          <w:rFonts w:ascii="黑体" w:hAnsi="黑体" w:eastAsia="黑体" w:cs="黑体"/>
          <w:color w:val="auto"/>
          <w:sz w:val="36"/>
          <w:szCs w:val="36"/>
          <w:highlight w:val="none"/>
        </w:rPr>
      </w:pPr>
      <w:bookmarkStart w:id="250" w:name="_Toc18160"/>
      <w:bookmarkStart w:id="251" w:name="_Toc11791"/>
      <w:bookmarkStart w:id="252" w:name="_Toc19324"/>
      <w:bookmarkStart w:id="253" w:name="_Toc30890"/>
      <w:bookmarkStart w:id="254" w:name="_Toc7933"/>
      <w:bookmarkStart w:id="255" w:name="_Toc3769"/>
      <w:bookmarkStart w:id="256" w:name="_Toc7403"/>
      <w:bookmarkStart w:id="257" w:name="_Toc31978"/>
      <w:bookmarkStart w:id="258" w:name="_Toc15898"/>
      <w:bookmarkStart w:id="259" w:name="_Toc32417"/>
      <w:bookmarkStart w:id="260" w:name="_Toc26776"/>
      <w:bookmarkStart w:id="261" w:name="_Toc12864"/>
      <w:bookmarkStart w:id="262" w:name="_Toc23861"/>
      <w:bookmarkStart w:id="263" w:name="_Toc1235"/>
      <w:bookmarkStart w:id="264" w:name="_Toc25194"/>
      <w:r>
        <w:rPr>
          <w:rFonts w:hint="eastAsia" w:ascii="黑体" w:hAnsi="黑体" w:eastAsia="黑体" w:cs="黑体"/>
          <w:color w:val="auto"/>
          <w:sz w:val="36"/>
          <w:szCs w:val="36"/>
          <w:highlight w:val="none"/>
          <w:lang w:eastAsia="zh-CN"/>
        </w:rPr>
        <w:t>六</w:t>
      </w:r>
      <w:r>
        <w:rPr>
          <w:rFonts w:hint="eastAsia" w:ascii="黑体" w:hAnsi="黑体" w:eastAsia="黑体" w:cs="黑体"/>
          <w:color w:val="auto"/>
          <w:sz w:val="36"/>
          <w:szCs w:val="36"/>
          <w:highlight w:val="none"/>
        </w:rPr>
        <w:t>、</w:t>
      </w:r>
      <w:bookmarkEnd w:id="250"/>
      <w:bookmarkEnd w:id="251"/>
      <w:bookmarkEnd w:id="252"/>
      <w:r>
        <w:rPr>
          <w:rFonts w:hint="eastAsia" w:ascii="黑体" w:hAnsi="黑体" w:eastAsia="黑体" w:cs="黑体"/>
          <w:color w:val="auto"/>
          <w:sz w:val="36"/>
          <w:szCs w:val="36"/>
          <w:highlight w:val="none"/>
          <w:lang w:eastAsia="zh-CN"/>
        </w:rPr>
        <w:t>调查与评价</w:t>
      </w:r>
      <w:r>
        <w:rPr>
          <w:rFonts w:hint="eastAsia" w:ascii="黑体" w:hAnsi="黑体" w:eastAsia="黑体" w:cs="黑体"/>
          <w:color w:val="auto"/>
          <w:sz w:val="36"/>
          <w:szCs w:val="36"/>
          <w:highlight w:val="none"/>
        </w:rPr>
        <w:t>方案</w:t>
      </w:r>
      <w:bookmarkEnd w:id="253"/>
      <w:bookmarkEnd w:id="254"/>
      <w:bookmarkEnd w:id="255"/>
      <w:bookmarkEnd w:id="256"/>
      <w:bookmarkEnd w:id="257"/>
      <w:bookmarkEnd w:id="258"/>
      <w:bookmarkEnd w:id="259"/>
      <w:bookmarkEnd w:id="260"/>
      <w:bookmarkEnd w:id="261"/>
      <w:bookmarkEnd w:id="262"/>
      <w:bookmarkEnd w:id="263"/>
      <w:bookmarkEnd w:id="264"/>
      <w:r>
        <w:rPr>
          <w:rFonts w:hint="eastAsia" w:ascii="黑体" w:hAnsi="黑体" w:eastAsia="黑体" w:cs="黑体"/>
          <w:color w:val="auto"/>
          <w:sz w:val="36"/>
          <w:szCs w:val="36"/>
          <w:highlight w:val="none"/>
        </w:rPr>
        <w:t xml:space="preserve"> </w:t>
      </w:r>
    </w:p>
    <w:p w14:paraId="341B0739">
      <w:pPr>
        <w:jc w:val="left"/>
        <w:rPr>
          <w:rFonts w:hint="eastAsia" w:ascii="宋体" w:hAnsi="宋体" w:cs="宋体"/>
          <w:bCs/>
          <w:color w:val="auto"/>
          <w:kern w:val="0"/>
          <w:sz w:val="24"/>
          <w:highlight w:val="none"/>
        </w:rPr>
      </w:pPr>
      <w:r>
        <w:rPr>
          <w:rFonts w:hint="eastAsia" w:ascii="宋体" w:hAnsi="宋体" w:cs="宋体"/>
          <w:bCs/>
          <w:color w:val="auto"/>
          <w:kern w:val="0"/>
          <w:sz w:val="24"/>
          <w:highlight w:val="none"/>
          <w:lang w:eastAsia="zh-CN"/>
        </w:rPr>
        <w:t>调查与评价</w:t>
      </w:r>
      <w:r>
        <w:rPr>
          <w:rFonts w:hint="eastAsia" w:ascii="宋体" w:hAnsi="宋体" w:cs="宋体"/>
          <w:bCs/>
          <w:color w:val="auto"/>
          <w:kern w:val="0"/>
          <w:sz w:val="24"/>
          <w:highlight w:val="none"/>
        </w:rPr>
        <w:t>方案应包括(但不限于)下列内容：</w:t>
      </w:r>
    </w:p>
    <w:p w14:paraId="6F8B8092">
      <w:pPr>
        <w:jc w:val="left"/>
        <w:rPr>
          <w:rFonts w:hint="eastAsia" w:ascii="宋体" w:hAnsi="宋体" w:cs="宋体"/>
          <w:bCs/>
          <w:color w:val="auto"/>
          <w:kern w:val="0"/>
          <w:sz w:val="24"/>
          <w:highlight w:val="none"/>
        </w:rPr>
      </w:pPr>
      <w:r>
        <w:rPr>
          <w:rFonts w:hint="eastAsia" w:ascii="宋体" w:hAnsi="宋体" w:cs="宋体"/>
          <w:bCs/>
          <w:color w:val="auto"/>
          <w:kern w:val="0"/>
          <w:sz w:val="24"/>
          <w:highlight w:val="none"/>
        </w:rPr>
        <w:t>一、</w:t>
      </w:r>
      <w:r>
        <w:rPr>
          <w:rFonts w:hint="eastAsia" w:ascii="宋体" w:hAnsi="宋体" w:cs="宋体"/>
          <w:bCs/>
          <w:color w:val="auto"/>
          <w:kern w:val="0"/>
          <w:sz w:val="24"/>
          <w:highlight w:val="none"/>
          <w:lang w:eastAsia="zh-CN"/>
        </w:rPr>
        <w:t>项目</w:t>
      </w:r>
      <w:r>
        <w:rPr>
          <w:rFonts w:hint="eastAsia" w:ascii="宋体" w:hAnsi="宋体" w:cs="宋体"/>
          <w:bCs/>
          <w:color w:val="auto"/>
          <w:kern w:val="0"/>
          <w:sz w:val="24"/>
          <w:highlight w:val="none"/>
        </w:rPr>
        <w:t>概况；</w:t>
      </w:r>
    </w:p>
    <w:p w14:paraId="3D80F30A">
      <w:pPr>
        <w:jc w:val="left"/>
        <w:rPr>
          <w:rFonts w:hint="eastAsia" w:ascii="宋体" w:hAnsi="宋体" w:cs="宋体"/>
          <w:bCs/>
          <w:color w:val="auto"/>
          <w:kern w:val="0"/>
          <w:sz w:val="24"/>
          <w:highlight w:val="none"/>
        </w:rPr>
      </w:pPr>
      <w:r>
        <w:rPr>
          <w:rFonts w:hint="eastAsia" w:ascii="宋体" w:hAnsi="宋体" w:cs="宋体"/>
          <w:bCs/>
          <w:color w:val="auto"/>
          <w:kern w:val="0"/>
          <w:sz w:val="24"/>
          <w:highlight w:val="none"/>
        </w:rPr>
        <w:t>二、</w:t>
      </w:r>
      <w:r>
        <w:rPr>
          <w:rFonts w:hint="eastAsia" w:ascii="宋体" w:hAnsi="宋体" w:cs="宋体"/>
          <w:bCs/>
          <w:color w:val="auto"/>
          <w:kern w:val="0"/>
          <w:sz w:val="24"/>
          <w:highlight w:val="none"/>
          <w:lang w:eastAsia="zh-CN"/>
        </w:rPr>
        <w:t>工作</w:t>
      </w:r>
      <w:r>
        <w:rPr>
          <w:rFonts w:hint="eastAsia" w:ascii="宋体" w:hAnsi="宋体" w:cs="宋体"/>
          <w:bCs/>
          <w:color w:val="auto"/>
          <w:kern w:val="0"/>
          <w:sz w:val="24"/>
          <w:highlight w:val="none"/>
        </w:rPr>
        <w:t>范围和内容；</w:t>
      </w:r>
    </w:p>
    <w:p w14:paraId="5E927DB1">
      <w:pPr>
        <w:jc w:val="left"/>
        <w:rPr>
          <w:rFonts w:hint="eastAsia" w:ascii="宋体" w:hAnsi="宋体" w:cs="宋体"/>
          <w:bCs/>
          <w:color w:val="auto"/>
          <w:kern w:val="0"/>
          <w:sz w:val="24"/>
          <w:highlight w:val="none"/>
        </w:rPr>
      </w:pPr>
      <w:r>
        <w:rPr>
          <w:rFonts w:hint="eastAsia" w:ascii="宋体" w:hAnsi="宋体" w:cs="宋体"/>
          <w:bCs/>
          <w:color w:val="auto"/>
          <w:kern w:val="0"/>
          <w:sz w:val="24"/>
          <w:highlight w:val="none"/>
        </w:rPr>
        <w:t>三、</w:t>
      </w:r>
      <w:r>
        <w:rPr>
          <w:rFonts w:hint="eastAsia" w:ascii="宋体" w:hAnsi="宋体" w:cs="宋体"/>
          <w:bCs/>
          <w:color w:val="auto"/>
          <w:kern w:val="0"/>
          <w:sz w:val="24"/>
          <w:highlight w:val="none"/>
          <w:lang w:eastAsia="zh-CN"/>
        </w:rPr>
        <w:t>工作</w:t>
      </w:r>
      <w:r>
        <w:rPr>
          <w:rFonts w:hint="eastAsia" w:ascii="宋体" w:hAnsi="宋体" w:cs="宋体"/>
          <w:bCs/>
          <w:color w:val="auto"/>
          <w:kern w:val="0"/>
          <w:sz w:val="24"/>
          <w:highlight w:val="none"/>
        </w:rPr>
        <w:t>依据、工作目标和进度计划；</w:t>
      </w:r>
    </w:p>
    <w:p w14:paraId="00657A04">
      <w:pPr>
        <w:jc w:val="left"/>
        <w:rPr>
          <w:rFonts w:hint="eastAsia" w:ascii="宋体" w:hAnsi="宋体" w:cs="宋体"/>
          <w:bCs/>
          <w:color w:val="auto"/>
          <w:kern w:val="0"/>
          <w:sz w:val="24"/>
          <w:highlight w:val="none"/>
        </w:rPr>
      </w:pPr>
      <w:r>
        <w:rPr>
          <w:rFonts w:hint="eastAsia" w:ascii="宋体" w:hAnsi="宋体" w:cs="宋体"/>
          <w:bCs/>
          <w:color w:val="auto"/>
          <w:kern w:val="0"/>
          <w:sz w:val="24"/>
          <w:highlight w:val="none"/>
        </w:rPr>
        <w:t>四、机构设置(框图)、岗位职责；</w:t>
      </w:r>
    </w:p>
    <w:p w14:paraId="31D4A2F6">
      <w:pPr>
        <w:jc w:val="left"/>
        <w:rPr>
          <w:rFonts w:hint="eastAsia" w:ascii="宋体" w:hAnsi="宋体" w:cs="宋体"/>
          <w:bCs/>
          <w:color w:val="auto"/>
          <w:kern w:val="0"/>
          <w:sz w:val="24"/>
          <w:highlight w:val="none"/>
        </w:rPr>
      </w:pPr>
      <w:r>
        <w:rPr>
          <w:rFonts w:hint="eastAsia" w:ascii="宋体" w:hAnsi="宋体" w:cs="宋体"/>
          <w:bCs/>
          <w:color w:val="auto"/>
          <w:kern w:val="0"/>
          <w:sz w:val="24"/>
          <w:highlight w:val="none"/>
        </w:rPr>
        <w:t>五、拟投入的人员；</w:t>
      </w:r>
    </w:p>
    <w:p w14:paraId="0F559585">
      <w:pPr>
        <w:jc w:val="left"/>
        <w:rPr>
          <w:rFonts w:hint="eastAsia" w:ascii="宋体" w:hAnsi="宋体" w:cs="宋体"/>
          <w:bCs/>
          <w:color w:val="auto"/>
          <w:kern w:val="0"/>
          <w:sz w:val="24"/>
          <w:highlight w:val="none"/>
        </w:rPr>
      </w:pPr>
      <w:r>
        <w:rPr>
          <w:rFonts w:hint="eastAsia" w:ascii="宋体" w:hAnsi="宋体" w:cs="宋体"/>
          <w:bCs/>
          <w:color w:val="auto"/>
          <w:kern w:val="0"/>
          <w:sz w:val="24"/>
          <w:highlight w:val="none"/>
        </w:rPr>
        <w:t>六、工作重点、难点分析；</w:t>
      </w:r>
    </w:p>
    <w:p w14:paraId="3F43CB78">
      <w:pPr>
        <w:jc w:val="left"/>
        <w:rPr>
          <w:rFonts w:hint="eastAsia" w:ascii="宋体" w:hAnsi="宋体" w:cs="宋体"/>
          <w:bCs/>
          <w:color w:val="auto"/>
          <w:kern w:val="0"/>
          <w:sz w:val="24"/>
          <w:highlight w:val="none"/>
        </w:rPr>
      </w:pPr>
      <w:r>
        <w:rPr>
          <w:rFonts w:hint="eastAsia" w:ascii="宋体" w:hAnsi="宋体" w:cs="宋体"/>
          <w:bCs/>
          <w:color w:val="auto"/>
          <w:kern w:val="0"/>
          <w:sz w:val="24"/>
          <w:highlight w:val="none"/>
        </w:rPr>
        <w:t>七、</w:t>
      </w:r>
      <w:r>
        <w:rPr>
          <w:rFonts w:hint="eastAsia" w:ascii="宋体" w:hAnsi="宋体" w:cs="宋体"/>
          <w:bCs/>
          <w:color w:val="auto"/>
          <w:kern w:val="0"/>
          <w:sz w:val="24"/>
          <w:highlight w:val="none"/>
          <w:lang w:eastAsia="zh-CN"/>
        </w:rPr>
        <w:t>调查与评价</w:t>
      </w:r>
      <w:r>
        <w:rPr>
          <w:rFonts w:hint="eastAsia" w:ascii="宋体" w:hAnsi="宋体" w:cs="宋体"/>
          <w:bCs/>
          <w:color w:val="auto"/>
          <w:kern w:val="0"/>
          <w:sz w:val="24"/>
          <w:highlight w:val="none"/>
        </w:rPr>
        <w:t>方案及说明；</w:t>
      </w:r>
    </w:p>
    <w:p w14:paraId="63839BD2">
      <w:pPr>
        <w:jc w:val="left"/>
        <w:rPr>
          <w:rFonts w:hint="eastAsia" w:ascii="宋体" w:hAnsi="宋体" w:cs="宋体"/>
          <w:bCs/>
          <w:color w:val="auto"/>
          <w:kern w:val="0"/>
          <w:sz w:val="24"/>
          <w:highlight w:val="none"/>
        </w:rPr>
      </w:pPr>
      <w:r>
        <w:rPr>
          <w:rFonts w:hint="eastAsia" w:ascii="宋体" w:hAnsi="宋体" w:cs="宋体"/>
          <w:bCs/>
          <w:color w:val="auto"/>
          <w:kern w:val="0"/>
          <w:sz w:val="24"/>
          <w:highlight w:val="none"/>
        </w:rPr>
        <w:t>八、工作质量、进度、保密等</w:t>
      </w:r>
      <w:r>
        <w:rPr>
          <w:rFonts w:hint="eastAsia" w:ascii="宋体" w:hAnsi="宋体" w:cs="宋体"/>
          <w:bCs/>
          <w:color w:val="auto"/>
          <w:kern w:val="0"/>
          <w:sz w:val="24"/>
          <w:highlight w:val="none"/>
          <w:lang w:eastAsia="zh-CN"/>
        </w:rPr>
        <w:t>保障</w:t>
      </w:r>
      <w:r>
        <w:rPr>
          <w:rFonts w:hint="eastAsia" w:ascii="宋体" w:hAnsi="宋体" w:cs="宋体"/>
          <w:bCs/>
          <w:color w:val="auto"/>
          <w:kern w:val="0"/>
          <w:sz w:val="24"/>
          <w:highlight w:val="none"/>
        </w:rPr>
        <w:t>措施；</w:t>
      </w:r>
    </w:p>
    <w:p w14:paraId="6E18D6DE">
      <w:pPr>
        <w:jc w:val="left"/>
        <w:rPr>
          <w:rFonts w:hint="eastAsia" w:ascii="宋体" w:hAnsi="宋体" w:cs="宋体"/>
          <w:bCs/>
          <w:color w:val="auto"/>
          <w:kern w:val="0"/>
          <w:sz w:val="24"/>
          <w:highlight w:val="none"/>
        </w:rPr>
      </w:pPr>
      <w:r>
        <w:rPr>
          <w:rFonts w:hint="eastAsia" w:ascii="宋体" w:hAnsi="宋体" w:cs="宋体"/>
          <w:bCs/>
          <w:color w:val="auto"/>
          <w:kern w:val="0"/>
          <w:sz w:val="24"/>
          <w:highlight w:val="none"/>
        </w:rPr>
        <w:t>九、安全保证措施；</w:t>
      </w:r>
    </w:p>
    <w:p w14:paraId="6F99F0F5">
      <w:pPr>
        <w:jc w:val="left"/>
        <w:rPr>
          <w:rFonts w:hint="eastAsia"/>
          <w:color w:val="auto"/>
          <w:highlight w:val="none"/>
        </w:rPr>
      </w:pPr>
      <w:r>
        <w:rPr>
          <w:rFonts w:hint="eastAsia" w:ascii="宋体" w:hAnsi="宋体" w:cs="宋体"/>
          <w:bCs/>
          <w:color w:val="auto"/>
          <w:kern w:val="0"/>
          <w:sz w:val="24"/>
          <w:highlight w:val="none"/>
        </w:rPr>
        <w:t>十、</w:t>
      </w:r>
      <w:r>
        <w:rPr>
          <w:rFonts w:hint="eastAsia" w:ascii="宋体" w:hAnsi="宋体" w:cs="宋体"/>
          <w:bCs/>
          <w:color w:val="auto"/>
          <w:kern w:val="0"/>
          <w:sz w:val="24"/>
          <w:highlight w:val="none"/>
          <w:lang w:eastAsia="zh-CN"/>
        </w:rPr>
        <w:t>其他</w:t>
      </w:r>
      <w:r>
        <w:rPr>
          <w:rFonts w:hint="eastAsia" w:ascii="宋体" w:hAnsi="宋体" w:cs="宋体"/>
          <w:bCs/>
          <w:color w:val="auto"/>
          <w:kern w:val="0"/>
          <w:sz w:val="24"/>
          <w:highlight w:val="none"/>
        </w:rPr>
        <w:t>。</w:t>
      </w:r>
    </w:p>
    <w:p w14:paraId="43A2CAFF">
      <w:pPr>
        <w:jc w:val="left"/>
        <w:rPr>
          <w:color w:val="auto"/>
          <w:highlight w:val="none"/>
        </w:rPr>
      </w:pPr>
      <w:r>
        <w:rPr>
          <w:color w:val="auto"/>
          <w:highlight w:val="none"/>
        </w:rPr>
        <w:br w:type="page"/>
      </w:r>
    </w:p>
    <w:p w14:paraId="59C2384B">
      <w:pPr>
        <w:pStyle w:val="10"/>
        <w:rPr>
          <w:color w:val="auto"/>
          <w:highlight w:val="none"/>
        </w:rPr>
      </w:pPr>
    </w:p>
    <w:p w14:paraId="35841E38">
      <w:pPr>
        <w:snapToGrid w:val="0"/>
        <w:spacing w:line="360" w:lineRule="auto"/>
        <w:jc w:val="center"/>
        <w:outlineLvl w:val="1"/>
        <w:rPr>
          <w:rFonts w:ascii="黑体" w:hAnsi="黑体" w:eastAsia="黑体" w:cs="黑体"/>
          <w:color w:val="auto"/>
          <w:sz w:val="36"/>
          <w:szCs w:val="36"/>
          <w:highlight w:val="none"/>
        </w:rPr>
      </w:pPr>
      <w:bookmarkStart w:id="265" w:name="_Toc17357"/>
      <w:bookmarkStart w:id="266" w:name="_Toc17660"/>
      <w:bookmarkStart w:id="267" w:name="_Toc11398"/>
      <w:bookmarkStart w:id="268" w:name="_Toc4916"/>
      <w:bookmarkStart w:id="269" w:name="_Toc1919"/>
      <w:bookmarkStart w:id="270" w:name="_Toc18158"/>
      <w:bookmarkStart w:id="271" w:name="_Toc6982"/>
      <w:bookmarkStart w:id="272" w:name="_Toc22873"/>
      <w:bookmarkStart w:id="273" w:name="_Toc18260"/>
      <w:bookmarkStart w:id="274" w:name="_Toc21629"/>
      <w:bookmarkStart w:id="275" w:name="_Toc25988"/>
      <w:bookmarkStart w:id="276" w:name="_Toc24713"/>
      <w:bookmarkStart w:id="277" w:name="_Toc7160"/>
      <w:bookmarkStart w:id="278" w:name="_Toc9181"/>
      <w:bookmarkStart w:id="279" w:name="_Toc16134"/>
      <w:r>
        <w:rPr>
          <w:rFonts w:hint="eastAsia" w:ascii="黑体" w:hAnsi="黑体" w:eastAsia="黑体" w:cs="黑体"/>
          <w:color w:val="auto"/>
          <w:sz w:val="36"/>
          <w:szCs w:val="36"/>
          <w:highlight w:val="none"/>
          <w:lang w:eastAsia="zh-CN"/>
        </w:rPr>
        <w:t>七</w:t>
      </w:r>
      <w:r>
        <w:rPr>
          <w:rFonts w:hint="eastAsia" w:ascii="黑体" w:hAnsi="黑体" w:eastAsia="黑体" w:cs="黑体"/>
          <w:color w:val="auto"/>
          <w:sz w:val="36"/>
          <w:szCs w:val="36"/>
          <w:highlight w:val="none"/>
        </w:rPr>
        <w:t>、其他资料</w:t>
      </w:r>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p>
    <w:p w14:paraId="67DE7135">
      <w:pPr>
        <w:pStyle w:val="10"/>
        <w:rPr>
          <w:color w:val="auto"/>
          <w:highlight w:val="none"/>
        </w:rPr>
      </w:pPr>
      <w:r>
        <w:rPr>
          <w:rFonts w:hint="eastAsia"/>
          <w:color w:val="auto"/>
          <w:highlight w:val="none"/>
        </w:rPr>
        <w:t>供应商认为需提供的其他资料。</w:t>
      </w:r>
    </w:p>
    <w:p w14:paraId="00C078C4">
      <w:pPr>
        <w:pStyle w:val="10"/>
        <w:rPr>
          <w:color w:val="auto"/>
          <w:highlight w:val="none"/>
        </w:rPr>
      </w:pPr>
    </w:p>
    <w:p w14:paraId="0425D9A0">
      <w:pPr>
        <w:autoSpaceDE w:val="0"/>
        <w:autoSpaceDN w:val="0"/>
        <w:spacing w:line="360" w:lineRule="auto"/>
        <w:ind w:firstLine="4080" w:firstLineChars="1700"/>
        <w:rPr>
          <w:rFonts w:ascii="宋体" w:hAnsi="宋体" w:cs="宋体"/>
          <w:color w:val="auto"/>
          <w:kern w:val="0"/>
          <w:sz w:val="24"/>
          <w:highlight w:val="none"/>
          <w:lang w:val="zh-CN"/>
        </w:rPr>
        <w:sectPr>
          <w:pgSz w:w="11910" w:h="16840"/>
          <w:pgMar w:top="1340" w:right="1446" w:bottom="1185" w:left="1508" w:header="720" w:footer="720" w:gutter="0"/>
          <w:cols w:space="720" w:num="1"/>
        </w:sectPr>
      </w:pPr>
    </w:p>
    <w:p w14:paraId="47E04EE1">
      <w:pPr>
        <w:pStyle w:val="2"/>
        <w:jc w:val="center"/>
        <w:rPr>
          <w:color w:val="auto"/>
          <w:highlight w:val="none"/>
        </w:rPr>
      </w:pPr>
      <w:bookmarkStart w:id="280" w:name="_Toc20250"/>
      <w:bookmarkStart w:id="281" w:name="_Toc12521"/>
      <w:bookmarkStart w:id="282" w:name="_Toc7406"/>
      <w:bookmarkStart w:id="283" w:name="_Toc26207"/>
      <w:bookmarkStart w:id="284" w:name="_Toc2825"/>
      <w:bookmarkStart w:id="285" w:name="_Toc10311"/>
      <w:bookmarkStart w:id="286" w:name="_Toc13982"/>
      <w:bookmarkStart w:id="287" w:name="_Toc3404"/>
      <w:bookmarkStart w:id="288" w:name="_Toc340"/>
      <w:bookmarkStart w:id="289" w:name="_Toc32704"/>
      <w:bookmarkStart w:id="290" w:name="_Toc24538"/>
      <w:bookmarkStart w:id="291" w:name="_Toc19259"/>
      <w:bookmarkStart w:id="292" w:name="_Toc20211"/>
      <w:bookmarkStart w:id="293" w:name="_Toc10231"/>
      <w:bookmarkStart w:id="294" w:name="_Toc26657"/>
      <w:bookmarkStart w:id="295" w:name="_Toc28124"/>
      <w:bookmarkStart w:id="296" w:name="_Toc17637"/>
      <w:bookmarkStart w:id="297" w:name="_Toc682"/>
      <w:bookmarkStart w:id="298" w:name="_Toc10947"/>
      <w:bookmarkStart w:id="299" w:name="_Toc5554"/>
      <w:r>
        <w:rPr>
          <w:rFonts w:hint="eastAsia"/>
          <w:color w:val="auto"/>
          <w:highlight w:val="none"/>
        </w:rPr>
        <w:t>第六章 合同条款</w:t>
      </w:r>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p>
    <w:p w14:paraId="17528656">
      <w:pPr>
        <w:pStyle w:val="45"/>
        <w:spacing w:line="360" w:lineRule="auto"/>
        <w:jc w:val="center"/>
        <w:rPr>
          <w:rFonts w:ascii="宋体" w:hAnsi="宋体" w:cs="宋体"/>
          <w:b/>
          <w:bCs/>
          <w:color w:val="auto"/>
          <w:sz w:val="44"/>
          <w:szCs w:val="28"/>
          <w:highlight w:val="none"/>
        </w:rPr>
      </w:pPr>
      <w:bookmarkStart w:id="300" w:name="_Toc21039"/>
      <w:bookmarkStart w:id="301" w:name="_Toc25321"/>
      <w:bookmarkStart w:id="302" w:name="_Toc4827"/>
      <w:bookmarkStart w:id="303" w:name="_Toc6445"/>
      <w:bookmarkStart w:id="304" w:name="_Toc22523"/>
      <w:bookmarkStart w:id="305" w:name="_Toc26106"/>
      <w:r>
        <w:rPr>
          <w:rFonts w:hint="eastAsia" w:ascii="宋体" w:hAnsi="宋体" w:cs="宋体"/>
          <w:bCs/>
          <w:color w:val="auto"/>
          <w:sz w:val="44"/>
          <w:szCs w:val="40"/>
          <w:highlight w:val="none"/>
          <w:lang w:eastAsia="zh-CN"/>
        </w:rPr>
        <w:t>红水河（桥巩至宾港作业区）航道提升工程水生生态环境现状调查与评价服务</w:t>
      </w:r>
      <w:r>
        <w:rPr>
          <w:rFonts w:hint="eastAsia" w:ascii="宋体" w:hAnsi="宋体" w:cs="宋体"/>
          <w:bCs/>
          <w:color w:val="auto"/>
          <w:sz w:val="44"/>
          <w:szCs w:val="40"/>
          <w:highlight w:val="none"/>
        </w:rPr>
        <w:t>合同</w:t>
      </w:r>
    </w:p>
    <w:p w14:paraId="09218CD7">
      <w:pPr>
        <w:pStyle w:val="45"/>
        <w:spacing w:line="360" w:lineRule="auto"/>
        <w:jc w:val="center"/>
        <w:rPr>
          <w:rFonts w:ascii="宋体" w:hAnsi="宋体" w:cs="宋体"/>
          <w:color w:val="auto"/>
          <w:sz w:val="44"/>
          <w:szCs w:val="28"/>
          <w:highlight w:val="none"/>
        </w:rPr>
      </w:pPr>
    </w:p>
    <w:p w14:paraId="421574BC">
      <w:pPr>
        <w:pStyle w:val="45"/>
        <w:spacing w:line="360" w:lineRule="auto"/>
        <w:jc w:val="center"/>
        <w:rPr>
          <w:rFonts w:ascii="宋体" w:hAnsi="宋体" w:cs="宋体"/>
          <w:color w:val="auto"/>
          <w:sz w:val="44"/>
          <w:szCs w:val="28"/>
          <w:highlight w:val="none"/>
        </w:rPr>
      </w:pPr>
    </w:p>
    <w:p w14:paraId="25358FEE">
      <w:pPr>
        <w:pStyle w:val="45"/>
        <w:jc w:val="center"/>
        <w:rPr>
          <w:rFonts w:eastAsia="楷体_GB2312"/>
          <w:color w:val="auto"/>
          <w:sz w:val="36"/>
          <w:highlight w:val="none"/>
        </w:rPr>
      </w:pPr>
    </w:p>
    <w:p w14:paraId="54962498">
      <w:pPr>
        <w:pStyle w:val="45"/>
        <w:spacing w:line="360" w:lineRule="auto"/>
        <w:ind w:firstLine="640" w:firstLineChars="200"/>
        <w:rPr>
          <w:rFonts w:ascii="宋体" w:hAnsi="宋体"/>
          <w:bCs/>
          <w:color w:val="auto"/>
          <w:sz w:val="32"/>
          <w:highlight w:val="none"/>
        </w:rPr>
      </w:pPr>
      <w:r>
        <w:rPr>
          <w:rFonts w:hint="eastAsia" w:ascii="宋体" w:hAnsi="宋体"/>
          <w:bCs/>
          <w:color w:val="auto"/>
          <w:sz w:val="32"/>
          <w:highlight w:val="none"/>
        </w:rPr>
        <w:t>甲方：</w:t>
      </w:r>
      <w:r>
        <w:rPr>
          <w:rFonts w:hint="eastAsia" w:ascii="宋体" w:hAnsi="宋体"/>
          <w:bCs/>
          <w:color w:val="auto"/>
          <w:sz w:val="32"/>
          <w:highlight w:val="none"/>
          <w:u w:val="single"/>
          <w:lang w:eastAsia="zh-CN"/>
        </w:rPr>
        <w:t>广西壮族自治区水运发展中心</w:t>
      </w:r>
      <w:r>
        <w:rPr>
          <w:rFonts w:hint="eastAsia" w:ascii="宋体" w:hAnsi="宋体"/>
          <w:bCs/>
          <w:color w:val="auto"/>
          <w:sz w:val="32"/>
          <w:highlight w:val="none"/>
          <w:u w:val="single"/>
        </w:rPr>
        <w:t xml:space="preserve"> </w:t>
      </w:r>
      <w:r>
        <w:rPr>
          <w:rFonts w:ascii="宋体" w:hAnsi="宋体"/>
          <w:bCs/>
          <w:color w:val="auto"/>
          <w:sz w:val="32"/>
          <w:highlight w:val="none"/>
          <w:u w:val="single"/>
        </w:rPr>
        <w:t xml:space="preserve"> </w:t>
      </w:r>
    </w:p>
    <w:p w14:paraId="45321449">
      <w:pPr>
        <w:pStyle w:val="45"/>
        <w:spacing w:line="360" w:lineRule="auto"/>
        <w:ind w:left="2558" w:leftChars="304" w:hanging="1920" w:hangingChars="600"/>
        <w:rPr>
          <w:rFonts w:ascii="宋体" w:hAnsi="宋体"/>
          <w:bCs/>
          <w:color w:val="auto"/>
          <w:sz w:val="36"/>
          <w:highlight w:val="none"/>
        </w:rPr>
      </w:pPr>
      <w:r>
        <w:rPr>
          <w:rFonts w:hint="eastAsia" w:ascii="宋体" w:hAnsi="宋体"/>
          <w:bCs/>
          <w:color w:val="auto"/>
          <w:sz w:val="32"/>
          <w:highlight w:val="none"/>
        </w:rPr>
        <w:t>乙方：</w:t>
      </w:r>
      <w:r>
        <w:rPr>
          <w:rFonts w:ascii="宋体" w:hAnsi="宋体"/>
          <w:bCs/>
          <w:color w:val="auto"/>
          <w:sz w:val="32"/>
          <w:highlight w:val="none"/>
          <w:u w:val="single"/>
        </w:rPr>
        <w:t xml:space="preserve">                      </w:t>
      </w:r>
      <w:r>
        <w:rPr>
          <w:rFonts w:hint="eastAsia" w:ascii="宋体" w:hAnsi="宋体"/>
          <w:bCs/>
          <w:color w:val="auto"/>
          <w:sz w:val="32"/>
          <w:highlight w:val="none"/>
          <w:u w:val="single"/>
        </w:rPr>
        <w:t xml:space="preserve"> </w:t>
      </w:r>
      <w:r>
        <w:rPr>
          <w:rFonts w:ascii="宋体" w:hAnsi="宋体"/>
          <w:bCs/>
          <w:color w:val="auto"/>
          <w:sz w:val="32"/>
          <w:highlight w:val="none"/>
          <w:u w:val="single"/>
        </w:rPr>
        <w:t xml:space="preserve"> </w:t>
      </w:r>
      <w:r>
        <w:rPr>
          <w:rFonts w:ascii="宋体" w:hAnsi="宋体"/>
          <w:bCs/>
          <w:color w:val="auto"/>
          <w:sz w:val="36"/>
          <w:highlight w:val="none"/>
        </w:rPr>
        <w:t xml:space="preserve">     </w:t>
      </w:r>
    </w:p>
    <w:p w14:paraId="50ED1F5F">
      <w:pPr>
        <w:pStyle w:val="45"/>
        <w:spacing w:line="360" w:lineRule="auto"/>
        <w:ind w:firstLine="640" w:firstLineChars="200"/>
        <w:rPr>
          <w:rFonts w:ascii="宋体" w:hAnsi="宋体"/>
          <w:bCs/>
          <w:color w:val="auto"/>
          <w:sz w:val="32"/>
          <w:highlight w:val="none"/>
        </w:rPr>
      </w:pPr>
      <w:r>
        <w:rPr>
          <w:rFonts w:hint="eastAsia" w:ascii="宋体" w:hAnsi="宋体"/>
          <w:bCs/>
          <w:color w:val="auto"/>
          <w:sz w:val="32"/>
          <w:highlight w:val="none"/>
        </w:rPr>
        <w:t>签订时间：</w:t>
      </w:r>
      <w:r>
        <w:rPr>
          <w:rFonts w:ascii="宋体" w:hAnsi="宋体"/>
          <w:bCs/>
          <w:color w:val="auto"/>
          <w:sz w:val="32"/>
          <w:highlight w:val="none"/>
          <w:u w:val="single"/>
        </w:rPr>
        <w:t xml:space="preserve">      年    月    日</w:t>
      </w:r>
      <w:r>
        <w:rPr>
          <w:rFonts w:ascii="宋体" w:hAnsi="宋体"/>
          <w:bCs/>
          <w:color w:val="auto"/>
          <w:sz w:val="32"/>
          <w:highlight w:val="none"/>
        </w:rPr>
        <w:t xml:space="preserve">                </w:t>
      </w:r>
    </w:p>
    <w:p w14:paraId="2B2F8ECE">
      <w:pPr>
        <w:pStyle w:val="45"/>
        <w:spacing w:line="360" w:lineRule="auto"/>
        <w:ind w:firstLine="640" w:firstLineChars="200"/>
        <w:rPr>
          <w:rFonts w:ascii="宋体" w:hAnsi="宋体"/>
          <w:b/>
          <w:color w:val="auto"/>
          <w:sz w:val="32"/>
          <w:highlight w:val="none"/>
        </w:rPr>
      </w:pPr>
      <w:r>
        <w:rPr>
          <w:rFonts w:hint="eastAsia" w:ascii="宋体" w:hAnsi="宋体"/>
          <w:bCs/>
          <w:color w:val="auto"/>
          <w:sz w:val="32"/>
          <w:highlight w:val="none"/>
        </w:rPr>
        <w:t>签订地点：</w:t>
      </w:r>
      <w:r>
        <w:rPr>
          <w:rFonts w:ascii="宋体" w:hAnsi="宋体"/>
          <w:bCs/>
          <w:color w:val="auto"/>
          <w:sz w:val="32"/>
          <w:highlight w:val="none"/>
          <w:u w:val="single"/>
        </w:rPr>
        <w:t xml:space="preserve">      </w:t>
      </w:r>
      <w:r>
        <w:rPr>
          <w:rFonts w:hint="eastAsia" w:ascii="宋体" w:hAnsi="宋体"/>
          <w:bCs/>
          <w:color w:val="auto"/>
          <w:sz w:val="32"/>
          <w:highlight w:val="none"/>
          <w:u w:val="single"/>
        </w:rPr>
        <w:t xml:space="preserve">南宁市 </w:t>
      </w:r>
      <w:r>
        <w:rPr>
          <w:rFonts w:ascii="宋体" w:hAnsi="宋体"/>
          <w:bCs/>
          <w:color w:val="auto"/>
          <w:sz w:val="32"/>
          <w:highlight w:val="none"/>
          <w:u w:val="single"/>
        </w:rPr>
        <w:t xml:space="preserve">   </w:t>
      </w:r>
      <w:r>
        <w:rPr>
          <w:rFonts w:ascii="宋体" w:hAnsi="宋体"/>
          <w:bCs/>
          <w:color w:val="auto"/>
          <w:sz w:val="32"/>
          <w:highlight w:val="none"/>
        </w:rPr>
        <w:t xml:space="preserve">     </w:t>
      </w:r>
      <w:r>
        <w:rPr>
          <w:rFonts w:ascii="宋体" w:hAnsi="宋体"/>
          <w:b/>
          <w:color w:val="auto"/>
          <w:sz w:val="32"/>
          <w:highlight w:val="none"/>
        </w:rPr>
        <w:t xml:space="preserve">              </w:t>
      </w:r>
    </w:p>
    <w:p w14:paraId="4531D64F">
      <w:pPr>
        <w:pStyle w:val="45"/>
        <w:rPr>
          <w:rFonts w:ascii="宋体" w:hAnsi="宋体"/>
          <w:color w:val="auto"/>
          <w:sz w:val="36"/>
          <w:highlight w:val="none"/>
        </w:rPr>
      </w:pPr>
    </w:p>
    <w:p w14:paraId="37330C8C">
      <w:pPr>
        <w:pStyle w:val="45"/>
        <w:rPr>
          <w:rFonts w:ascii="宋体" w:hAnsi="宋体"/>
          <w:color w:val="auto"/>
          <w:sz w:val="36"/>
          <w:highlight w:val="none"/>
        </w:rPr>
      </w:pPr>
    </w:p>
    <w:p w14:paraId="1EEA579C">
      <w:pPr>
        <w:pStyle w:val="45"/>
        <w:rPr>
          <w:rFonts w:ascii="宋体" w:hAnsi="宋体"/>
          <w:color w:val="auto"/>
          <w:sz w:val="36"/>
          <w:highlight w:val="none"/>
        </w:rPr>
      </w:pPr>
    </w:p>
    <w:p w14:paraId="46E9509E">
      <w:pPr>
        <w:pStyle w:val="10"/>
        <w:rPr>
          <w:rFonts w:ascii="宋体" w:hAnsi="宋体"/>
          <w:color w:val="auto"/>
          <w:sz w:val="36"/>
          <w:highlight w:val="none"/>
        </w:rPr>
      </w:pPr>
    </w:p>
    <w:p w14:paraId="4813EB47">
      <w:pPr>
        <w:pStyle w:val="10"/>
        <w:rPr>
          <w:rFonts w:ascii="宋体" w:hAnsi="宋体"/>
          <w:color w:val="auto"/>
          <w:sz w:val="36"/>
          <w:highlight w:val="none"/>
        </w:rPr>
      </w:pPr>
    </w:p>
    <w:p w14:paraId="6E0FA860">
      <w:pPr>
        <w:pStyle w:val="10"/>
        <w:rPr>
          <w:rFonts w:ascii="宋体" w:hAnsi="宋体"/>
          <w:color w:val="auto"/>
          <w:sz w:val="36"/>
          <w:highlight w:val="none"/>
        </w:rPr>
      </w:pPr>
    </w:p>
    <w:p w14:paraId="59BC1C78">
      <w:pPr>
        <w:pStyle w:val="10"/>
        <w:rPr>
          <w:rFonts w:ascii="宋体" w:hAnsi="宋体"/>
          <w:color w:val="auto"/>
          <w:sz w:val="36"/>
          <w:highlight w:val="none"/>
        </w:rPr>
      </w:pPr>
    </w:p>
    <w:p w14:paraId="422F662F">
      <w:pPr>
        <w:pStyle w:val="45"/>
        <w:jc w:val="center"/>
        <w:rPr>
          <w:rFonts w:eastAsia="黑体"/>
          <w:color w:val="auto"/>
          <w:sz w:val="44"/>
          <w:highlight w:val="none"/>
        </w:rPr>
      </w:pPr>
    </w:p>
    <w:p w14:paraId="672A5234">
      <w:pPr>
        <w:spacing w:before="156" w:beforeLines="50" w:after="156" w:afterLines="50" w:line="360" w:lineRule="auto"/>
        <w:jc w:val="center"/>
        <w:outlineLvl w:val="1"/>
        <w:rPr>
          <w:rFonts w:hint="eastAsia" w:ascii="宋体" w:hAnsi="宋体" w:cs="宋体"/>
          <w:b/>
          <w:szCs w:val="21"/>
        </w:rPr>
      </w:pPr>
      <w:r>
        <w:rPr>
          <w:rFonts w:hint="eastAsia" w:eastAsia="黑体"/>
          <w:color w:val="auto"/>
          <w:sz w:val="44"/>
          <w:highlight w:val="none"/>
        </w:rPr>
        <w:br w:type="page"/>
      </w:r>
      <w:bookmarkStart w:id="306" w:name="_Toc26930"/>
      <w:bookmarkStart w:id="307" w:name="_Toc3027"/>
      <w:bookmarkStart w:id="308" w:name="_Toc18620"/>
      <w:bookmarkStart w:id="309" w:name="_Toc26576"/>
      <w:bookmarkStart w:id="310" w:name="_Toc29652"/>
      <w:bookmarkStart w:id="311" w:name="_Toc20596"/>
      <w:bookmarkStart w:id="312" w:name="_Toc12851"/>
      <w:bookmarkStart w:id="313" w:name="_Toc3598"/>
      <w:bookmarkStart w:id="314" w:name="_Toc9537"/>
      <w:bookmarkStart w:id="315" w:name="_Toc21923"/>
      <w:bookmarkStart w:id="316" w:name="_Toc29798"/>
      <w:bookmarkStart w:id="317" w:name="_Toc18307"/>
      <w:bookmarkStart w:id="318" w:name="_Toc4799"/>
      <w:bookmarkStart w:id="319" w:name="_Toc5621"/>
      <w:bookmarkStart w:id="320" w:name="_Toc1890"/>
      <w:r>
        <w:rPr>
          <w:rFonts w:hint="eastAsia" w:ascii="黑体" w:hAnsi="宋体" w:eastAsia="黑体"/>
          <w:sz w:val="32"/>
          <w:szCs w:val="32"/>
        </w:rPr>
        <w:t>合同协议书</w:t>
      </w:r>
      <w:bookmarkEnd w:id="306"/>
      <w:bookmarkEnd w:id="307"/>
      <w:bookmarkEnd w:id="308"/>
      <w:bookmarkEnd w:id="309"/>
      <w:bookmarkEnd w:id="310"/>
      <w:bookmarkEnd w:id="311"/>
      <w:bookmarkEnd w:id="312"/>
      <w:bookmarkEnd w:id="313"/>
      <w:bookmarkEnd w:id="314"/>
      <w:bookmarkEnd w:id="315"/>
      <w:bookmarkEnd w:id="316"/>
      <w:bookmarkEnd w:id="317"/>
    </w:p>
    <w:p w14:paraId="4D00D2E4">
      <w:pPr>
        <w:pStyle w:val="45"/>
        <w:spacing w:line="360" w:lineRule="auto"/>
        <w:ind w:firstLine="482" w:firstLineChars="200"/>
        <w:rPr>
          <w:rFonts w:hint="eastAsia" w:ascii="宋体" w:hAnsi="宋体" w:cs="宋体"/>
          <w:color w:val="000000"/>
          <w:sz w:val="24"/>
          <w:szCs w:val="24"/>
        </w:rPr>
      </w:pPr>
      <w:r>
        <w:rPr>
          <w:rFonts w:hint="eastAsia" w:ascii="宋体" w:hAnsi="宋体" w:cs="宋体"/>
          <w:b/>
          <w:color w:val="000000"/>
          <w:sz w:val="24"/>
          <w:szCs w:val="24"/>
        </w:rPr>
        <w:t>甲方</w:t>
      </w:r>
      <w:r>
        <w:rPr>
          <w:rFonts w:hint="eastAsia" w:ascii="宋体" w:hAnsi="宋体" w:cs="宋体"/>
          <w:color w:val="000000"/>
          <w:sz w:val="24"/>
          <w:szCs w:val="24"/>
        </w:rPr>
        <w:t>：广西壮族自治区水运发展中心</w:t>
      </w:r>
    </w:p>
    <w:p w14:paraId="23ABEB5A">
      <w:pPr>
        <w:pStyle w:val="45"/>
        <w:spacing w:line="360" w:lineRule="auto"/>
        <w:ind w:left="963" w:leftChars="229" w:hanging="482" w:hangingChars="200"/>
        <w:rPr>
          <w:rFonts w:hint="eastAsia" w:ascii="宋体" w:hAnsi="宋体" w:eastAsia="宋体" w:cs="宋体"/>
          <w:color w:val="000000"/>
          <w:sz w:val="24"/>
          <w:szCs w:val="24"/>
          <w:lang w:eastAsia="zh-CN"/>
        </w:rPr>
      </w:pPr>
      <w:r>
        <w:rPr>
          <w:rFonts w:hint="eastAsia" w:ascii="宋体" w:hAnsi="宋体" w:cs="宋体"/>
          <w:b/>
          <w:color w:val="000000"/>
          <w:sz w:val="24"/>
          <w:szCs w:val="24"/>
        </w:rPr>
        <w:t>乙方</w:t>
      </w:r>
      <w:r>
        <w:rPr>
          <w:rFonts w:hint="eastAsia" w:ascii="宋体" w:hAnsi="宋体" w:cs="宋体"/>
          <w:color w:val="000000"/>
          <w:sz w:val="24"/>
          <w:szCs w:val="24"/>
        </w:rPr>
        <w:t>：</w:t>
      </w:r>
      <w:r>
        <w:rPr>
          <w:rFonts w:hint="eastAsia" w:ascii="宋体" w:hAnsi="宋体" w:cs="宋体"/>
          <w:color w:val="000000"/>
          <w:sz w:val="24"/>
          <w:szCs w:val="24"/>
          <w:lang w:val="en-US" w:eastAsia="zh-CN"/>
        </w:rPr>
        <w:t xml:space="preserve"> </w:t>
      </w:r>
    </w:p>
    <w:p w14:paraId="6162817C">
      <w:pPr>
        <w:pStyle w:val="45"/>
        <w:spacing w:line="360" w:lineRule="auto"/>
        <w:ind w:firstLine="480" w:firstLineChars="200"/>
        <w:rPr>
          <w:rFonts w:hint="eastAsia" w:ascii="宋体" w:hAnsi="宋体" w:cs="宋体"/>
          <w:color w:val="000000"/>
          <w:sz w:val="24"/>
          <w:szCs w:val="24"/>
        </w:rPr>
      </w:pPr>
    </w:p>
    <w:p w14:paraId="594F8DD6">
      <w:pPr>
        <w:pStyle w:val="45"/>
        <w:spacing w:line="360" w:lineRule="auto"/>
        <w:ind w:firstLine="480" w:firstLineChars="200"/>
        <w:jc w:val="left"/>
        <w:rPr>
          <w:rFonts w:hint="eastAsia" w:ascii="宋体" w:hAnsi="宋体" w:cs="宋体"/>
          <w:sz w:val="24"/>
          <w:szCs w:val="24"/>
          <w:u w:val="single"/>
        </w:rPr>
      </w:pPr>
      <w:r>
        <w:rPr>
          <w:rFonts w:hint="eastAsia" w:ascii="宋体" w:hAnsi="宋体" w:cs="宋体"/>
          <w:sz w:val="24"/>
          <w:szCs w:val="24"/>
        </w:rPr>
        <w:t>甲方通过公开采购的方式委托乙方承担</w:t>
      </w:r>
      <w:r>
        <w:rPr>
          <w:rFonts w:hint="eastAsia" w:ascii="宋体" w:hAnsi="宋体" w:cs="宋体"/>
          <w:bCs/>
          <w:sz w:val="24"/>
          <w:szCs w:val="24"/>
          <w:u w:val="single"/>
          <w:lang w:eastAsia="zh-CN"/>
        </w:rPr>
        <w:t>红水河（桥巩至宾港作业区）航道提升工程水生生态环境现状调查与评价服务</w:t>
      </w:r>
      <w:r>
        <w:rPr>
          <w:rFonts w:hint="eastAsia" w:ascii="宋体" w:hAnsi="宋体" w:cs="宋体"/>
          <w:bCs/>
          <w:sz w:val="24"/>
          <w:szCs w:val="24"/>
          <w:u w:val="single"/>
        </w:rPr>
        <w:t xml:space="preserve"> </w:t>
      </w:r>
      <w:r>
        <w:rPr>
          <w:rFonts w:hint="eastAsia" w:ascii="宋体" w:hAnsi="宋体" w:cs="宋体"/>
          <w:bCs/>
          <w:sz w:val="24"/>
          <w:szCs w:val="24"/>
        </w:rPr>
        <w:t>工作</w:t>
      </w:r>
      <w:r>
        <w:rPr>
          <w:rFonts w:hint="eastAsia" w:ascii="宋体" w:hAnsi="宋体" w:cs="宋体"/>
          <w:sz w:val="24"/>
          <w:szCs w:val="24"/>
        </w:rPr>
        <w:t>，并支付相应的服务报酬。双方经过平等协商，在真实、充分地表达各自意愿的基础上，根据《中华人民共和国民法典》的规定，达成如下协议，并由双方共同恪守。</w:t>
      </w:r>
    </w:p>
    <w:p w14:paraId="72E9E454">
      <w:pPr>
        <w:pStyle w:val="45"/>
        <w:spacing w:line="360" w:lineRule="auto"/>
        <w:ind w:firstLine="482" w:firstLineChars="200"/>
        <w:rPr>
          <w:rFonts w:hint="eastAsia" w:ascii="宋体" w:hAnsi="宋体" w:cs="宋体"/>
          <w:b/>
          <w:bCs/>
          <w:sz w:val="24"/>
          <w:szCs w:val="24"/>
        </w:rPr>
      </w:pPr>
      <w:r>
        <w:rPr>
          <w:rFonts w:hint="eastAsia" w:ascii="宋体" w:hAnsi="宋体" w:cs="宋体"/>
          <w:b/>
          <w:bCs/>
          <w:sz w:val="24"/>
          <w:szCs w:val="24"/>
        </w:rPr>
        <w:t>第一条 下列文件一起构成合同文件：</w:t>
      </w:r>
    </w:p>
    <w:p w14:paraId="0045D60A">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1.合同协议书；</w:t>
      </w:r>
    </w:p>
    <w:p w14:paraId="15F372B2">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2.中标通知书；</w:t>
      </w:r>
    </w:p>
    <w:p w14:paraId="75C4CA06">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3.投标函；</w:t>
      </w:r>
    </w:p>
    <w:p w14:paraId="63785646">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4.采购需求；</w:t>
      </w:r>
    </w:p>
    <w:p w14:paraId="137BBB7B">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5.报价清单；</w:t>
      </w:r>
    </w:p>
    <w:p w14:paraId="074E1631">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6.</w:t>
      </w:r>
      <w:r>
        <w:rPr>
          <w:rFonts w:hint="eastAsia" w:ascii="宋体" w:hAnsi="宋体" w:cs="宋体"/>
          <w:sz w:val="24"/>
          <w:szCs w:val="24"/>
          <w:lang w:eastAsia="zh-CN"/>
        </w:rPr>
        <w:t>调查与评价</w:t>
      </w:r>
      <w:r>
        <w:rPr>
          <w:rFonts w:hint="eastAsia" w:ascii="宋体" w:hAnsi="宋体" w:cs="宋体"/>
          <w:sz w:val="24"/>
          <w:szCs w:val="24"/>
        </w:rPr>
        <w:t>方案；</w:t>
      </w:r>
    </w:p>
    <w:p w14:paraId="1F61B633">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7.构成本合同组成部分的其他文件(补遗书、澄清函)。</w:t>
      </w:r>
    </w:p>
    <w:p w14:paraId="0B48F799">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上述合同文件互相补充和解释。如果合同文件之间存在矛盾或不一致之处，以上述文件的排列顺序在先者为准。</w:t>
      </w:r>
    </w:p>
    <w:p w14:paraId="782824A7">
      <w:pPr>
        <w:pStyle w:val="45"/>
        <w:spacing w:line="360" w:lineRule="auto"/>
        <w:ind w:firstLine="482" w:firstLineChars="200"/>
        <w:rPr>
          <w:rFonts w:hint="eastAsia" w:ascii="宋体" w:hAnsi="宋体" w:cs="宋体"/>
          <w:b/>
          <w:bCs/>
          <w:sz w:val="24"/>
          <w:szCs w:val="24"/>
        </w:rPr>
      </w:pPr>
      <w:r>
        <w:rPr>
          <w:rFonts w:hint="eastAsia" w:ascii="宋体" w:hAnsi="宋体" w:cs="宋体"/>
          <w:b/>
          <w:bCs/>
          <w:sz w:val="24"/>
          <w:szCs w:val="24"/>
        </w:rPr>
        <w:t>第二条 甲方委托乙方进行服务的内容如下：</w:t>
      </w:r>
    </w:p>
    <w:p w14:paraId="4224C888">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1．项目名称：</w:t>
      </w:r>
      <w:r>
        <w:rPr>
          <w:rFonts w:hint="eastAsia" w:ascii="宋体" w:hAnsi="宋体" w:cs="宋体"/>
          <w:bCs/>
          <w:sz w:val="24"/>
          <w:szCs w:val="24"/>
          <w:u w:val="single"/>
          <w:lang w:eastAsia="zh-CN"/>
        </w:rPr>
        <w:t>红水河（桥巩至宾港作业区）航道提升工程水生生态环境现状调查与评价服务</w:t>
      </w:r>
    </w:p>
    <w:p w14:paraId="31FB9243">
      <w:pPr>
        <w:pStyle w:val="45"/>
        <w:spacing w:line="360" w:lineRule="auto"/>
        <w:ind w:firstLine="480" w:firstLineChars="200"/>
        <w:rPr>
          <w:rFonts w:hint="eastAsia" w:ascii="宋体" w:hAnsi="宋体" w:cs="宋体"/>
          <w:sz w:val="24"/>
          <w:szCs w:val="24"/>
          <w:u w:val="single"/>
        </w:rPr>
      </w:pPr>
      <w:r>
        <w:rPr>
          <w:rFonts w:hint="eastAsia" w:ascii="宋体" w:hAnsi="宋体" w:cs="宋体"/>
          <w:sz w:val="24"/>
          <w:szCs w:val="24"/>
        </w:rPr>
        <w:t>2．服务的内容：</w:t>
      </w:r>
      <w:r>
        <w:rPr>
          <w:rFonts w:hint="eastAsia" w:ascii="宋体" w:hAnsi="宋体" w:cs="宋体"/>
          <w:sz w:val="24"/>
          <w:szCs w:val="24"/>
          <w:lang w:eastAsia="zh-CN"/>
        </w:rPr>
        <w:t>红水河（桥巩至宾港作业区）航道提升工程水生生态环境现状调查与评价服务，</w:t>
      </w:r>
      <w:r>
        <w:rPr>
          <w:rFonts w:hint="eastAsia" w:ascii="宋体" w:hAnsi="宋体" w:cs="宋体"/>
          <w:sz w:val="24"/>
          <w:szCs w:val="24"/>
          <w:lang w:val="zh-CN"/>
        </w:rPr>
        <w:t>开展</w:t>
      </w:r>
      <w:r>
        <w:rPr>
          <w:rFonts w:hint="eastAsia" w:ascii="宋体" w:hAnsi="宋体" w:cs="宋体"/>
          <w:sz w:val="24"/>
          <w:szCs w:val="24"/>
          <w:lang w:val="zh-CN" w:eastAsia="zh-CN"/>
        </w:rPr>
        <w:t>红水河（桥巩至宾港作业区）航道提升工程水生生态环境现状调查与评价</w:t>
      </w:r>
      <w:r>
        <w:rPr>
          <w:rFonts w:hint="eastAsia" w:ascii="宋体" w:hAnsi="宋体" w:cs="宋体"/>
          <w:sz w:val="24"/>
          <w:szCs w:val="24"/>
          <w:lang w:val="zh-CN"/>
        </w:rPr>
        <w:t>，编制《红水河（来宾桥巩至宾港作业区）二级航道工程水生生态环境现状调查评价报告（丰水期）》和《红水河（来宾桥巩至宾港作业区）二级航道工程水生生态环境现状调查评价报告（枯水期）》，支撑工程对自然保护区影响和生态保护红线不可避让等专题论证报告及环评报批</w:t>
      </w:r>
      <w:r>
        <w:rPr>
          <w:rFonts w:hint="eastAsia" w:ascii="宋体" w:hAnsi="宋体" w:cs="宋体"/>
          <w:sz w:val="24"/>
          <w:szCs w:val="24"/>
        </w:rPr>
        <w:t>。</w:t>
      </w:r>
    </w:p>
    <w:p w14:paraId="548C67F1">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3．服务的标准：</w:t>
      </w:r>
      <w:r>
        <w:rPr>
          <w:rFonts w:hint="eastAsia" w:ascii="宋体" w:hAnsi="宋体" w:cs="宋体"/>
          <w:sz w:val="24"/>
          <w:szCs w:val="24"/>
          <w:u w:val="single"/>
        </w:rPr>
        <w:t>执行国家和行业现行相关的技术标准、规范和规程。在项目实施过程中，如国家或有关部门颁布了新的技术标准，则</w:t>
      </w:r>
      <w:r>
        <w:rPr>
          <w:rFonts w:hint="eastAsia" w:ascii="宋体" w:hAnsi="宋体" w:cs="宋体"/>
          <w:sz w:val="24"/>
          <w:szCs w:val="24"/>
          <w:u w:val="single"/>
          <w:lang w:eastAsia="zh-CN"/>
        </w:rPr>
        <w:t>乙方</w:t>
      </w:r>
      <w:r>
        <w:rPr>
          <w:rFonts w:hint="eastAsia" w:ascii="宋体" w:hAnsi="宋体" w:cs="宋体"/>
          <w:sz w:val="24"/>
          <w:szCs w:val="24"/>
          <w:u w:val="single"/>
        </w:rPr>
        <w:t>应采用新的标准。现状调查与分析评价报告技术成果须满足工程对红水河来宾段珍稀鱼类自治区级自然保护区、广西来宾红水河珍稀鱼类自治区级自然保护区生态保护红线、环境影响报告书等专题报告编制和报批技术要求。</w:t>
      </w:r>
      <w:r>
        <w:rPr>
          <w:rFonts w:hint="eastAsia" w:ascii="宋体" w:hAnsi="宋体" w:cs="宋体"/>
          <w:sz w:val="24"/>
          <w:szCs w:val="24"/>
          <w:u w:val="single"/>
          <w:lang w:eastAsia="zh-CN"/>
        </w:rPr>
        <w:t>工作</w:t>
      </w:r>
      <w:r>
        <w:rPr>
          <w:rFonts w:hint="eastAsia" w:ascii="宋体" w:hAnsi="宋体" w:cs="宋体"/>
          <w:sz w:val="24"/>
          <w:szCs w:val="24"/>
          <w:u w:val="single"/>
        </w:rPr>
        <w:t>成果</w:t>
      </w:r>
      <w:r>
        <w:rPr>
          <w:rFonts w:hint="eastAsia" w:ascii="宋体" w:hAnsi="宋体" w:cs="宋体"/>
          <w:sz w:val="24"/>
          <w:szCs w:val="24"/>
          <w:u w:val="single"/>
          <w:lang w:val="en-GB"/>
        </w:rPr>
        <w:t>通过专家评审</w:t>
      </w:r>
      <w:r>
        <w:rPr>
          <w:rFonts w:hint="eastAsia" w:ascii="宋体" w:hAnsi="宋体" w:cs="宋体"/>
          <w:sz w:val="24"/>
          <w:szCs w:val="24"/>
          <w:u w:val="single"/>
          <w:lang w:val="en-GB" w:eastAsia="zh-CN"/>
        </w:rPr>
        <w:t>、</w:t>
      </w:r>
      <w:r>
        <w:rPr>
          <w:rFonts w:hint="eastAsia" w:ascii="宋体" w:hAnsi="宋体" w:cs="宋体"/>
          <w:sz w:val="24"/>
          <w:szCs w:val="24"/>
          <w:u w:val="single"/>
          <w:lang w:val="en-GB"/>
        </w:rPr>
        <w:t>验收合格</w:t>
      </w:r>
      <w:r>
        <w:rPr>
          <w:rFonts w:hint="eastAsia" w:ascii="宋体" w:hAnsi="宋体" w:cs="宋体"/>
          <w:sz w:val="24"/>
          <w:szCs w:val="24"/>
          <w:u w:val="single"/>
        </w:rPr>
        <w:t>。</w:t>
      </w:r>
    </w:p>
    <w:p w14:paraId="49C7F7E5">
      <w:pPr>
        <w:pStyle w:val="45"/>
        <w:spacing w:line="360" w:lineRule="auto"/>
        <w:ind w:firstLine="482" w:firstLineChars="200"/>
        <w:rPr>
          <w:rFonts w:hint="eastAsia" w:ascii="宋体" w:hAnsi="宋体" w:cs="宋体"/>
          <w:b/>
          <w:bCs/>
          <w:sz w:val="24"/>
          <w:szCs w:val="24"/>
        </w:rPr>
      </w:pPr>
      <w:r>
        <w:rPr>
          <w:rFonts w:hint="eastAsia" w:ascii="宋体" w:hAnsi="宋体" w:cs="宋体"/>
          <w:b/>
          <w:bCs/>
          <w:sz w:val="24"/>
          <w:szCs w:val="24"/>
        </w:rPr>
        <w:t>第三条 乙方应按下列要求完成服务工作：</w:t>
      </w:r>
    </w:p>
    <w:p w14:paraId="194BBF54">
      <w:pPr>
        <w:pStyle w:val="45"/>
        <w:spacing w:line="360" w:lineRule="auto"/>
        <w:ind w:firstLine="480" w:firstLineChars="200"/>
        <w:rPr>
          <w:rFonts w:hint="eastAsia" w:ascii="宋体" w:hAnsi="宋体" w:cs="宋体"/>
          <w:sz w:val="24"/>
          <w:szCs w:val="24"/>
          <w:u w:val="single"/>
        </w:rPr>
      </w:pPr>
      <w:r>
        <w:rPr>
          <w:rFonts w:hint="eastAsia" w:ascii="宋体" w:hAnsi="宋体" w:cs="宋体"/>
          <w:sz w:val="24"/>
          <w:szCs w:val="24"/>
        </w:rPr>
        <w:t>1．服务地点：</w:t>
      </w:r>
      <w:r>
        <w:rPr>
          <w:rFonts w:hint="eastAsia" w:ascii="宋体" w:hAnsi="宋体" w:cs="宋体"/>
          <w:sz w:val="24"/>
          <w:szCs w:val="24"/>
          <w:u w:val="single"/>
        </w:rPr>
        <w:t xml:space="preserve"> 采购人办公地点。采购人可根据需要指定其他地点  </w:t>
      </w:r>
      <w:r>
        <w:rPr>
          <w:rFonts w:hint="eastAsia" w:ascii="宋体" w:hAnsi="宋体" w:cs="宋体"/>
          <w:sz w:val="24"/>
          <w:szCs w:val="24"/>
        </w:rPr>
        <w:t>。</w:t>
      </w:r>
    </w:p>
    <w:p w14:paraId="482B1EF9">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2．服务期限：</w:t>
      </w:r>
    </w:p>
    <w:p w14:paraId="7759C45A">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总工期为</w:t>
      </w:r>
      <w:r>
        <w:rPr>
          <w:rFonts w:hint="eastAsia" w:ascii="宋体" w:hAnsi="宋体" w:cs="宋体"/>
          <w:sz w:val="24"/>
          <w:szCs w:val="24"/>
          <w:lang w:val="en-US" w:eastAsia="zh-CN"/>
        </w:rPr>
        <w:t>9</w:t>
      </w:r>
      <w:r>
        <w:rPr>
          <w:rFonts w:hint="eastAsia" w:ascii="宋体" w:hAnsi="宋体" w:cs="宋体"/>
          <w:sz w:val="24"/>
          <w:szCs w:val="24"/>
        </w:rPr>
        <w:t>0日历天。具体如下：</w:t>
      </w:r>
    </w:p>
    <w:p w14:paraId="37A70EF0">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w:t>
      </w:r>
      <w:r>
        <w:rPr>
          <w:rFonts w:hint="eastAsia" w:ascii="宋体" w:hAnsi="宋体" w:cs="宋体"/>
          <w:sz w:val="24"/>
          <w:szCs w:val="24"/>
          <w:lang w:val="en-US" w:eastAsia="zh-CN"/>
        </w:rPr>
        <w:t>1</w:t>
      </w:r>
      <w:r>
        <w:rPr>
          <w:rFonts w:hint="eastAsia" w:ascii="宋体" w:hAnsi="宋体" w:cs="宋体"/>
          <w:sz w:val="24"/>
          <w:szCs w:val="24"/>
        </w:rPr>
        <w:t>）中标通知书发出后</w:t>
      </w:r>
      <w:r>
        <w:rPr>
          <w:rFonts w:hint="eastAsia" w:ascii="宋体" w:hAnsi="宋体" w:cs="宋体"/>
          <w:sz w:val="24"/>
          <w:szCs w:val="24"/>
          <w:lang w:val="en-US" w:eastAsia="zh-CN"/>
        </w:rPr>
        <w:t>3</w:t>
      </w:r>
      <w:r>
        <w:rPr>
          <w:rFonts w:hint="eastAsia" w:ascii="宋体" w:hAnsi="宋体" w:cs="宋体"/>
          <w:sz w:val="24"/>
          <w:szCs w:val="24"/>
        </w:rPr>
        <w:t>0天内，完成枯水期水生生态环境现状调查；</w:t>
      </w:r>
    </w:p>
    <w:p w14:paraId="7D388041">
      <w:pPr>
        <w:pStyle w:val="45"/>
        <w:spacing w:line="360" w:lineRule="auto"/>
        <w:ind w:firstLine="480" w:firstLineChars="200"/>
        <w:rPr>
          <w:rFonts w:hint="eastAsia" w:ascii="宋体" w:hAnsi="宋体" w:cs="宋体"/>
          <w:sz w:val="24"/>
          <w:szCs w:val="24"/>
          <w:lang w:val="en-US" w:eastAsia="zh-CN"/>
        </w:rPr>
      </w:pPr>
      <w:r>
        <w:rPr>
          <w:rFonts w:hint="eastAsia" w:ascii="宋体" w:hAnsi="宋体" w:cs="宋体"/>
          <w:sz w:val="24"/>
          <w:szCs w:val="24"/>
          <w:lang w:eastAsia="zh-CN"/>
        </w:rPr>
        <w:t>（</w:t>
      </w:r>
      <w:r>
        <w:rPr>
          <w:rFonts w:hint="eastAsia" w:ascii="宋体" w:hAnsi="宋体" w:cs="宋体"/>
          <w:sz w:val="24"/>
          <w:szCs w:val="24"/>
          <w:lang w:val="en-US" w:eastAsia="zh-CN"/>
        </w:rPr>
        <w:t>2</w:t>
      </w:r>
      <w:r>
        <w:rPr>
          <w:rFonts w:hint="eastAsia" w:ascii="宋体" w:hAnsi="宋体" w:cs="宋体"/>
          <w:sz w:val="24"/>
          <w:szCs w:val="24"/>
          <w:lang w:eastAsia="zh-CN"/>
        </w:rPr>
        <w:t>）合同签订后</w:t>
      </w:r>
      <w:r>
        <w:rPr>
          <w:rFonts w:hint="eastAsia" w:ascii="宋体" w:hAnsi="宋体" w:cs="宋体"/>
          <w:sz w:val="24"/>
          <w:szCs w:val="24"/>
          <w:lang w:val="en-US" w:eastAsia="zh-CN"/>
        </w:rPr>
        <w:t>60天内，提交</w:t>
      </w:r>
      <w:r>
        <w:rPr>
          <w:rFonts w:hint="eastAsia" w:ascii="宋体" w:hAnsi="宋体" w:cs="宋体"/>
          <w:sz w:val="24"/>
          <w:szCs w:val="24"/>
        </w:rPr>
        <w:t>《红水河（来宾桥巩至宾港作业区）二级航道工程水生生态环境现状调查评价报告（丰水期）》；</w:t>
      </w:r>
    </w:p>
    <w:p w14:paraId="03C0A694">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w:t>
      </w:r>
      <w:r>
        <w:rPr>
          <w:rFonts w:hint="eastAsia" w:ascii="宋体" w:hAnsi="宋体" w:cs="宋体"/>
          <w:sz w:val="24"/>
          <w:szCs w:val="24"/>
          <w:lang w:val="en-US" w:eastAsia="zh-CN"/>
        </w:rPr>
        <w:t>3</w:t>
      </w:r>
      <w:r>
        <w:rPr>
          <w:rFonts w:hint="eastAsia" w:ascii="宋体" w:hAnsi="宋体" w:cs="宋体"/>
          <w:sz w:val="24"/>
          <w:szCs w:val="24"/>
        </w:rPr>
        <w:t>）</w:t>
      </w:r>
      <w:r>
        <w:rPr>
          <w:rFonts w:hint="eastAsia" w:ascii="宋体" w:hAnsi="宋体" w:cs="宋体"/>
          <w:sz w:val="24"/>
          <w:szCs w:val="24"/>
          <w:lang w:eastAsia="zh-CN"/>
        </w:rPr>
        <w:t>合同签订</w:t>
      </w:r>
      <w:r>
        <w:rPr>
          <w:rFonts w:hint="eastAsia" w:ascii="宋体" w:hAnsi="宋体" w:cs="宋体"/>
          <w:sz w:val="24"/>
          <w:szCs w:val="24"/>
        </w:rPr>
        <w:t>后</w:t>
      </w:r>
      <w:r>
        <w:rPr>
          <w:rFonts w:hint="eastAsia" w:ascii="宋体" w:hAnsi="宋体" w:cs="宋体"/>
          <w:sz w:val="24"/>
          <w:szCs w:val="24"/>
          <w:lang w:val="en-US" w:eastAsia="zh-CN"/>
        </w:rPr>
        <w:t>8</w:t>
      </w:r>
      <w:r>
        <w:rPr>
          <w:rFonts w:hint="eastAsia" w:ascii="宋体" w:hAnsi="宋体" w:cs="宋体"/>
          <w:sz w:val="24"/>
          <w:szCs w:val="24"/>
        </w:rPr>
        <w:t>0天内，完成丰水期水生生态环境现状调查和《红水河（来宾桥巩至宾港作业区）二级航道工程水生生态环境现状调查评价报告（枯水期）》；</w:t>
      </w:r>
    </w:p>
    <w:p w14:paraId="4BDEB1B8">
      <w:pPr>
        <w:pStyle w:val="45"/>
        <w:spacing w:line="360" w:lineRule="auto"/>
        <w:ind w:firstLine="480" w:firstLineChars="200"/>
        <w:rPr>
          <w:rFonts w:hint="eastAsia" w:ascii="宋体" w:hAnsi="宋体" w:cs="宋体"/>
          <w:sz w:val="24"/>
          <w:szCs w:val="24"/>
          <w:u w:val="single"/>
        </w:rPr>
      </w:pPr>
      <w:r>
        <w:rPr>
          <w:rFonts w:hint="eastAsia" w:ascii="宋体" w:hAnsi="宋体" w:cs="宋体"/>
          <w:sz w:val="24"/>
          <w:szCs w:val="24"/>
        </w:rPr>
        <w:t>（</w:t>
      </w:r>
      <w:r>
        <w:rPr>
          <w:rFonts w:hint="eastAsia" w:ascii="宋体" w:hAnsi="宋体" w:cs="宋体"/>
          <w:sz w:val="24"/>
          <w:szCs w:val="24"/>
          <w:lang w:eastAsia="zh-CN"/>
        </w:rPr>
        <w:t>4</w:t>
      </w:r>
      <w:r>
        <w:rPr>
          <w:rFonts w:hint="eastAsia" w:ascii="宋体" w:hAnsi="宋体" w:cs="宋体"/>
          <w:sz w:val="24"/>
          <w:szCs w:val="24"/>
        </w:rPr>
        <w:t>）技术成果通过验收后，10天内提交最终成果。成果</w:t>
      </w:r>
      <w:r>
        <w:rPr>
          <w:rFonts w:hint="eastAsia" w:ascii="宋体" w:hAnsi="宋体" w:cs="宋体"/>
          <w:sz w:val="24"/>
          <w:szCs w:val="24"/>
          <w:lang w:eastAsia="zh-CN"/>
        </w:rPr>
        <w:t>评审</w:t>
      </w:r>
      <w:r>
        <w:rPr>
          <w:rFonts w:hint="eastAsia" w:ascii="宋体" w:hAnsi="宋体" w:cs="宋体"/>
          <w:sz w:val="24"/>
          <w:szCs w:val="24"/>
        </w:rPr>
        <w:t>验收时间另行计算，不计入总工期</w:t>
      </w:r>
      <w:r>
        <w:rPr>
          <w:rFonts w:hint="eastAsia" w:ascii="宋体" w:hAnsi="宋体" w:cs="宋体"/>
          <w:b/>
          <w:bCs/>
          <w:sz w:val="24"/>
          <w:szCs w:val="24"/>
        </w:rPr>
        <w:t>。</w:t>
      </w:r>
    </w:p>
    <w:p w14:paraId="338E77C8">
      <w:pPr>
        <w:pStyle w:val="45"/>
        <w:spacing w:line="360" w:lineRule="auto"/>
        <w:ind w:firstLine="482" w:firstLineChars="200"/>
        <w:rPr>
          <w:rFonts w:hint="eastAsia" w:ascii="宋体" w:hAnsi="宋体" w:cs="宋体"/>
          <w:b/>
          <w:bCs/>
          <w:sz w:val="24"/>
          <w:szCs w:val="24"/>
        </w:rPr>
      </w:pPr>
      <w:r>
        <w:rPr>
          <w:rFonts w:hint="eastAsia" w:ascii="宋体" w:hAnsi="宋体" w:cs="宋体"/>
          <w:b/>
          <w:bCs/>
          <w:sz w:val="24"/>
          <w:szCs w:val="24"/>
        </w:rPr>
        <w:t>3．提交成果要求：</w:t>
      </w:r>
    </w:p>
    <w:p w14:paraId="4A86CC53">
      <w:pPr>
        <w:pStyle w:val="45"/>
        <w:spacing w:line="360" w:lineRule="auto"/>
        <w:ind w:firstLine="482" w:firstLineChars="200"/>
        <w:rPr>
          <w:rFonts w:hint="eastAsia" w:ascii="宋体" w:hAnsi="宋体" w:cs="宋体"/>
          <w:b/>
          <w:bCs/>
          <w:sz w:val="24"/>
          <w:szCs w:val="24"/>
        </w:rPr>
      </w:pPr>
      <w:r>
        <w:rPr>
          <w:rFonts w:hint="eastAsia" w:ascii="宋体" w:hAnsi="宋体" w:cs="宋体"/>
          <w:b/>
          <w:bCs/>
          <w:sz w:val="24"/>
          <w:szCs w:val="24"/>
          <w:lang w:val="en-US" w:eastAsia="zh-CN"/>
        </w:rPr>
        <w:t>（1）</w:t>
      </w:r>
      <w:r>
        <w:rPr>
          <w:rFonts w:hint="eastAsia" w:ascii="宋体" w:hAnsi="宋体" w:cs="宋体"/>
          <w:b/>
          <w:bCs/>
          <w:sz w:val="24"/>
          <w:szCs w:val="24"/>
        </w:rPr>
        <w:t>成果内容</w:t>
      </w:r>
    </w:p>
    <w:p w14:paraId="1AA971D0">
      <w:pPr>
        <w:pStyle w:val="45"/>
        <w:spacing w:line="360" w:lineRule="auto"/>
        <w:ind w:firstLine="482" w:firstLineChars="200"/>
        <w:rPr>
          <w:rFonts w:hint="eastAsia" w:ascii="宋体" w:hAnsi="宋体" w:cs="宋体"/>
          <w:b/>
          <w:bCs/>
          <w:sz w:val="24"/>
          <w:szCs w:val="24"/>
          <w:lang w:val="en-US" w:eastAsia="zh-CN"/>
        </w:rPr>
      </w:pPr>
      <w:r>
        <w:rPr>
          <w:rFonts w:hint="eastAsia" w:ascii="宋体" w:hAnsi="宋体" w:cs="宋体"/>
          <w:b/>
          <w:bCs/>
          <w:sz w:val="24"/>
          <w:szCs w:val="24"/>
          <w:lang w:eastAsia="zh-CN"/>
        </w:rPr>
        <w:t>成果内容包括：</w:t>
      </w:r>
      <w:r>
        <w:rPr>
          <w:rFonts w:hint="eastAsia" w:ascii="宋体" w:hAnsi="宋体" w:cs="宋体"/>
          <w:b/>
          <w:bCs/>
          <w:sz w:val="24"/>
          <w:szCs w:val="24"/>
          <w:lang w:val="zh-CN"/>
        </w:rPr>
        <w:t>《红水河（来宾桥巩至宾港作业区）二级航道工程水生生态环境现状调查评价报告（丰水期）》和《红水河（来宾桥巩至宾港作业区）二级航道工程水生生态环境现状调查评价报告（枯水期）》</w:t>
      </w:r>
      <w:r>
        <w:rPr>
          <w:rFonts w:hint="eastAsia" w:ascii="宋体" w:hAnsi="宋体" w:cs="宋体"/>
          <w:b/>
          <w:bCs/>
          <w:sz w:val="24"/>
          <w:szCs w:val="24"/>
        </w:rPr>
        <w:t>。</w:t>
      </w:r>
    </w:p>
    <w:p w14:paraId="057CAF50">
      <w:pPr>
        <w:pStyle w:val="45"/>
        <w:spacing w:line="360" w:lineRule="auto"/>
        <w:ind w:firstLine="482" w:firstLineChars="200"/>
        <w:rPr>
          <w:rFonts w:hint="eastAsia" w:ascii="宋体" w:hAnsi="宋体" w:cs="宋体"/>
          <w:b/>
          <w:bCs/>
          <w:sz w:val="24"/>
          <w:szCs w:val="24"/>
          <w:lang w:val="en-US" w:eastAsia="zh-CN"/>
        </w:rPr>
      </w:pPr>
      <w:r>
        <w:rPr>
          <w:rFonts w:hint="eastAsia" w:ascii="宋体" w:hAnsi="宋体" w:cs="宋体"/>
          <w:b/>
          <w:bCs/>
          <w:sz w:val="24"/>
          <w:szCs w:val="24"/>
          <w:lang w:val="en-US" w:eastAsia="zh-CN"/>
        </w:rPr>
        <w:t>（2）成果形式要求</w:t>
      </w:r>
    </w:p>
    <w:p w14:paraId="1CBE663C">
      <w:pPr>
        <w:pStyle w:val="45"/>
        <w:spacing w:line="360" w:lineRule="auto"/>
        <w:ind w:firstLine="482" w:firstLineChars="200"/>
        <w:rPr>
          <w:rFonts w:hint="eastAsia" w:ascii="宋体" w:hAnsi="宋体" w:cs="宋体"/>
          <w:b/>
          <w:bCs/>
          <w:sz w:val="24"/>
          <w:szCs w:val="24"/>
          <w:lang w:eastAsia="zh-CN"/>
        </w:rPr>
      </w:pPr>
      <w:r>
        <w:rPr>
          <w:rFonts w:hint="eastAsia" w:ascii="宋体" w:hAnsi="宋体" w:cs="宋体"/>
          <w:b/>
          <w:bCs/>
          <w:sz w:val="24"/>
          <w:szCs w:val="24"/>
        </w:rPr>
        <w:t>成果形式</w:t>
      </w:r>
      <w:r>
        <w:rPr>
          <w:rFonts w:hint="eastAsia" w:ascii="宋体" w:hAnsi="宋体" w:cs="宋体"/>
          <w:b/>
          <w:bCs/>
          <w:sz w:val="24"/>
          <w:szCs w:val="24"/>
          <w:lang w:eastAsia="zh-CN"/>
        </w:rPr>
        <w:t>包括：纸质成果和电子成果。要求如下：</w:t>
      </w:r>
    </w:p>
    <w:p w14:paraId="3C163684">
      <w:pPr>
        <w:pStyle w:val="45"/>
        <w:spacing w:line="360" w:lineRule="auto"/>
        <w:ind w:firstLine="482" w:firstLineChars="200"/>
        <w:rPr>
          <w:rFonts w:hint="eastAsia" w:ascii="宋体" w:hAnsi="宋体" w:cs="宋体"/>
          <w:b/>
          <w:bCs/>
          <w:sz w:val="24"/>
          <w:szCs w:val="24"/>
          <w:lang w:eastAsia="zh-CN"/>
        </w:rPr>
      </w:pPr>
      <w:r>
        <w:rPr>
          <w:rFonts w:hint="eastAsia" w:ascii="宋体" w:hAnsi="宋体" w:eastAsia="宋体" w:cs="宋体"/>
          <w:b/>
          <w:bCs/>
          <w:sz w:val="24"/>
          <w:szCs w:val="24"/>
          <w:lang w:eastAsia="zh-CN"/>
        </w:rPr>
        <w:t>①</w:t>
      </w:r>
      <w:r>
        <w:rPr>
          <w:rFonts w:hint="eastAsia" w:ascii="宋体" w:hAnsi="宋体" w:cs="宋体"/>
          <w:b/>
          <w:bCs/>
          <w:sz w:val="24"/>
          <w:szCs w:val="24"/>
        </w:rPr>
        <w:t>纸质成果：最终成果文</w:t>
      </w:r>
      <w:r>
        <w:rPr>
          <w:rFonts w:hint="eastAsia" w:ascii="宋体" w:hAnsi="宋体" w:cs="宋体"/>
          <w:b/>
          <w:bCs/>
          <w:sz w:val="24"/>
          <w:szCs w:val="24"/>
          <w:lang w:eastAsia="zh-CN"/>
        </w:rPr>
        <w:t>件需按规定签字或签章，并加盖单位公章</w:t>
      </w:r>
      <w:r>
        <w:rPr>
          <w:rFonts w:hint="eastAsia" w:ascii="宋体" w:hAnsi="宋体" w:cs="宋体"/>
          <w:b/>
          <w:bCs/>
          <w:sz w:val="24"/>
          <w:szCs w:val="24"/>
        </w:rPr>
        <w:t>。</w:t>
      </w:r>
    </w:p>
    <w:p w14:paraId="4024D142">
      <w:pPr>
        <w:pStyle w:val="45"/>
        <w:spacing w:line="360" w:lineRule="auto"/>
        <w:ind w:firstLine="482" w:firstLineChars="200"/>
        <w:rPr>
          <w:rFonts w:hint="eastAsia" w:ascii="宋体" w:hAnsi="宋体" w:cs="宋体"/>
          <w:b/>
          <w:bCs/>
          <w:sz w:val="24"/>
          <w:szCs w:val="24"/>
          <w:lang w:val="en-US" w:eastAsia="zh-CN"/>
        </w:rPr>
      </w:pPr>
      <w:r>
        <w:rPr>
          <w:rFonts w:hint="eastAsia" w:ascii="宋体" w:hAnsi="宋体" w:eastAsia="宋体" w:cs="宋体"/>
          <w:b/>
          <w:bCs/>
          <w:sz w:val="24"/>
          <w:szCs w:val="24"/>
          <w:lang w:eastAsia="zh-CN"/>
        </w:rPr>
        <w:t>②</w:t>
      </w:r>
      <w:r>
        <w:rPr>
          <w:rFonts w:hint="eastAsia" w:ascii="宋体" w:hAnsi="宋体" w:cs="宋体"/>
          <w:b/>
          <w:bCs/>
          <w:sz w:val="24"/>
          <w:szCs w:val="24"/>
        </w:rPr>
        <w:t>电子成果：</w:t>
      </w:r>
      <w:r>
        <w:rPr>
          <w:rFonts w:hint="eastAsia" w:ascii="宋体" w:hAnsi="宋体" w:cs="宋体"/>
          <w:b/>
          <w:bCs/>
          <w:sz w:val="24"/>
          <w:szCs w:val="24"/>
          <w:lang w:val="en-US" w:eastAsia="zh-CN"/>
        </w:rPr>
        <w:t>所有最终成果应提供电子文件，包括可编辑文档（</w:t>
      </w:r>
      <w:r>
        <w:rPr>
          <w:rFonts w:hint="eastAsia" w:ascii="宋体" w:hAnsi="宋体" w:cs="宋体"/>
          <w:b/>
          <w:bCs/>
          <w:sz w:val="24"/>
          <w:szCs w:val="24"/>
        </w:rPr>
        <w:t>文字为WORD格式、图纸为可编辑的CAD格式</w:t>
      </w:r>
      <w:r>
        <w:rPr>
          <w:rFonts w:hint="eastAsia" w:ascii="宋体" w:hAnsi="宋体" w:cs="宋体"/>
          <w:b/>
          <w:bCs/>
          <w:sz w:val="24"/>
          <w:szCs w:val="24"/>
          <w:lang w:val="en-US" w:eastAsia="zh-CN"/>
        </w:rPr>
        <w:t>）和按要求签字、签章的成果文件PDF或扫描件。</w:t>
      </w:r>
    </w:p>
    <w:p w14:paraId="37A8996B">
      <w:pPr>
        <w:pStyle w:val="45"/>
        <w:spacing w:line="360" w:lineRule="auto"/>
        <w:ind w:firstLine="482" w:firstLineChars="200"/>
        <w:rPr>
          <w:rFonts w:hint="eastAsia" w:ascii="宋体" w:hAnsi="宋体" w:cs="宋体"/>
          <w:b/>
          <w:bCs/>
          <w:sz w:val="24"/>
          <w:szCs w:val="24"/>
        </w:rPr>
      </w:pPr>
      <w:r>
        <w:rPr>
          <w:rFonts w:hint="eastAsia" w:ascii="宋体" w:hAnsi="宋体" w:cs="宋体"/>
          <w:b/>
          <w:bCs/>
          <w:sz w:val="24"/>
          <w:szCs w:val="24"/>
          <w:lang w:val="en-US" w:eastAsia="zh-CN"/>
        </w:rPr>
        <w:t>（3）成果交付份数</w:t>
      </w:r>
    </w:p>
    <w:p w14:paraId="4ADDFA79">
      <w:pPr>
        <w:pStyle w:val="45"/>
        <w:spacing w:line="360" w:lineRule="auto"/>
        <w:ind w:firstLine="482" w:firstLineChars="200"/>
        <w:rPr>
          <w:rFonts w:hint="eastAsia" w:ascii="宋体" w:hAnsi="宋体" w:cs="宋体"/>
          <w:b/>
          <w:bCs/>
          <w:sz w:val="24"/>
          <w:szCs w:val="24"/>
          <w:lang w:val="en-US" w:eastAsia="zh-CN"/>
        </w:rPr>
      </w:pPr>
      <w:r>
        <w:rPr>
          <w:rFonts w:hint="eastAsia" w:ascii="宋体" w:hAnsi="宋体" w:eastAsia="宋体" w:cs="宋体"/>
          <w:b/>
          <w:bCs/>
          <w:sz w:val="24"/>
          <w:szCs w:val="24"/>
          <w:lang w:val="en-US" w:eastAsia="zh-CN"/>
        </w:rPr>
        <w:t>①</w:t>
      </w:r>
      <w:r>
        <w:rPr>
          <w:rFonts w:hint="eastAsia" w:ascii="宋体" w:hAnsi="宋体" w:cs="宋体"/>
          <w:b/>
          <w:bCs/>
          <w:sz w:val="24"/>
          <w:szCs w:val="24"/>
          <w:lang w:val="en-US" w:eastAsia="zh-CN"/>
        </w:rPr>
        <w:t>中间成果报告，一式30份，或者满足报告评审的需要。</w:t>
      </w:r>
    </w:p>
    <w:p w14:paraId="5F47F800">
      <w:pPr>
        <w:pStyle w:val="45"/>
        <w:spacing w:line="360" w:lineRule="auto"/>
        <w:ind w:firstLine="482" w:firstLineChars="200"/>
        <w:rPr>
          <w:rFonts w:hint="eastAsia" w:ascii="宋体" w:hAnsi="宋体" w:cs="宋体"/>
          <w:b/>
          <w:bCs/>
          <w:sz w:val="24"/>
          <w:szCs w:val="24"/>
          <w:lang w:val="en-US" w:eastAsia="zh-CN"/>
        </w:rPr>
      </w:pPr>
      <w:r>
        <w:rPr>
          <w:rFonts w:hint="eastAsia" w:ascii="宋体" w:hAnsi="宋体" w:eastAsia="宋体" w:cs="宋体"/>
          <w:b/>
          <w:bCs/>
          <w:sz w:val="24"/>
          <w:szCs w:val="24"/>
          <w:lang w:val="en-US" w:eastAsia="zh-CN"/>
        </w:rPr>
        <w:t>②</w:t>
      </w:r>
      <w:r>
        <w:rPr>
          <w:rFonts w:hint="eastAsia" w:ascii="宋体" w:hAnsi="宋体" w:cs="宋体"/>
          <w:b/>
          <w:bCs/>
          <w:sz w:val="24"/>
          <w:szCs w:val="24"/>
          <w:lang w:val="en-US" w:eastAsia="zh-CN"/>
        </w:rPr>
        <w:t>最终成果报告纸质文件各10份。</w:t>
      </w:r>
    </w:p>
    <w:p w14:paraId="4F856CE6">
      <w:pPr>
        <w:pStyle w:val="45"/>
        <w:spacing w:line="360" w:lineRule="auto"/>
        <w:ind w:firstLine="482" w:firstLineChars="200"/>
        <w:rPr>
          <w:rFonts w:hint="eastAsia" w:ascii="宋体" w:hAnsi="宋体" w:cs="宋体"/>
          <w:b/>
          <w:bCs/>
          <w:sz w:val="24"/>
          <w:szCs w:val="24"/>
          <w:lang w:eastAsia="zh-CN"/>
        </w:rPr>
      </w:pPr>
      <w:r>
        <w:rPr>
          <w:rFonts w:hint="eastAsia" w:ascii="宋体" w:hAnsi="宋体" w:eastAsia="宋体" w:cs="宋体"/>
          <w:b/>
          <w:bCs/>
          <w:sz w:val="24"/>
          <w:szCs w:val="24"/>
          <w:lang w:eastAsia="zh-CN"/>
        </w:rPr>
        <w:t>③</w:t>
      </w:r>
      <w:r>
        <w:rPr>
          <w:rFonts w:hint="eastAsia" w:ascii="宋体" w:hAnsi="宋体" w:cs="宋体"/>
          <w:b/>
          <w:bCs/>
          <w:sz w:val="24"/>
          <w:szCs w:val="24"/>
          <w:lang w:val="en-US" w:eastAsia="zh-CN"/>
        </w:rPr>
        <w:t>最终成果电子文件（包括可编辑文档和按要求签章的成果文件的PDF或扫描件）一式2份，光盘和U盘各1份贮存。</w:t>
      </w:r>
    </w:p>
    <w:p w14:paraId="6147D3E9">
      <w:pPr>
        <w:pStyle w:val="45"/>
        <w:spacing w:line="360" w:lineRule="auto"/>
        <w:ind w:firstLine="482" w:firstLineChars="200"/>
        <w:rPr>
          <w:rFonts w:hint="eastAsia" w:ascii="宋体" w:hAnsi="宋体" w:cs="宋体"/>
          <w:b/>
          <w:bCs/>
          <w:sz w:val="24"/>
          <w:szCs w:val="24"/>
        </w:rPr>
      </w:pPr>
      <w:r>
        <w:rPr>
          <w:rFonts w:hint="eastAsia" w:ascii="宋体" w:hAnsi="宋体" w:cs="宋体"/>
          <w:b/>
          <w:bCs/>
          <w:sz w:val="24"/>
          <w:szCs w:val="24"/>
          <w:lang w:val="en-US" w:eastAsia="zh-CN"/>
        </w:rPr>
        <w:t>（4）</w:t>
      </w:r>
      <w:r>
        <w:rPr>
          <w:rFonts w:hint="eastAsia" w:ascii="宋体" w:hAnsi="宋体" w:cs="宋体"/>
          <w:b/>
          <w:bCs/>
          <w:sz w:val="24"/>
          <w:szCs w:val="24"/>
        </w:rPr>
        <w:t>成果交付地点</w:t>
      </w:r>
    </w:p>
    <w:p w14:paraId="7F3C0083">
      <w:pPr>
        <w:pStyle w:val="45"/>
        <w:spacing w:line="360" w:lineRule="auto"/>
        <w:ind w:firstLine="482" w:firstLineChars="200"/>
        <w:rPr>
          <w:rFonts w:hint="eastAsia" w:ascii="宋体" w:hAnsi="宋体" w:cs="宋体"/>
          <w:b/>
          <w:bCs/>
          <w:sz w:val="24"/>
          <w:szCs w:val="24"/>
          <w:lang w:val="en-US" w:eastAsia="zh-CN"/>
        </w:rPr>
      </w:pPr>
      <w:r>
        <w:rPr>
          <w:rFonts w:hint="eastAsia" w:ascii="宋体" w:hAnsi="宋体" w:cs="宋体"/>
          <w:b/>
          <w:bCs/>
          <w:sz w:val="24"/>
          <w:szCs w:val="24"/>
          <w:lang w:eastAsia="zh-CN"/>
        </w:rPr>
        <w:t>成果交付地点为甲方</w:t>
      </w:r>
      <w:r>
        <w:rPr>
          <w:rFonts w:hint="eastAsia" w:ascii="宋体" w:hAnsi="宋体" w:cs="宋体"/>
          <w:b/>
          <w:bCs/>
          <w:sz w:val="24"/>
          <w:szCs w:val="24"/>
        </w:rPr>
        <w:t>办公地点</w:t>
      </w:r>
      <w:r>
        <w:rPr>
          <w:rFonts w:hint="eastAsia" w:ascii="宋体" w:hAnsi="宋体" w:cs="宋体"/>
          <w:b/>
          <w:bCs/>
          <w:sz w:val="24"/>
          <w:szCs w:val="24"/>
          <w:lang w:eastAsia="zh-CN"/>
        </w:rPr>
        <w:t>，甲方</w:t>
      </w:r>
      <w:r>
        <w:rPr>
          <w:rFonts w:hint="eastAsia" w:ascii="宋体" w:hAnsi="宋体" w:cs="宋体"/>
          <w:b/>
          <w:bCs/>
          <w:sz w:val="24"/>
          <w:szCs w:val="24"/>
        </w:rPr>
        <w:t>可根据需要指定其他地点。</w:t>
      </w:r>
    </w:p>
    <w:p w14:paraId="73BF0B21">
      <w:pPr>
        <w:pStyle w:val="45"/>
        <w:spacing w:line="360" w:lineRule="auto"/>
        <w:ind w:firstLine="482" w:firstLineChars="200"/>
        <w:rPr>
          <w:rFonts w:hint="eastAsia" w:ascii="宋体" w:hAnsi="宋体" w:cs="宋体"/>
          <w:b/>
          <w:bCs/>
          <w:sz w:val="24"/>
          <w:szCs w:val="24"/>
          <w:lang w:val="en-US" w:eastAsia="zh-CN"/>
        </w:rPr>
      </w:pPr>
      <w:r>
        <w:rPr>
          <w:rFonts w:hint="eastAsia" w:ascii="宋体" w:hAnsi="宋体" w:cs="宋体"/>
          <w:b/>
          <w:bCs/>
          <w:sz w:val="24"/>
          <w:szCs w:val="24"/>
          <w:lang w:val="en-US" w:eastAsia="zh-CN"/>
        </w:rPr>
        <w:t>（5）成果验收</w:t>
      </w:r>
    </w:p>
    <w:p w14:paraId="1404DCEC">
      <w:pPr>
        <w:pStyle w:val="45"/>
        <w:spacing w:line="360" w:lineRule="auto"/>
        <w:ind w:firstLine="482" w:firstLineChars="200"/>
        <w:rPr>
          <w:rFonts w:hint="eastAsia" w:ascii="宋体" w:hAnsi="宋体" w:cs="宋体"/>
          <w:b/>
          <w:bCs/>
          <w:sz w:val="24"/>
          <w:szCs w:val="24"/>
        </w:rPr>
      </w:pPr>
      <w:r>
        <w:rPr>
          <w:rFonts w:hint="eastAsia" w:ascii="宋体" w:hAnsi="宋体" w:cs="宋体"/>
          <w:b/>
          <w:bCs/>
          <w:sz w:val="24"/>
          <w:szCs w:val="24"/>
          <w:lang w:eastAsia="zh-CN"/>
        </w:rPr>
        <w:t>乙方</w:t>
      </w:r>
      <w:r>
        <w:rPr>
          <w:rFonts w:hint="eastAsia" w:ascii="宋体" w:hAnsi="宋体" w:cs="宋体"/>
          <w:b/>
          <w:bCs/>
          <w:sz w:val="24"/>
          <w:szCs w:val="24"/>
        </w:rPr>
        <w:t>按要求提</w:t>
      </w:r>
      <w:r>
        <w:rPr>
          <w:rFonts w:hint="eastAsia" w:ascii="宋体" w:hAnsi="宋体" w:cs="宋体"/>
          <w:b/>
          <w:bCs/>
          <w:sz w:val="24"/>
          <w:szCs w:val="24"/>
          <w:lang w:eastAsia="zh-CN"/>
        </w:rPr>
        <w:t>交</w:t>
      </w:r>
      <w:r>
        <w:rPr>
          <w:rFonts w:hint="eastAsia" w:ascii="宋体" w:hAnsi="宋体" w:cs="宋体"/>
          <w:b/>
          <w:bCs/>
          <w:sz w:val="24"/>
          <w:szCs w:val="24"/>
        </w:rPr>
        <w:t>成果文件后，由</w:t>
      </w:r>
      <w:r>
        <w:rPr>
          <w:rFonts w:hint="eastAsia" w:ascii="宋体" w:hAnsi="宋体" w:cs="宋体"/>
          <w:b/>
          <w:bCs/>
          <w:sz w:val="24"/>
          <w:szCs w:val="24"/>
          <w:lang w:eastAsia="zh-CN"/>
        </w:rPr>
        <w:t>甲方</w:t>
      </w:r>
      <w:r>
        <w:rPr>
          <w:rFonts w:hint="eastAsia" w:ascii="宋体" w:hAnsi="宋体" w:cs="宋体"/>
          <w:b/>
          <w:bCs/>
          <w:sz w:val="24"/>
          <w:szCs w:val="24"/>
        </w:rPr>
        <w:t>组织专家</w:t>
      </w:r>
      <w:r>
        <w:rPr>
          <w:rFonts w:hint="eastAsia" w:ascii="宋体" w:hAnsi="宋体" w:cs="宋体"/>
          <w:b/>
          <w:bCs/>
          <w:sz w:val="24"/>
          <w:szCs w:val="24"/>
          <w:lang w:eastAsia="zh-CN"/>
        </w:rPr>
        <w:t>评审、</w:t>
      </w:r>
      <w:r>
        <w:rPr>
          <w:rFonts w:hint="eastAsia" w:ascii="宋体" w:hAnsi="宋体" w:cs="宋体"/>
          <w:b/>
          <w:bCs/>
          <w:sz w:val="24"/>
          <w:szCs w:val="24"/>
        </w:rPr>
        <w:t>验收，</w:t>
      </w:r>
      <w:r>
        <w:rPr>
          <w:rFonts w:hint="eastAsia" w:ascii="宋体" w:hAnsi="宋体" w:cs="宋体"/>
          <w:b/>
          <w:bCs/>
          <w:sz w:val="24"/>
          <w:szCs w:val="24"/>
          <w:lang w:eastAsia="zh-CN"/>
        </w:rPr>
        <w:t>评审、</w:t>
      </w:r>
      <w:r>
        <w:rPr>
          <w:rFonts w:hint="eastAsia" w:ascii="宋体" w:hAnsi="宋体" w:cs="宋体"/>
          <w:b/>
          <w:bCs/>
          <w:sz w:val="24"/>
          <w:szCs w:val="24"/>
        </w:rPr>
        <w:t>验收过程所产生的专家咨询费等相关费用由</w:t>
      </w:r>
      <w:r>
        <w:rPr>
          <w:rFonts w:hint="eastAsia" w:ascii="宋体" w:hAnsi="宋体" w:cs="宋体"/>
          <w:b/>
          <w:bCs/>
          <w:sz w:val="24"/>
          <w:szCs w:val="24"/>
          <w:lang w:eastAsia="zh-CN"/>
        </w:rPr>
        <w:t>乙方</w:t>
      </w:r>
      <w:r>
        <w:rPr>
          <w:rFonts w:hint="eastAsia" w:ascii="宋体" w:hAnsi="宋体" w:cs="宋体"/>
          <w:b/>
          <w:bCs/>
          <w:sz w:val="24"/>
          <w:szCs w:val="24"/>
        </w:rPr>
        <w:t>承担。</w:t>
      </w:r>
    </w:p>
    <w:p w14:paraId="0DAAD60F">
      <w:pPr>
        <w:pStyle w:val="45"/>
        <w:spacing w:line="360" w:lineRule="auto"/>
        <w:ind w:firstLine="482" w:firstLineChars="200"/>
        <w:rPr>
          <w:rFonts w:hint="eastAsia" w:ascii="宋体" w:hAnsi="宋体" w:cs="宋体"/>
          <w:b/>
          <w:bCs/>
          <w:sz w:val="24"/>
          <w:szCs w:val="24"/>
          <w:u w:val="single"/>
        </w:rPr>
      </w:pPr>
      <w:r>
        <w:rPr>
          <w:rFonts w:hint="eastAsia" w:ascii="宋体" w:hAnsi="宋体" w:cs="宋体"/>
          <w:b/>
          <w:bCs/>
          <w:sz w:val="24"/>
          <w:szCs w:val="24"/>
        </w:rPr>
        <w:t>4．服务质量要求：</w:t>
      </w:r>
      <w:r>
        <w:rPr>
          <w:rFonts w:hint="eastAsia" w:ascii="宋体" w:hAnsi="宋体" w:cs="宋体"/>
          <w:b/>
          <w:bCs/>
          <w:sz w:val="24"/>
          <w:szCs w:val="24"/>
          <w:u w:val="single"/>
        </w:rPr>
        <w:t>乙方按合同要求完成所有工作，所有工作成果应当符合现行相关国家标准、行业标准、地方标准等标准、规范，满足工程对红水河来宾段珍稀鱼类自治区级自然保护区、广西来宾红水河珍稀鱼类自治区级自然保护区生态保护红线、环境影响报告书等专题报告编制和报批技术要求</w:t>
      </w:r>
      <w:r>
        <w:rPr>
          <w:rFonts w:hint="eastAsia" w:ascii="宋体" w:hAnsi="宋体" w:cs="宋体"/>
          <w:b/>
          <w:bCs/>
          <w:sz w:val="24"/>
          <w:szCs w:val="24"/>
          <w:u w:val="single"/>
          <w:lang w:eastAsia="zh-CN"/>
        </w:rPr>
        <w:t>，</w:t>
      </w:r>
      <w:r>
        <w:rPr>
          <w:rFonts w:hint="eastAsia" w:ascii="宋体" w:hAnsi="宋体" w:cs="宋体"/>
          <w:b/>
          <w:bCs/>
          <w:sz w:val="24"/>
          <w:szCs w:val="24"/>
          <w:u w:val="single"/>
        </w:rPr>
        <w:t>并通过专家评审</w:t>
      </w:r>
      <w:r>
        <w:rPr>
          <w:rFonts w:hint="eastAsia" w:ascii="宋体" w:hAnsi="宋体" w:cs="宋体"/>
          <w:b/>
          <w:bCs/>
          <w:sz w:val="24"/>
          <w:szCs w:val="24"/>
          <w:u w:val="single"/>
          <w:lang w:eastAsia="zh-CN"/>
        </w:rPr>
        <w:t>、</w:t>
      </w:r>
      <w:r>
        <w:rPr>
          <w:rFonts w:hint="eastAsia" w:ascii="宋体" w:hAnsi="宋体" w:cs="宋体"/>
          <w:b/>
          <w:bCs/>
          <w:sz w:val="24"/>
          <w:szCs w:val="24"/>
          <w:u w:val="single"/>
        </w:rPr>
        <w:t>验收合格。</w:t>
      </w:r>
    </w:p>
    <w:p w14:paraId="65153E1A">
      <w:pPr>
        <w:pStyle w:val="45"/>
        <w:spacing w:line="360" w:lineRule="auto"/>
        <w:ind w:firstLine="482" w:firstLineChars="200"/>
        <w:rPr>
          <w:rFonts w:hint="eastAsia" w:ascii="宋体" w:hAnsi="宋体" w:cs="宋体"/>
          <w:b/>
          <w:bCs/>
          <w:sz w:val="24"/>
          <w:szCs w:val="24"/>
        </w:rPr>
      </w:pPr>
      <w:r>
        <w:rPr>
          <w:rFonts w:hint="eastAsia" w:ascii="宋体" w:hAnsi="宋体" w:cs="宋体"/>
          <w:b/>
          <w:bCs/>
          <w:sz w:val="24"/>
          <w:szCs w:val="24"/>
        </w:rPr>
        <w:t>第四条 费用及支付方式</w:t>
      </w:r>
    </w:p>
    <w:p w14:paraId="3069B756">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1．合同费用：</w:t>
      </w:r>
    </w:p>
    <w:p w14:paraId="74E56A94">
      <w:pPr>
        <w:pStyle w:val="45"/>
        <w:spacing w:line="360" w:lineRule="auto"/>
        <w:ind w:firstLine="480" w:firstLineChars="200"/>
        <w:rPr>
          <w:rFonts w:hint="default" w:ascii="宋体" w:hAnsi="宋体" w:eastAsia="宋体" w:cs="宋体"/>
          <w:sz w:val="24"/>
          <w:szCs w:val="24"/>
          <w:lang w:val="en-US" w:eastAsia="zh-CN"/>
        </w:rPr>
      </w:pPr>
      <w:r>
        <w:rPr>
          <w:rFonts w:hint="eastAsia" w:ascii="宋体" w:hAnsi="宋体" w:cs="宋体"/>
          <w:sz w:val="24"/>
          <w:szCs w:val="24"/>
        </w:rPr>
        <w:t>（1）签约合同价为：</w:t>
      </w:r>
      <w:r>
        <w:rPr>
          <w:rFonts w:hint="eastAsia" w:ascii="宋体" w:hAnsi="宋体" w:cs="宋体"/>
          <w:sz w:val="24"/>
          <w:szCs w:val="24"/>
          <w:u w:val="single"/>
          <w:lang w:val="en-US" w:eastAsia="zh-CN"/>
        </w:rPr>
        <w:t xml:space="preserve">                           </w:t>
      </w:r>
    </w:p>
    <w:p w14:paraId="0205807B">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（2）本合同价格形式为固定总价合同。本合同签约合同价总额是完成合同所规定责任的总费用，包含</w:t>
      </w:r>
      <w:r>
        <w:rPr>
          <w:rFonts w:hint="eastAsia" w:ascii="宋体" w:hAnsi="宋体" w:cs="宋体"/>
          <w:sz w:val="24"/>
          <w:szCs w:val="24"/>
          <w:lang w:eastAsia="zh-CN"/>
        </w:rPr>
        <w:t>了</w:t>
      </w:r>
      <w:r>
        <w:rPr>
          <w:rFonts w:hint="eastAsia" w:ascii="宋体" w:hAnsi="宋体" w:cs="宋体"/>
          <w:sz w:val="24"/>
          <w:szCs w:val="24"/>
        </w:rPr>
        <w:t>为完成</w:t>
      </w:r>
      <w:r>
        <w:rPr>
          <w:rFonts w:hint="eastAsia" w:ascii="宋体" w:hAnsi="宋体" w:cs="宋体"/>
          <w:sz w:val="24"/>
          <w:szCs w:val="24"/>
          <w:lang w:eastAsia="zh-CN"/>
        </w:rPr>
        <w:t>本</w:t>
      </w:r>
      <w:r>
        <w:rPr>
          <w:rFonts w:hint="eastAsia" w:ascii="宋体" w:hAnsi="宋体" w:cs="宋体"/>
          <w:sz w:val="24"/>
          <w:szCs w:val="24"/>
        </w:rPr>
        <w:t>项目的全部工作以及</w:t>
      </w:r>
      <w:r>
        <w:rPr>
          <w:rFonts w:hint="eastAsia" w:ascii="宋体" w:hAnsi="宋体" w:cs="宋体"/>
          <w:sz w:val="24"/>
          <w:szCs w:val="24"/>
          <w:lang w:eastAsia="zh-CN"/>
        </w:rPr>
        <w:t>全过程</w:t>
      </w:r>
      <w:r>
        <w:rPr>
          <w:rFonts w:hint="eastAsia" w:ascii="宋体" w:hAnsi="宋体" w:cs="宋体"/>
          <w:sz w:val="24"/>
          <w:szCs w:val="24"/>
        </w:rPr>
        <w:t>可能发生的各种费用</w:t>
      </w:r>
      <w:r>
        <w:rPr>
          <w:rFonts w:hint="eastAsia" w:ascii="宋体" w:hAnsi="宋体" w:cs="宋体"/>
          <w:sz w:val="24"/>
          <w:szCs w:val="24"/>
          <w:lang w:eastAsia="zh-CN"/>
        </w:rPr>
        <w:t>。</w:t>
      </w:r>
      <w:r>
        <w:rPr>
          <w:rFonts w:hint="eastAsia" w:ascii="宋体" w:hAnsi="宋体" w:cs="宋体"/>
          <w:sz w:val="24"/>
          <w:szCs w:val="24"/>
        </w:rPr>
        <w:t>合同费用包括但不限于：除了包含乙方完成约定工作内容的全部费用外，还包括乙方为完成本项目所发生的调查研究、资料收集、分析论证、报告编制、印刷、出版、安全生产费、人工成本、评估评审验收会务费（含专家劳务费、住宿费、伙食等）、不可预见费等所有费用，其费用含于报价中，甲方不另行向乙方支付其费用。</w:t>
      </w:r>
    </w:p>
    <w:p w14:paraId="34EA3A1E">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合同执行期间，物价波动(人工、材料上涨等)引起的价格变化不对签约合同价进行调整；法律、法规、规范性文件、规定引起的价格变化，签约合同价不进行调整。乙方应承担物价波动、工作范围内容不符或漏项、气候条件恶劣及其他意外困难等风险。</w:t>
      </w:r>
    </w:p>
    <w:p w14:paraId="571C7602">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2.服务费支付方式：</w:t>
      </w:r>
    </w:p>
    <w:p w14:paraId="43176FE9">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甲方根据工作进度，分期支付乙方合同价款。乙方根据工作进度，向甲方提交支付申请，并附相应的支持性证明文件。</w:t>
      </w:r>
    </w:p>
    <w:p w14:paraId="65202E99">
      <w:pPr>
        <w:pStyle w:val="45"/>
        <w:spacing w:line="360" w:lineRule="auto"/>
        <w:ind w:firstLine="480" w:firstLineChars="200"/>
        <w:rPr>
          <w:rFonts w:hint="eastAsia" w:ascii="宋体" w:hAnsi="宋体" w:cs="宋体"/>
          <w:sz w:val="24"/>
          <w:szCs w:val="24"/>
        </w:rPr>
      </w:pPr>
      <w:r>
        <w:rPr>
          <w:rFonts w:hint="eastAsia" w:ascii="宋体" w:hAnsi="宋体" w:cs="宋体"/>
          <w:sz w:val="24"/>
          <w:szCs w:val="24"/>
          <w:lang w:eastAsia="zh-CN"/>
        </w:rPr>
        <w:t>（</w:t>
      </w:r>
      <w:r>
        <w:rPr>
          <w:rFonts w:hint="eastAsia" w:ascii="宋体" w:hAnsi="宋体" w:cs="宋体"/>
          <w:sz w:val="24"/>
          <w:szCs w:val="24"/>
          <w:lang w:val="en-US" w:eastAsia="zh-CN"/>
        </w:rPr>
        <w:t>1</w:t>
      </w:r>
      <w:r>
        <w:rPr>
          <w:rFonts w:hint="eastAsia" w:ascii="宋体" w:hAnsi="宋体" w:cs="宋体"/>
          <w:sz w:val="24"/>
          <w:szCs w:val="24"/>
          <w:lang w:eastAsia="zh-CN"/>
        </w:rPr>
        <w:t>）</w:t>
      </w:r>
      <w:r>
        <w:rPr>
          <w:rFonts w:hint="eastAsia" w:ascii="宋体" w:hAnsi="宋体" w:cs="宋体"/>
          <w:sz w:val="24"/>
          <w:szCs w:val="24"/>
        </w:rPr>
        <w:t>第一期付款</w:t>
      </w:r>
      <w:r>
        <w:rPr>
          <w:rFonts w:hint="eastAsia" w:ascii="宋体" w:hAnsi="宋体" w:cs="宋体"/>
          <w:sz w:val="24"/>
          <w:szCs w:val="24"/>
          <w:lang w:eastAsia="zh-CN"/>
        </w:rPr>
        <w:t>（预付款）</w:t>
      </w:r>
      <w:r>
        <w:rPr>
          <w:rFonts w:hint="eastAsia" w:ascii="宋体" w:hAnsi="宋体" w:cs="宋体"/>
          <w:sz w:val="24"/>
          <w:szCs w:val="24"/>
        </w:rPr>
        <w:t>：</w:t>
      </w:r>
    </w:p>
    <w:p w14:paraId="650254F2">
      <w:pPr>
        <w:pStyle w:val="45"/>
        <w:spacing w:line="360" w:lineRule="auto"/>
        <w:ind w:firstLine="480" w:firstLineChars="200"/>
        <w:rPr>
          <w:rFonts w:hint="eastAsia" w:ascii="宋体" w:hAnsi="宋体" w:cs="宋体"/>
          <w:sz w:val="24"/>
          <w:szCs w:val="24"/>
          <w:lang w:val="en-US" w:eastAsia="zh-CN"/>
        </w:rPr>
      </w:pPr>
      <w:r>
        <w:rPr>
          <w:rFonts w:hint="eastAsia" w:ascii="宋体" w:hAnsi="宋体" w:cs="宋体"/>
          <w:sz w:val="24"/>
          <w:szCs w:val="24"/>
          <w:lang w:eastAsia="zh-CN"/>
        </w:rPr>
        <w:t>合同签署后，由乙方提交预付款支付申请，甲方收到预付款支付申请后的14天内，向乙方支付合同价的</w:t>
      </w:r>
      <w:r>
        <w:rPr>
          <w:rFonts w:hint="eastAsia" w:ascii="宋体" w:hAnsi="宋体" w:cs="宋体"/>
          <w:sz w:val="24"/>
          <w:szCs w:val="24"/>
          <w:lang w:val="en-US" w:eastAsia="zh-CN"/>
        </w:rPr>
        <w:t>3</w:t>
      </w:r>
      <w:r>
        <w:rPr>
          <w:rFonts w:hint="eastAsia" w:ascii="宋体" w:hAnsi="宋体" w:cs="宋体"/>
          <w:sz w:val="24"/>
          <w:szCs w:val="24"/>
          <w:lang w:eastAsia="zh-CN"/>
        </w:rPr>
        <w:t>0%作为预付款；乙方应当提供等额的增值税普通发票；本合同履行后，预付款抵作进度款。如因发生不可抗力事件导致预付款已支付但合同无法继续履行的情况，乙方应向甲方退还尚未开展工作内容对应的款项。</w:t>
      </w:r>
    </w:p>
    <w:p w14:paraId="75ACD3C7">
      <w:pPr>
        <w:pStyle w:val="45"/>
        <w:spacing w:line="360" w:lineRule="auto"/>
        <w:ind w:firstLine="480" w:firstLineChars="200"/>
        <w:rPr>
          <w:rFonts w:hint="eastAsia" w:ascii="宋体" w:hAnsi="宋体" w:cs="宋体"/>
          <w:sz w:val="24"/>
          <w:szCs w:val="24"/>
        </w:rPr>
      </w:pPr>
      <w:r>
        <w:rPr>
          <w:rFonts w:hint="eastAsia" w:ascii="宋体" w:hAnsi="宋体" w:cs="宋体"/>
          <w:sz w:val="24"/>
          <w:szCs w:val="24"/>
          <w:lang w:val="en-US" w:eastAsia="zh-CN"/>
        </w:rPr>
        <w:t>（2）</w:t>
      </w:r>
      <w:r>
        <w:rPr>
          <w:rFonts w:hint="eastAsia" w:ascii="宋体" w:hAnsi="宋体" w:cs="宋体"/>
          <w:sz w:val="24"/>
          <w:szCs w:val="24"/>
        </w:rPr>
        <w:t>第二期付款</w:t>
      </w:r>
      <w:r>
        <w:rPr>
          <w:rFonts w:hint="eastAsia" w:ascii="宋体" w:hAnsi="宋体" w:cs="宋体"/>
          <w:sz w:val="24"/>
          <w:szCs w:val="24"/>
          <w:lang w:eastAsia="zh-CN"/>
        </w:rPr>
        <w:t>（尾款）</w:t>
      </w:r>
      <w:r>
        <w:rPr>
          <w:rFonts w:hint="eastAsia" w:ascii="宋体" w:hAnsi="宋体" w:cs="宋体"/>
          <w:sz w:val="24"/>
          <w:szCs w:val="24"/>
        </w:rPr>
        <w:t>：</w:t>
      </w:r>
    </w:p>
    <w:p w14:paraId="51B7C1D7">
      <w:pPr>
        <w:pStyle w:val="45"/>
        <w:spacing w:line="360" w:lineRule="auto"/>
        <w:ind w:left="0" w:firstLine="480" w:firstLineChars="200"/>
        <w:rPr>
          <w:rFonts w:hint="eastAsia" w:ascii="宋体" w:hAnsi="宋体" w:cs="宋体"/>
          <w:sz w:val="24"/>
          <w:szCs w:val="24"/>
        </w:rPr>
      </w:pPr>
      <w:r>
        <w:rPr>
          <w:rFonts w:hint="eastAsia" w:ascii="宋体" w:hAnsi="宋体" w:cs="宋体"/>
          <w:sz w:val="24"/>
          <w:szCs w:val="24"/>
        </w:rPr>
        <w:t>在</w:t>
      </w:r>
      <w:r>
        <w:rPr>
          <w:rFonts w:hint="eastAsia" w:ascii="宋体" w:hAnsi="宋体" w:cs="宋体"/>
          <w:sz w:val="24"/>
          <w:szCs w:val="24"/>
          <w:lang w:eastAsia="zh-CN"/>
        </w:rPr>
        <w:t>所有合同工作完成且评审验收合格</w:t>
      </w:r>
      <w:r>
        <w:rPr>
          <w:rFonts w:hint="eastAsia" w:ascii="宋体" w:hAnsi="宋体" w:cs="宋体"/>
          <w:sz w:val="24"/>
          <w:szCs w:val="24"/>
        </w:rPr>
        <w:t>，</w:t>
      </w:r>
      <w:r>
        <w:rPr>
          <w:rFonts w:hint="eastAsia" w:ascii="宋体" w:hAnsi="宋体" w:cs="宋体"/>
          <w:sz w:val="24"/>
          <w:szCs w:val="24"/>
          <w:lang w:eastAsia="zh-CN"/>
        </w:rPr>
        <w:t>乙方提交专题研究报告最终稿后，由乙方提交进度款支付申请，甲方收到进度款支付申请后的14天内，向乙方支付至签约合同价的100%；乙方应当提供等额的增值税发票</w:t>
      </w:r>
      <w:r>
        <w:rPr>
          <w:rFonts w:hint="eastAsia" w:ascii="宋体" w:hAnsi="宋体" w:cs="宋体"/>
          <w:sz w:val="24"/>
          <w:szCs w:val="24"/>
        </w:rPr>
        <w:t>。</w:t>
      </w:r>
    </w:p>
    <w:p w14:paraId="36D3A96F">
      <w:pPr>
        <w:pStyle w:val="45"/>
        <w:spacing w:line="360" w:lineRule="auto"/>
        <w:ind w:left="480"/>
        <w:rPr>
          <w:rFonts w:hint="eastAsia" w:ascii="宋体" w:hAnsi="宋体" w:cs="宋体"/>
          <w:sz w:val="24"/>
          <w:szCs w:val="24"/>
        </w:rPr>
      </w:pPr>
      <w:r>
        <w:rPr>
          <w:rFonts w:hint="eastAsia" w:ascii="宋体" w:hAnsi="宋体" w:cs="宋体"/>
          <w:sz w:val="24"/>
          <w:szCs w:val="24"/>
        </w:rPr>
        <w:t>3.乙方收款账户信息如下：</w:t>
      </w:r>
    </w:p>
    <w:p w14:paraId="1943F94F">
      <w:pPr>
        <w:pStyle w:val="45"/>
        <w:spacing w:line="360" w:lineRule="auto"/>
        <w:ind w:firstLine="480" w:firstLineChars="200"/>
        <w:rPr>
          <w:rFonts w:hint="eastAsia" w:ascii="宋体" w:hAnsi="宋体" w:eastAsia="宋体" w:cs="宋体"/>
          <w:sz w:val="24"/>
          <w:szCs w:val="24"/>
          <w:lang w:eastAsia="zh-CN"/>
        </w:rPr>
      </w:pPr>
      <w:r>
        <w:rPr>
          <w:rFonts w:hint="eastAsia" w:ascii="宋体" w:hAnsi="宋体" w:cs="宋体"/>
          <w:sz w:val="24"/>
          <w:szCs w:val="24"/>
        </w:rPr>
        <w:t>开户名称：</w:t>
      </w:r>
      <w:r>
        <w:rPr>
          <w:rFonts w:hint="eastAsia" w:ascii="宋体" w:hAnsi="宋体" w:cs="宋体"/>
          <w:sz w:val="24"/>
          <w:szCs w:val="24"/>
          <w:lang w:val="en-US" w:eastAsia="zh-CN"/>
        </w:rPr>
        <w:t xml:space="preserve"> </w:t>
      </w:r>
    </w:p>
    <w:p w14:paraId="5FC006E4">
      <w:pPr>
        <w:pStyle w:val="45"/>
        <w:spacing w:line="360" w:lineRule="auto"/>
        <w:ind w:firstLine="480" w:firstLineChars="200"/>
        <w:rPr>
          <w:rFonts w:hint="eastAsia" w:ascii="宋体" w:hAnsi="宋体" w:eastAsia="宋体" w:cs="宋体"/>
          <w:sz w:val="24"/>
          <w:szCs w:val="24"/>
          <w:lang w:eastAsia="zh-CN"/>
        </w:rPr>
      </w:pPr>
      <w:r>
        <w:rPr>
          <w:rFonts w:hint="eastAsia" w:ascii="宋体" w:hAnsi="宋体" w:cs="宋体"/>
          <w:sz w:val="24"/>
          <w:szCs w:val="24"/>
        </w:rPr>
        <w:t>银行帐号：</w:t>
      </w:r>
      <w:r>
        <w:rPr>
          <w:rFonts w:hint="eastAsia" w:ascii="宋体" w:hAnsi="宋体" w:cs="宋体"/>
          <w:sz w:val="24"/>
          <w:szCs w:val="24"/>
          <w:lang w:val="en-US" w:eastAsia="zh-CN"/>
        </w:rPr>
        <w:t xml:space="preserve"> </w:t>
      </w:r>
    </w:p>
    <w:p w14:paraId="01542719">
      <w:pPr>
        <w:pStyle w:val="45"/>
        <w:spacing w:line="360" w:lineRule="auto"/>
        <w:ind w:firstLine="480" w:firstLineChars="200"/>
        <w:rPr>
          <w:rFonts w:hint="eastAsia" w:ascii="宋体" w:hAnsi="宋体" w:eastAsia="宋体" w:cs="宋体"/>
          <w:sz w:val="24"/>
          <w:szCs w:val="24"/>
          <w:highlight w:val="yellow"/>
          <w:lang w:eastAsia="zh-CN"/>
        </w:rPr>
      </w:pPr>
      <w:r>
        <w:rPr>
          <w:rFonts w:hint="eastAsia" w:ascii="宋体" w:hAnsi="宋体" w:cs="宋体"/>
          <w:sz w:val="24"/>
          <w:szCs w:val="24"/>
        </w:rPr>
        <w:t>开户行：</w:t>
      </w:r>
      <w:r>
        <w:rPr>
          <w:rFonts w:hint="eastAsia" w:ascii="宋体" w:hAnsi="宋体" w:cs="宋体"/>
          <w:sz w:val="24"/>
          <w:szCs w:val="24"/>
          <w:lang w:val="en-US" w:eastAsia="zh-CN"/>
        </w:rPr>
        <w:t xml:space="preserve"> </w:t>
      </w:r>
    </w:p>
    <w:p w14:paraId="41DC4515">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乙方收款账户发生变更的，应当在变更当日书面告知甲方，否则由此产生的损失由乙方承担；甲方不接受乙方委托第三方收款。</w:t>
      </w:r>
    </w:p>
    <w:p w14:paraId="2AC2FE9F">
      <w:pPr>
        <w:pStyle w:val="45"/>
        <w:spacing w:line="360" w:lineRule="auto"/>
        <w:ind w:firstLine="482" w:firstLineChars="200"/>
        <w:rPr>
          <w:rFonts w:hint="eastAsia" w:ascii="宋体" w:hAnsi="宋体" w:cs="宋体"/>
          <w:sz w:val="24"/>
          <w:szCs w:val="24"/>
        </w:rPr>
      </w:pPr>
      <w:r>
        <w:rPr>
          <w:rFonts w:hint="eastAsia" w:ascii="宋体" w:hAnsi="宋体" w:cs="宋体"/>
          <w:b/>
          <w:bCs/>
          <w:sz w:val="24"/>
          <w:szCs w:val="24"/>
        </w:rPr>
        <w:t>第五条 履约担保</w:t>
      </w:r>
    </w:p>
    <w:p w14:paraId="4BF969E7">
      <w:pPr>
        <w:pStyle w:val="45"/>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1.乙方在签订合同之前，向甲方提交金额为签约合同价5%的履约保证金。乙方未按约定提交履约保证金的，视为放弃中标资格，甲方有权不予与其签订合同；因此给甲方造成损失的，乙方还应承担相应的赔偿责任。</w:t>
      </w:r>
    </w:p>
    <w:p w14:paraId="689EA9BD">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2.履约保证金以支票、汇票、本票或者金融机构、担保机构出具的保函等非现金形式提交。</w:t>
      </w:r>
    </w:p>
    <w:p w14:paraId="5CE4ED7E">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（1）若采用银行保函形式，银行保函由国有商业或股份制商业银行出具，并保证其有效。执行本条规定所需的费用由乙方承担。保函的正本由甲方保存。</w:t>
      </w:r>
    </w:p>
    <w:p w14:paraId="51438999">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（2）若采用银行转账形式，应当从乙方基本账户转出，且全额一次性转入甲方指定账号，并注明</w:t>
      </w:r>
      <w:r>
        <w:rPr>
          <w:rFonts w:hint="eastAsia" w:ascii="宋体" w:hAnsi="宋体" w:cs="宋体"/>
          <w:b/>
          <w:bCs/>
          <w:sz w:val="24"/>
          <w:szCs w:val="24"/>
        </w:rPr>
        <w:t>“</w:t>
      </w:r>
      <w:r>
        <w:rPr>
          <w:rFonts w:hint="eastAsia" w:ascii="宋体" w:hAnsi="宋体" w:cs="宋体"/>
          <w:b/>
          <w:bCs/>
          <w:sz w:val="24"/>
          <w:szCs w:val="24"/>
          <w:lang w:eastAsia="zh-CN"/>
        </w:rPr>
        <w:t>红水河（桥巩至宾港作业区）航道提升工程水生生态环境现状调查与评价服务</w:t>
      </w:r>
      <w:r>
        <w:rPr>
          <w:rFonts w:hint="eastAsia" w:ascii="宋体" w:hAnsi="宋体" w:cs="宋体"/>
          <w:b/>
          <w:bCs/>
          <w:sz w:val="24"/>
          <w:szCs w:val="24"/>
        </w:rPr>
        <w:t>项目履约保证金”</w:t>
      </w:r>
      <w:r>
        <w:rPr>
          <w:rFonts w:hint="eastAsia" w:ascii="宋体" w:hAnsi="宋体" w:cs="宋体"/>
          <w:sz w:val="24"/>
          <w:szCs w:val="24"/>
        </w:rPr>
        <w:t>，并且确保在中标通知书发出之日起25日内到账，否则，其履约担保视为无效。</w:t>
      </w:r>
    </w:p>
    <w:p w14:paraId="6522CC03">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3.履约担保有效期应不短于自合同生效之日起至乙方履行完毕本合同项下所有工作内容并提交全部最终成果资料之日。</w:t>
      </w:r>
    </w:p>
    <w:p w14:paraId="3C9BB3C7">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4.在乙方按合同要求履行完毕本合同项下所有工作内容并提交全部最终成果资料后，由乙方向甲方提出退还履约担保申请，甲方收到退还履约担保申请后28天内退还乙方履约担保。履约保证金不计利息。</w:t>
      </w:r>
    </w:p>
    <w:p w14:paraId="75608A94">
      <w:pPr>
        <w:pStyle w:val="45"/>
        <w:spacing w:line="360" w:lineRule="auto"/>
        <w:ind w:firstLine="482" w:firstLineChars="200"/>
        <w:rPr>
          <w:rFonts w:hint="eastAsia" w:ascii="宋体" w:hAnsi="宋体" w:cs="宋体"/>
          <w:b/>
          <w:bCs/>
          <w:sz w:val="24"/>
          <w:szCs w:val="24"/>
        </w:rPr>
      </w:pPr>
      <w:r>
        <w:rPr>
          <w:rFonts w:hint="eastAsia" w:ascii="宋体" w:hAnsi="宋体" w:cs="宋体"/>
          <w:b/>
          <w:bCs/>
          <w:sz w:val="24"/>
          <w:szCs w:val="24"/>
        </w:rPr>
        <w:t>第六条 双方的责任和义务</w:t>
      </w:r>
    </w:p>
    <w:p w14:paraId="11849096">
      <w:pPr>
        <w:pStyle w:val="45"/>
        <w:spacing w:line="360" w:lineRule="auto"/>
        <w:ind w:firstLine="482" w:firstLineChars="200"/>
        <w:rPr>
          <w:rFonts w:hint="eastAsia" w:ascii="宋体" w:hAnsi="宋体" w:cs="宋体"/>
          <w:b/>
          <w:bCs/>
          <w:sz w:val="24"/>
          <w:szCs w:val="24"/>
        </w:rPr>
      </w:pPr>
      <w:r>
        <w:rPr>
          <w:rFonts w:hint="eastAsia" w:ascii="宋体" w:hAnsi="宋体" w:cs="宋体"/>
          <w:b/>
          <w:bCs/>
          <w:sz w:val="24"/>
          <w:szCs w:val="24"/>
        </w:rPr>
        <w:t>（一）甲方责任和义务</w:t>
      </w:r>
    </w:p>
    <w:p w14:paraId="4613F3CF">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1.甲方应按合同约定支付乙方合同费用。</w:t>
      </w:r>
    </w:p>
    <w:p w14:paraId="430D8795">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2.甲方有权对乙方实施项目的进度、质量、安全、文明以及资金使用等进行监督、控制。</w:t>
      </w:r>
    </w:p>
    <w:p w14:paraId="56E1174F">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3.承担履行合同过程中甲方的人身和财产安全责任。</w:t>
      </w:r>
    </w:p>
    <w:p w14:paraId="30F81DE7">
      <w:pPr>
        <w:pStyle w:val="45"/>
        <w:spacing w:line="360" w:lineRule="auto"/>
        <w:ind w:firstLine="482" w:firstLineChars="200"/>
        <w:rPr>
          <w:rFonts w:hint="eastAsia" w:ascii="宋体" w:hAnsi="宋体" w:cs="宋体"/>
          <w:b/>
          <w:sz w:val="24"/>
          <w:szCs w:val="24"/>
        </w:rPr>
      </w:pPr>
      <w:r>
        <w:rPr>
          <w:rFonts w:hint="eastAsia" w:ascii="宋体" w:hAnsi="宋体" w:cs="宋体"/>
          <w:b/>
          <w:sz w:val="24"/>
          <w:szCs w:val="24"/>
        </w:rPr>
        <w:t>（二）乙方责任和义务</w:t>
      </w:r>
    </w:p>
    <w:p w14:paraId="7698C68D">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1.乙方应按照现行的技术标准、规范规定和行政主管部门要求，完成合同规定的所有工作内容。</w:t>
      </w:r>
    </w:p>
    <w:p w14:paraId="3CD236B4">
      <w:pPr>
        <w:pStyle w:val="45"/>
        <w:spacing w:line="360" w:lineRule="auto"/>
        <w:ind w:firstLine="480" w:firstLineChars="200"/>
        <w:rPr>
          <w:rFonts w:hint="eastAsia" w:ascii="宋体" w:hAnsi="宋体" w:cs="宋体"/>
          <w:bCs/>
          <w:sz w:val="24"/>
          <w:szCs w:val="24"/>
        </w:rPr>
      </w:pPr>
      <w:r>
        <w:rPr>
          <w:rFonts w:hint="eastAsia" w:ascii="宋体" w:hAnsi="宋体" w:cs="宋体"/>
          <w:bCs/>
          <w:sz w:val="24"/>
          <w:szCs w:val="24"/>
        </w:rPr>
        <w:t>2.乙方应在开工前向甲方提交详细的工作方案。</w:t>
      </w:r>
    </w:p>
    <w:p w14:paraId="12684C6F">
      <w:pPr>
        <w:pStyle w:val="45"/>
        <w:spacing w:line="360" w:lineRule="auto"/>
        <w:ind w:firstLine="480" w:firstLineChars="200"/>
        <w:rPr>
          <w:rFonts w:hint="eastAsia" w:ascii="宋体" w:hAnsi="宋体" w:cs="宋体"/>
          <w:bCs/>
          <w:sz w:val="24"/>
          <w:szCs w:val="24"/>
        </w:rPr>
      </w:pPr>
      <w:r>
        <w:rPr>
          <w:rFonts w:hint="eastAsia" w:ascii="宋体" w:hAnsi="宋体" w:cs="宋体"/>
          <w:sz w:val="24"/>
          <w:szCs w:val="24"/>
        </w:rPr>
        <w:t>3.乙方工作过程中应遵守国家及地方的有关法律、法规和规章，因乙方未能采取有效措施而发生的人身伤亡、罚款、赔偿、索赔、损失赔偿、诉讼费用及其他一切责任应由乙方负责。</w:t>
      </w:r>
    </w:p>
    <w:p w14:paraId="00CF1820">
      <w:pPr>
        <w:pStyle w:val="45"/>
        <w:spacing w:line="360" w:lineRule="auto"/>
        <w:ind w:firstLine="480" w:firstLineChars="200"/>
        <w:rPr>
          <w:rFonts w:hint="eastAsia" w:ascii="宋体" w:hAnsi="宋体" w:cs="宋体"/>
          <w:sz w:val="24"/>
          <w:szCs w:val="24"/>
        </w:rPr>
      </w:pPr>
      <w:r>
        <w:rPr>
          <w:rFonts w:hint="eastAsia" w:ascii="宋体" w:hAnsi="宋体" w:cs="宋体"/>
          <w:bCs/>
          <w:sz w:val="24"/>
          <w:szCs w:val="24"/>
        </w:rPr>
        <w:t>4.</w:t>
      </w:r>
      <w:r>
        <w:rPr>
          <w:rFonts w:hint="eastAsia" w:ascii="宋体" w:hAnsi="宋体" w:cs="宋体"/>
          <w:sz w:val="24"/>
          <w:szCs w:val="24"/>
        </w:rPr>
        <w:t>乙方对其所提交的服务成果质量负责，因成果质量问题而造成返工所发生的一切费用由乙方自理，造成甲方损失的还应予以赔偿。</w:t>
      </w:r>
    </w:p>
    <w:p w14:paraId="2457C857">
      <w:pPr>
        <w:pStyle w:val="45"/>
        <w:spacing w:line="360" w:lineRule="auto"/>
        <w:ind w:firstLine="480" w:firstLineChars="200"/>
        <w:rPr>
          <w:rFonts w:hint="eastAsia" w:ascii="宋体" w:hAnsi="宋体" w:cs="宋体"/>
          <w:sz w:val="24"/>
          <w:szCs w:val="24"/>
        </w:rPr>
      </w:pPr>
      <w:r>
        <w:rPr>
          <w:rFonts w:hint="eastAsia" w:ascii="宋体" w:hAnsi="宋体" w:cs="宋体"/>
          <w:bCs/>
          <w:sz w:val="24"/>
          <w:szCs w:val="24"/>
        </w:rPr>
        <w:t>5.</w:t>
      </w:r>
      <w:r>
        <w:rPr>
          <w:rFonts w:hint="eastAsia" w:ascii="宋体" w:hAnsi="宋体" w:cs="宋体"/>
          <w:sz w:val="24"/>
          <w:szCs w:val="24"/>
        </w:rPr>
        <w:t>乙方交付服务成果后，按规定参加</w:t>
      </w:r>
      <w:r>
        <w:rPr>
          <w:rFonts w:hint="eastAsia" w:ascii="宋体" w:hAnsi="宋体" w:cs="宋体"/>
          <w:sz w:val="24"/>
          <w:szCs w:val="24"/>
          <w:lang w:eastAsia="zh-CN"/>
        </w:rPr>
        <w:t>甲方或者</w:t>
      </w:r>
      <w:r>
        <w:rPr>
          <w:rFonts w:hint="eastAsia" w:ascii="宋体" w:hAnsi="宋体" w:cs="宋体"/>
          <w:sz w:val="24"/>
          <w:szCs w:val="24"/>
        </w:rPr>
        <w:t>有关主管部门的审查，</w:t>
      </w:r>
      <w:r>
        <w:rPr>
          <w:rFonts w:hint="eastAsia" w:ascii="宋体" w:hAnsi="宋体" w:cs="宋体"/>
          <w:sz w:val="24"/>
          <w:szCs w:val="24"/>
          <w:lang w:eastAsia="zh-CN"/>
        </w:rPr>
        <w:t>配合甲方开展成果评审验收，</w:t>
      </w:r>
      <w:r>
        <w:rPr>
          <w:rFonts w:hint="eastAsia" w:ascii="宋体" w:hAnsi="宋体" w:cs="宋体"/>
          <w:sz w:val="24"/>
          <w:szCs w:val="24"/>
        </w:rPr>
        <w:t>并负责根据审查</w:t>
      </w:r>
      <w:r>
        <w:rPr>
          <w:rFonts w:hint="eastAsia" w:ascii="宋体" w:hAnsi="宋体" w:cs="宋体"/>
          <w:sz w:val="24"/>
          <w:szCs w:val="24"/>
          <w:lang w:eastAsia="zh-CN"/>
        </w:rPr>
        <w:t>、评审</w:t>
      </w:r>
      <w:r>
        <w:rPr>
          <w:rFonts w:hint="eastAsia" w:ascii="宋体" w:hAnsi="宋体" w:cs="宋体"/>
          <w:sz w:val="24"/>
          <w:szCs w:val="24"/>
        </w:rPr>
        <w:t>结论做必要调整补充完善，直至项目通过验收。</w:t>
      </w:r>
    </w:p>
    <w:p w14:paraId="5092D2A4">
      <w:pPr>
        <w:pStyle w:val="45"/>
        <w:spacing w:line="360" w:lineRule="auto"/>
        <w:ind w:firstLine="480" w:firstLineChars="200"/>
        <w:rPr>
          <w:rFonts w:hint="eastAsia" w:ascii="宋体" w:hAnsi="宋体" w:cs="宋体"/>
          <w:sz w:val="24"/>
          <w:szCs w:val="24"/>
        </w:rPr>
      </w:pPr>
      <w:r>
        <w:rPr>
          <w:rFonts w:hint="eastAsia" w:ascii="宋体" w:hAnsi="宋体" w:cs="宋体"/>
          <w:bCs/>
          <w:sz w:val="24"/>
          <w:szCs w:val="24"/>
        </w:rPr>
        <w:t>6.</w:t>
      </w:r>
      <w:r>
        <w:rPr>
          <w:rFonts w:hint="eastAsia" w:ascii="宋体" w:hAnsi="宋体" w:cs="宋体"/>
          <w:sz w:val="24"/>
          <w:szCs w:val="24"/>
        </w:rPr>
        <w:t>乙方应安排投标文件中承诺的人员投入工作，并在服务过程中保持人员的相对稳定。在项目服务期间，未经甲方批准，乙方不得更换项目负责人。如果服务人员(含后续服务人员)不能胜任工作、渎职或从事其他违法活动，甲方有权提出更换要求，乙方应立即派出不低于原服务人员相应资历的人员替换并征得甲方同意。乙方在事先取得甲方的同意后可以更换其所派驻现场的人员，但应符合合同规定的资历要求。</w:t>
      </w:r>
    </w:p>
    <w:p w14:paraId="5F0609B6">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7.乙方不得将本合同规定的服务任务转包。</w:t>
      </w:r>
    </w:p>
    <w:p w14:paraId="52820FDE">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8.乙方的工作进度没有达到投标文件中承诺的进度计划时，甲方有权提出要求增加服务人员，乙方应立即安排，其费用被认为已包含在报价之中，甲方不另行支付费用。</w:t>
      </w:r>
    </w:p>
    <w:p w14:paraId="66A72E57">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9.乙方在进行外业踏勘等工作时，应采取相应的安全、保卫和环境保护措施，因乙方未能采取有效措施而发生的与本项目服务活动有关的人身伤亡、罚款、索赔、损失赔偿、诉讼及其他一切责任应由乙方负责。</w:t>
      </w:r>
    </w:p>
    <w:p w14:paraId="413793B1">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10.乙方服务过程中，提供的成果文件不应侵犯任何第三方的专利权、版权、及其他知识产权，否则由此而引起索赔或诉讼，乙方应承担全部责任，并保障甲方免于承担由此造成的一切损害和损失。</w:t>
      </w:r>
    </w:p>
    <w:p w14:paraId="1F43BC8E">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12.承担履行合同过程中乙方的人身和财产安全责任。</w:t>
      </w:r>
    </w:p>
    <w:p w14:paraId="62E54B28">
      <w:pPr>
        <w:pStyle w:val="45"/>
        <w:spacing w:line="360" w:lineRule="auto"/>
        <w:ind w:firstLine="482" w:firstLineChars="200"/>
        <w:rPr>
          <w:rFonts w:hint="eastAsia" w:ascii="宋体" w:hAnsi="宋体" w:cs="宋体"/>
          <w:b/>
          <w:bCs/>
          <w:sz w:val="24"/>
          <w:szCs w:val="24"/>
        </w:rPr>
      </w:pPr>
      <w:r>
        <w:rPr>
          <w:rFonts w:hint="eastAsia" w:ascii="宋体" w:hAnsi="宋体" w:cs="宋体"/>
          <w:b/>
          <w:bCs/>
          <w:sz w:val="24"/>
          <w:szCs w:val="24"/>
        </w:rPr>
        <w:t>第七条 知识产权</w:t>
      </w:r>
    </w:p>
    <w:p w14:paraId="10B754DD">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1.在本合同有效期内，按合同约定所完成的与本服务内容相关的新的技术成果，全部归</w:t>
      </w:r>
      <w:r>
        <w:rPr>
          <w:rFonts w:hint="eastAsia" w:ascii="宋体" w:hAnsi="宋体" w:cs="宋体"/>
          <w:sz w:val="24"/>
          <w:szCs w:val="24"/>
          <w:u w:val="single"/>
        </w:rPr>
        <w:t>甲</w:t>
      </w:r>
      <w:r>
        <w:rPr>
          <w:rFonts w:hint="eastAsia" w:ascii="宋体" w:hAnsi="宋体" w:cs="宋体"/>
          <w:sz w:val="24"/>
          <w:szCs w:val="24"/>
        </w:rPr>
        <w:t>方所有。</w:t>
      </w:r>
    </w:p>
    <w:p w14:paraId="29713B43">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2.乙方就本项目工作成果，未经甲方同意，乙方不得向第三方提供或用于本合同以外的项目，否则甲方有权追究乙方的责任。</w:t>
      </w:r>
    </w:p>
    <w:p w14:paraId="6C3A34E8">
      <w:pPr>
        <w:pStyle w:val="45"/>
        <w:spacing w:line="360" w:lineRule="auto"/>
        <w:ind w:firstLine="482" w:firstLineChars="200"/>
        <w:rPr>
          <w:rFonts w:hint="eastAsia" w:ascii="宋体" w:hAnsi="宋体" w:cs="宋体"/>
          <w:b/>
          <w:bCs/>
          <w:sz w:val="24"/>
          <w:szCs w:val="24"/>
        </w:rPr>
      </w:pPr>
      <w:r>
        <w:rPr>
          <w:rFonts w:hint="eastAsia" w:ascii="宋体" w:hAnsi="宋体" w:cs="宋体"/>
          <w:b/>
          <w:bCs/>
          <w:sz w:val="24"/>
          <w:szCs w:val="24"/>
        </w:rPr>
        <w:t>第八条 保密规定</w:t>
      </w:r>
    </w:p>
    <w:p w14:paraId="2577ED9F">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双方确定因履行本合同应遵守的保密义务如下：</w:t>
      </w:r>
    </w:p>
    <w:p w14:paraId="50B25183">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本协议项下保密信息的保密期限自本协议生效之日起至保密信息公开之日或信息提供方许可公开之日止。双方业务合作事宜的终止、失败或者完成不影响本协议所规定的保密义务的履行。</w:t>
      </w:r>
    </w:p>
    <w:p w14:paraId="75FEF648">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1.甲方和乙方双方均不得将本合同中的内容及在本合同执行过程中获得的对方商业信息、技术秘密及其他经营管理、技术等相关信息向任何第三方泄露。本合同无论期满、解除或终止，保密义务仍然有效。双方认可，作为乙方公司的员工或涉及项目的相关人员，除应履行一般的保密义务外，就该项目所涉的任何国家秘密、商业秘密，乙方应均予以严格保密。</w:t>
      </w:r>
    </w:p>
    <w:p w14:paraId="206F6D20">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2.甲方向乙方提供的所有资料均为保密资料，乙方除在履行本合同下义务时可向受雇于乙方的相关研究人员透露外，不能在任何情况下(包括本合同有效期内及之后)向第三者透露。</w:t>
      </w:r>
    </w:p>
    <w:p w14:paraId="5450003B">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3.乙方服务人员在甲方处工作或参与项目期间，乙方违反保密规定的，虽未造成甲方、甲方关联单位经济、利益、声誉等各种损失，但给甲方正常经营活动带来不便的，甲方有权将乙方服务人员调离项目，并根据规章制度予以处罚；情节严重的，甲方有权无条件解除与乙方的合同关系，乙方应当给予甲方相应的损害赔偿。</w:t>
      </w:r>
    </w:p>
    <w:p w14:paraId="57A2146B">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4.乙方在甲方处工作或参与该项目期间，乙方违反保密规定的，造成甲方、甲方关联单位及经济、利益、声誉等损失的，甲方有权要求乙方赔偿甲方相应的损失并无条件与乙方解除合同关系；构成犯罪的，甲方将上报相关部门，依法追究乙方刑事责任。</w:t>
      </w:r>
    </w:p>
    <w:p w14:paraId="287ED774">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5.项目完成/终止后或甲方与乙方的合同终止或解除，乙方违反保密规定的，甲方仍有权依法追究乙方全部的赔偿责任。</w:t>
      </w:r>
    </w:p>
    <w:p w14:paraId="06F4164A">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6.乙方违反保密义务的，应向甲方支付一万元/次的违约金，并赔偿甲方因此而遭受的损失。</w:t>
      </w:r>
    </w:p>
    <w:p w14:paraId="1E17D8ED">
      <w:pPr>
        <w:pStyle w:val="45"/>
        <w:spacing w:line="360" w:lineRule="auto"/>
        <w:ind w:firstLine="482" w:firstLineChars="200"/>
        <w:rPr>
          <w:rFonts w:hint="eastAsia" w:ascii="宋体" w:hAnsi="宋体" w:cs="宋体"/>
          <w:b/>
          <w:bCs/>
          <w:sz w:val="24"/>
          <w:szCs w:val="24"/>
        </w:rPr>
      </w:pPr>
      <w:r>
        <w:rPr>
          <w:rFonts w:hint="eastAsia" w:ascii="宋体" w:hAnsi="宋体" w:cs="宋体"/>
          <w:b/>
          <w:bCs/>
          <w:sz w:val="24"/>
          <w:szCs w:val="24"/>
        </w:rPr>
        <w:t>第九条 违约责任</w:t>
      </w:r>
    </w:p>
    <w:p w14:paraId="25F7CEEF">
      <w:pPr>
        <w:pStyle w:val="45"/>
        <w:spacing w:line="360" w:lineRule="auto"/>
        <w:ind w:firstLine="482" w:firstLineChars="200"/>
        <w:rPr>
          <w:rFonts w:hint="eastAsia" w:ascii="宋体" w:hAnsi="宋体" w:cs="宋体"/>
          <w:b/>
          <w:sz w:val="24"/>
          <w:szCs w:val="24"/>
        </w:rPr>
      </w:pPr>
      <w:r>
        <w:rPr>
          <w:rFonts w:hint="eastAsia" w:ascii="宋体" w:hAnsi="宋体" w:cs="宋体"/>
          <w:b/>
          <w:sz w:val="24"/>
          <w:szCs w:val="24"/>
        </w:rPr>
        <w:t>（一）甲方违约责任</w:t>
      </w:r>
    </w:p>
    <w:p w14:paraId="351D8E90">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1.本项目经费为政府资金，视经费到位情况并按照国库集中支付或政府部门预算管理规定等国家相关规定办理支付，因政府资金不能按时到位导致不能及时付款的，不视为甲方违约。</w:t>
      </w:r>
    </w:p>
    <w:p w14:paraId="07409DD3">
      <w:pPr>
        <w:pStyle w:val="45"/>
        <w:spacing w:line="360" w:lineRule="auto"/>
        <w:ind w:firstLine="480" w:firstLineChars="200"/>
        <w:rPr>
          <w:rFonts w:hint="eastAsia" w:ascii="宋体" w:hAnsi="宋体" w:eastAsia="宋体" w:cs="宋体"/>
          <w:sz w:val="24"/>
          <w:szCs w:val="24"/>
          <w:lang w:eastAsia="zh-CN"/>
        </w:rPr>
      </w:pPr>
      <w:r>
        <w:rPr>
          <w:rFonts w:hint="eastAsia" w:ascii="宋体" w:hAnsi="宋体" w:cs="宋体"/>
          <w:sz w:val="24"/>
          <w:szCs w:val="24"/>
        </w:rPr>
        <w:t>2.在合同履行期间，甲方要求终止或解除合同（非乙方原因）</w:t>
      </w:r>
      <w:r>
        <w:rPr>
          <w:rFonts w:hint="eastAsia" w:ascii="宋体" w:hAnsi="宋体" w:cs="宋体"/>
          <w:sz w:val="24"/>
          <w:szCs w:val="24"/>
          <w:lang w:eastAsia="zh-CN"/>
        </w:rPr>
        <w:t>的</w:t>
      </w:r>
      <w:r>
        <w:rPr>
          <w:rFonts w:hint="eastAsia" w:ascii="宋体" w:hAnsi="宋体" w:cs="宋体"/>
          <w:sz w:val="24"/>
          <w:szCs w:val="24"/>
        </w:rPr>
        <w:t>，甲方应按乙方完成的实际工作量支付费用</w:t>
      </w:r>
      <w:r>
        <w:rPr>
          <w:rFonts w:hint="eastAsia" w:ascii="宋体" w:hAnsi="宋体" w:cs="宋体"/>
          <w:sz w:val="24"/>
          <w:szCs w:val="24"/>
          <w:lang w:eastAsia="zh-CN"/>
        </w:rPr>
        <w:t>。</w:t>
      </w:r>
    </w:p>
    <w:p w14:paraId="2C661099">
      <w:pPr>
        <w:pStyle w:val="45"/>
        <w:spacing w:line="360" w:lineRule="auto"/>
        <w:ind w:firstLine="482" w:firstLineChars="200"/>
        <w:rPr>
          <w:rFonts w:hint="eastAsia" w:ascii="宋体" w:hAnsi="宋体" w:cs="宋体"/>
          <w:b/>
          <w:sz w:val="24"/>
          <w:szCs w:val="24"/>
        </w:rPr>
      </w:pPr>
      <w:r>
        <w:rPr>
          <w:rFonts w:hint="eastAsia" w:ascii="宋体" w:hAnsi="宋体" w:cs="宋体"/>
          <w:b/>
          <w:sz w:val="24"/>
          <w:szCs w:val="24"/>
        </w:rPr>
        <w:t>（二）乙方违约责任</w:t>
      </w:r>
    </w:p>
    <w:p w14:paraId="2B6F1417">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1.乙方不得转包本合同项目，否则甲方有权解除合同并要求乙方退还所有已付费用，同时，乙方支付甲方签约合同总价5%的违约金并赔偿甲方因此遭受的全部损失。</w:t>
      </w:r>
    </w:p>
    <w:p w14:paraId="32BFFF37">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2.乙方的项目负责人和其他人员应与响应文件所承诺的名单一致，未经甲方同意，上述人员不应无故不到位或被替换(但因不可抗力引起的人员变动除外)；发生以上情况，甲方书面提醒后，乙方仍未整改的，乙方将被处以人民币壹万元/人次的违约金，由此引起的责任由乙方负责，甲方有权解除合同，乙方自行承担已发生的费用。</w:t>
      </w:r>
    </w:p>
    <w:p w14:paraId="277F82F9">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3.乙方未按本合同规定完成合同工作（含提交成果文件）的，乙方须向甲方支付延期违约金，每延期一天按合同总额的0.2‰计算。拖期超过30天，甲方有权单方解除合同，给甲方造成损失的，乙方负责赔偿，甲方的损失包括但不限于诉讼费、保全费、保全保险费、律师费等费用。</w:t>
      </w:r>
    </w:p>
    <w:p w14:paraId="51420D4F">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4.在合同履行期间，乙方无故要求终止或解除合同，乙方应退还甲方已支付的全部费用，并向甲方支付签约合同总价5%的违约金且赔偿甲方因此遭受的全部损失。</w:t>
      </w:r>
    </w:p>
    <w:p w14:paraId="060B4641">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5.乙方未按本合同规定开展研究工作，导致甲方按照乙方提交的研究成果作出决策造成损失的，由乙方承担，且乙方应向甲方支付签约合同总价5%的违约金并赔偿甲方损失。</w:t>
      </w:r>
    </w:p>
    <w:p w14:paraId="7AB9ADED">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6.乙方在本项目的人员应当具备法律规定、行业规定的相关资质并对其工作期间的行为负责。若乙方指派人员在工作中因故意或重大过失给甲方造成损失的，由乙方承担全部法律责任。</w:t>
      </w:r>
    </w:p>
    <w:p w14:paraId="35AACCA0">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7.因乙方违约产生的一切法律纠纷，造成甲方所产生的包括但不限于律师费、诉讼费、仲裁费、评估鉴定费以及承担的损失、赔偿责任等，均由乙方承担。</w:t>
      </w:r>
    </w:p>
    <w:p w14:paraId="5B182F34">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8.本合同项下的违约金和赔偿，甲方均有权从应付给乙方的款项或履约保证金中扣除，不足部分由乙方补足。前述条款约定的违约金和赔偿不足以弥补甲方损失的，乙方应继续赔偿甲方的损失，在收到甲方书面通知后三日内另行支付。</w:t>
      </w:r>
    </w:p>
    <w:p w14:paraId="7F3CBB46">
      <w:pPr>
        <w:pStyle w:val="45"/>
        <w:spacing w:line="360" w:lineRule="auto"/>
        <w:ind w:firstLine="482" w:firstLineChars="200"/>
        <w:rPr>
          <w:rFonts w:hint="eastAsia" w:ascii="宋体" w:hAnsi="宋体" w:cs="宋体"/>
          <w:sz w:val="24"/>
          <w:szCs w:val="24"/>
        </w:rPr>
      </w:pPr>
      <w:r>
        <w:rPr>
          <w:rFonts w:hint="eastAsia" w:ascii="宋体" w:hAnsi="宋体" w:cs="宋体"/>
          <w:b/>
          <w:bCs/>
          <w:sz w:val="24"/>
          <w:szCs w:val="24"/>
        </w:rPr>
        <w:t>第十条 分包</w:t>
      </w:r>
    </w:p>
    <w:p w14:paraId="3A65D1EE">
      <w:pPr>
        <w:pStyle w:val="45"/>
        <w:spacing w:line="360" w:lineRule="auto"/>
        <w:ind w:firstLine="482" w:firstLineChars="200"/>
        <w:rPr>
          <w:rFonts w:hint="eastAsia" w:ascii="宋体" w:hAnsi="宋体" w:cs="宋体"/>
          <w:sz w:val="24"/>
          <w:szCs w:val="24"/>
        </w:rPr>
      </w:pPr>
      <w:r>
        <w:rPr>
          <w:rFonts w:hint="eastAsia" w:ascii="宋体" w:hAnsi="宋体" w:cs="宋体"/>
          <w:b/>
          <w:bCs/>
          <w:sz w:val="24"/>
          <w:szCs w:val="24"/>
          <w:lang w:eastAsia="zh-CN"/>
        </w:rPr>
        <w:t>本项目不允许分包</w:t>
      </w:r>
      <w:r>
        <w:rPr>
          <w:rFonts w:hint="eastAsia" w:ascii="宋体" w:hAnsi="宋体" w:cs="宋体"/>
          <w:b/>
          <w:bCs/>
          <w:sz w:val="24"/>
          <w:szCs w:val="24"/>
        </w:rPr>
        <w:t>。</w:t>
      </w:r>
    </w:p>
    <w:p w14:paraId="7AFE345B">
      <w:pPr>
        <w:pStyle w:val="45"/>
        <w:spacing w:line="360" w:lineRule="auto"/>
        <w:ind w:firstLine="482" w:firstLineChars="200"/>
        <w:rPr>
          <w:rFonts w:hint="eastAsia" w:ascii="宋体" w:hAnsi="宋体" w:cs="宋体"/>
          <w:sz w:val="24"/>
          <w:szCs w:val="24"/>
        </w:rPr>
      </w:pPr>
      <w:r>
        <w:rPr>
          <w:rFonts w:hint="eastAsia" w:ascii="宋体" w:hAnsi="宋体" w:cs="宋体"/>
          <w:b/>
          <w:bCs/>
          <w:sz w:val="24"/>
          <w:szCs w:val="24"/>
        </w:rPr>
        <w:t>第十一条 不可抗力</w:t>
      </w:r>
    </w:p>
    <w:p w14:paraId="42A9A72D">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本合同所称不可抗力是指不能预见、不能克服、不能避免并对一方当事人造成重大影响的客观事件，如洪水、泥石流、地震、火灾、风暴等自然现象以及战争、动乱、政府行为等社会事件。</w:t>
      </w:r>
    </w:p>
    <w:p w14:paraId="4C98CFC4">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发生不可抗力事件，一方在本合同项下受不可抗力影响的义务在不可抗力造成的延误期间自动中止，其履行期限应自动延长，延长期间为中止的期间，该方无须为此承担违约责任。</w:t>
      </w:r>
    </w:p>
    <w:p w14:paraId="7FBB0D71">
      <w:pPr>
        <w:pStyle w:val="45"/>
        <w:spacing w:line="360" w:lineRule="auto"/>
        <w:ind w:firstLine="482" w:firstLineChars="200"/>
        <w:rPr>
          <w:rFonts w:hint="eastAsia" w:ascii="宋体" w:hAnsi="宋体" w:cs="宋体"/>
          <w:sz w:val="24"/>
          <w:szCs w:val="24"/>
        </w:rPr>
      </w:pPr>
      <w:r>
        <w:rPr>
          <w:rFonts w:hint="eastAsia" w:ascii="宋体" w:hAnsi="宋体" w:cs="宋体"/>
          <w:b/>
          <w:bCs/>
          <w:sz w:val="24"/>
          <w:szCs w:val="24"/>
        </w:rPr>
        <w:t>第十二条 争议的解决</w:t>
      </w:r>
    </w:p>
    <w:p w14:paraId="4689007D">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本合同争议的解决方式是：因本合同发生的或与本合同有关的任何争议，均提请</w:t>
      </w:r>
      <w:r>
        <w:rPr>
          <w:rFonts w:hint="eastAsia" w:ascii="宋体" w:hAnsi="宋体" w:cs="宋体"/>
          <w:sz w:val="24"/>
          <w:szCs w:val="24"/>
          <w:lang w:eastAsia="zh-CN"/>
        </w:rPr>
        <w:t>北海仲裁委员会</w:t>
      </w:r>
      <w:r>
        <w:rPr>
          <w:rFonts w:hint="eastAsia" w:ascii="宋体" w:hAnsi="宋体" w:cs="宋体"/>
          <w:sz w:val="24"/>
          <w:szCs w:val="24"/>
        </w:rPr>
        <w:t>按照该会仲裁规则进行仲裁。仲裁裁决是终局的，对双方均有约束力</w:t>
      </w:r>
    </w:p>
    <w:p w14:paraId="2D0F364E">
      <w:pPr>
        <w:pStyle w:val="45"/>
        <w:spacing w:line="360" w:lineRule="auto"/>
        <w:ind w:firstLine="482" w:firstLineChars="200"/>
        <w:rPr>
          <w:rFonts w:hint="eastAsia" w:ascii="宋体" w:hAnsi="宋体" w:cs="宋体"/>
          <w:sz w:val="24"/>
          <w:szCs w:val="24"/>
        </w:rPr>
      </w:pPr>
      <w:r>
        <w:rPr>
          <w:rFonts w:hint="eastAsia" w:ascii="宋体" w:hAnsi="宋体" w:cs="宋体"/>
          <w:b/>
          <w:bCs/>
          <w:sz w:val="24"/>
          <w:szCs w:val="24"/>
        </w:rPr>
        <w:t xml:space="preserve">第十三条 </w:t>
      </w:r>
      <w:r>
        <w:rPr>
          <w:rFonts w:hint="eastAsia" w:ascii="宋体" w:hAnsi="宋体" w:cs="宋体"/>
          <w:sz w:val="24"/>
          <w:szCs w:val="24"/>
        </w:rPr>
        <w:t>甲乙双方应当通过正常途径开展相关业务工作，自觉遵守国家关于廉政建设的各项规定。</w:t>
      </w:r>
    </w:p>
    <w:p w14:paraId="51B07D32">
      <w:pPr>
        <w:pStyle w:val="45"/>
        <w:spacing w:line="360" w:lineRule="auto"/>
        <w:ind w:firstLine="482" w:firstLineChars="200"/>
        <w:rPr>
          <w:rFonts w:hint="eastAsia" w:ascii="宋体" w:hAnsi="宋体" w:cs="宋体"/>
          <w:b/>
          <w:bCs/>
          <w:sz w:val="24"/>
          <w:szCs w:val="24"/>
        </w:rPr>
      </w:pPr>
      <w:r>
        <w:rPr>
          <w:rFonts w:hint="eastAsia" w:ascii="宋体" w:hAnsi="宋体" w:cs="宋体"/>
          <w:b/>
          <w:bCs/>
          <w:sz w:val="24"/>
          <w:szCs w:val="24"/>
        </w:rPr>
        <w:t>第十四条 履约验收方案</w:t>
      </w:r>
    </w:p>
    <w:p w14:paraId="50B76262">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1.履约验收主体</w:t>
      </w:r>
    </w:p>
    <w:p w14:paraId="3961B396">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由甲方按照《广西壮族自治区港航发展中心</w:t>
      </w:r>
      <w:r>
        <w:rPr>
          <w:rFonts w:hint="eastAsia" w:ascii="宋体" w:hAnsi="宋体" w:cs="宋体"/>
          <w:sz w:val="24"/>
          <w:szCs w:val="24"/>
          <w:lang w:eastAsia="zh-CN"/>
        </w:rPr>
        <w:t>自行采购管理办法</w:t>
      </w:r>
      <w:r>
        <w:rPr>
          <w:rFonts w:hint="eastAsia" w:ascii="宋体" w:hAnsi="宋体" w:cs="宋体"/>
          <w:sz w:val="24"/>
          <w:szCs w:val="24"/>
        </w:rPr>
        <w:t>》有关规定，组织履约验收。</w:t>
      </w:r>
    </w:p>
    <w:p w14:paraId="45EDD537">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2.履约验收时间</w:t>
      </w:r>
    </w:p>
    <w:p w14:paraId="686332B1">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按照《广西壮族自治区港航发展中心</w:t>
      </w:r>
      <w:r>
        <w:rPr>
          <w:rFonts w:hint="eastAsia" w:ascii="宋体" w:hAnsi="宋体" w:cs="宋体"/>
          <w:sz w:val="24"/>
          <w:szCs w:val="24"/>
          <w:lang w:eastAsia="zh-CN"/>
        </w:rPr>
        <w:t>自行采购管理办法</w:t>
      </w:r>
      <w:r>
        <w:rPr>
          <w:rFonts w:hint="eastAsia" w:ascii="宋体" w:hAnsi="宋体" w:cs="宋体"/>
          <w:sz w:val="24"/>
          <w:szCs w:val="24"/>
        </w:rPr>
        <w:t xml:space="preserve">》规定。 </w:t>
      </w:r>
    </w:p>
    <w:p w14:paraId="40B5CC57">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3.履约验收方式</w:t>
      </w:r>
    </w:p>
    <w:p w14:paraId="75CE13E2">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本项目采取采购人自行验收方式实施履约验收。</w:t>
      </w:r>
    </w:p>
    <w:p w14:paraId="25830C07">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4.履约验收程序</w:t>
      </w:r>
    </w:p>
    <w:p w14:paraId="43433960">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按照《广西壮族自治区港航发展中心</w:t>
      </w:r>
      <w:r>
        <w:rPr>
          <w:rFonts w:hint="eastAsia" w:ascii="宋体" w:hAnsi="宋体" w:cs="宋体"/>
          <w:sz w:val="24"/>
          <w:szCs w:val="24"/>
          <w:lang w:eastAsia="zh-CN"/>
        </w:rPr>
        <w:t>自行采购管理办法</w:t>
      </w:r>
      <w:r>
        <w:rPr>
          <w:rFonts w:hint="eastAsia" w:ascii="宋体" w:hAnsi="宋体" w:cs="宋体"/>
          <w:sz w:val="24"/>
          <w:szCs w:val="24"/>
        </w:rPr>
        <w:t>》有关规定，验收程序和要求如下：</w:t>
      </w:r>
    </w:p>
    <w:p w14:paraId="15FCF449">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（1）成立验收小组。验收小组原则上应由三人以上单数组成，验收小组组长由采购部门的负责人担任，</w:t>
      </w:r>
      <w:r>
        <w:rPr>
          <w:rFonts w:hint="eastAsia" w:ascii="宋体" w:hAnsi="宋体" w:cs="宋体"/>
          <w:sz w:val="24"/>
          <w:szCs w:val="24"/>
          <w:lang w:eastAsia="zh-CN"/>
        </w:rPr>
        <w:t>成员为原合议小组成员，</w:t>
      </w:r>
      <w:r>
        <w:rPr>
          <w:rFonts w:hint="eastAsia" w:ascii="宋体" w:hAnsi="宋体" w:cs="宋体"/>
          <w:sz w:val="24"/>
          <w:szCs w:val="24"/>
        </w:rPr>
        <w:t>并从相关业务部门安排1人作为监督人。如原合议小组成员因故无法参加，由派出部门另行指派人员参加。</w:t>
      </w:r>
    </w:p>
    <w:p w14:paraId="6C00802E">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（2）组织验收。验收小组应当按照采购合同对供应商的履约情况进行验收。</w:t>
      </w:r>
    </w:p>
    <w:p w14:paraId="718735DB">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验收小组应当结合合同项目验收清单和标准，对供应商的完成合同情况进行验收。</w:t>
      </w:r>
    </w:p>
    <w:p w14:paraId="363895C5">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（3）出具验收书。验收小组完成验收后，应当出具验收书，由所有验收人签字，作为支付采购尾款的必备资料。</w:t>
      </w:r>
    </w:p>
    <w:p w14:paraId="5E920038">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5.履约验收内容</w:t>
      </w:r>
    </w:p>
    <w:p w14:paraId="3F7D4203">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按合同约定完成</w:t>
      </w:r>
      <w:r>
        <w:rPr>
          <w:rFonts w:hint="eastAsia" w:ascii="宋体" w:hAnsi="宋体" w:cs="宋体"/>
          <w:sz w:val="24"/>
          <w:szCs w:val="24"/>
          <w:lang w:eastAsia="zh-CN"/>
        </w:rPr>
        <w:t>红水河（桥巩至宾港作业区）航道提升工程水生生态环境现状调查与评价服务</w:t>
      </w:r>
      <w:r>
        <w:rPr>
          <w:rFonts w:hint="eastAsia" w:ascii="宋体" w:hAnsi="宋体" w:cs="宋体"/>
          <w:sz w:val="24"/>
          <w:szCs w:val="24"/>
        </w:rPr>
        <w:t>。</w:t>
      </w:r>
    </w:p>
    <w:p w14:paraId="111D5F8E">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6.履约验收标准</w:t>
      </w:r>
    </w:p>
    <w:p w14:paraId="4DFBB166">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（1）在合同约定期限内完成</w:t>
      </w:r>
      <w:r>
        <w:rPr>
          <w:rFonts w:hint="eastAsia" w:ascii="宋体" w:hAnsi="宋体" w:cs="宋体"/>
          <w:sz w:val="24"/>
          <w:szCs w:val="24"/>
          <w:lang w:eastAsia="zh-CN"/>
        </w:rPr>
        <w:t>红水河（桥巩至宾港作业区）航道提升工程水生生态环境现状调查与评价服务</w:t>
      </w:r>
      <w:r>
        <w:rPr>
          <w:rFonts w:hint="eastAsia" w:ascii="宋体" w:hAnsi="宋体" w:cs="宋体"/>
          <w:sz w:val="24"/>
          <w:szCs w:val="24"/>
        </w:rPr>
        <w:t>，提交成果。</w:t>
      </w:r>
    </w:p>
    <w:p w14:paraId="25A0B3A0">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（2）成果文件应当符合现行相关国家标准、行业标准、地方标准等标准、规范，并通过采购人组织的专家评审验收。</w:t>
      </w:r>
    </w:p>
    <w:p w14:paraId="501C89A5">
      <w:pPr>
        <w:pStyle w:val="45"/>
        <w:spacing w:line="360" w:lineRule="auto"/>
        <w:ind w:firstLine="480" w:firstLineChars="200"/>
        <w:rPr>
          <w:rFonts w:hint="eastAsia" w:ascii="宋体" w:hAnsi="宋体" w:eastAsia="宋体" w:cs="宋体"/>
          <w:sz w:val="24"/>
          <w:szCs w:val="24"/>
          <w:lang w:eastAsia="zh-CN"/>
        </w:rPr>
      </w:pPr>
      <w:r>
        <w:rPr>
          <w:rFonts w:hint="eastAsia" w:ascii="宋体" w:hAnsi="宋体" w:cs="宋体"/>
          <w:sz w:val="24"/>
          <w:szCs w:val="24"/>
          <w:lang w:val="en-US" w:eastAsia="zh-CN"/>
        </w:rPr>
        <w:t>7</w:t>
      </w:r>
      <w:r>
        <w:rPr>
          <w:rFonts w:hint="eastAsia" w:ascii="宋体" w:hAnsi="宋体" w:cs="宋体"/>
          <w:sz w:val="24"/>
          <w:szCs w:val="24"/>
        </w:rPr>
        <w:t>.履约验收</w:t>
      </w:r>
      <w:r>
        <w:rPr>
          <w:rFonts w:hint="eastAsia" w:ascii="宋体" w:hAnsi="宋体" w:cs="宋体"/>
          <w:sz w:val="24"/>
          <w:szCs w:val="24"/>
          <w:lang w:eastAsia="zh-CN"/>
        </w:rPr>
        <w:t>其他事项</w:t>
      </w:r>
    </w:p>
    <w:p w14:paraId="23C99D89">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履约验收相关费用（如有）由</w:t>
      </w:r>
      <w:r>
        <w:rPr>
          <w:rFonts w:hint="eastAsia" w:ascii="宋体" w:hAnsi="宋体" w:cs="宋体"/>
          <w:sz w:val="24"/>
          <w:szCs w:val="24"/>
          <w:lang w:eastAsia="zh-CN"/>
        </w:rPr>
        <w:t>乙方</w:t>
      </w:r>
      <w:r>
        <w:rPr>
          <w:rFonts w:hint="eastAsia" w:ascii="宋体" w:hAnsi="宋体" w:cs="宋体"/>
          <w:sz w:val="24"/>
          <w:szCs w:val="24"/>
        </w:rPr>
        <w:t>承担。</w:t>
      </w:r>
    </w:p>
    <w:p w14:paraId="15DA7B57">
      <w:pPr>
        <w:pStyle w:val="45"/>
        <w:spacing w:line="360" w:lineRule="auto"/>
        <w:ind w:firstLine="482" w:firstLineChars="200"/>
        <w:rPr>
          <w:rFonts w:hint="eastAsia" w:ascii="宋体" w:hAnsi="宋体" w:cs="宋体"/>
          <w:sz w:val="24"/>
          <w:szCs w:val="24"/>
        </w:rPr>
      </w:pPr>
      <w:r>
        <w:rPr>
          <w:rFonts w:hint="eastAsia" w:ascii="宋体" w:hAnsi="宋体" w:cs="宋体"/>
          <w:b/>
          <w:bCs/>
          <w:sz w:val="24"/>
          <w:szCs w:val="24"/>
        </w:rPr>
        <w:t xml:space="preserve">第十五条 </w:t>
      </w:r>
      <w:r>
        <w:rPr>
          <w:rFonts w:hint="eastAsia" w:ascii="宋体" w:hAnsi="宋体" w:cs="宋体"/>
          <w:sz w:val="24"/>
          <w:szCs w:val="24"/>
        </w:rPr>
        <w:t>本合同未尽事宜，由甲方和乙方双方协商并签订补充协议，补充协议与本合同不一致的，以补充协议为准。</w:t>
      </w:r>
    </w:p>
    <w:p w14:paraId="16F08960">
      <w:pPr>
        <w:pStyle w:val="45"/>
        <w:spacing w:line="360" w:lineRule="auto"/>
        <w:ind w:firstLine="482" w:firstLineChars="200"/>
        <w:rPr>
          <w:rFonts w:hint="eastAsia" w:ascii="宋体" w:hAnsi="宋体" w:cs="宋体"/>
          <w:sz w:val="24"/>
          <w:szCs w:val="24"/>
        </w:rPr>
      </w:pPr>
      <w:r>
        <w:rPr>
          <w:rFonts w:hint="eastAsia" w:ascii="宋体" w:hAnsi="宋体" w:cs="宋体"/>
          <w:b/>
          <w:bCs/>
          <w:sz w:val="24"/>
          <w:szCs w:val="24"/>
        </w:rPr>
        <w:t xml:space="preserve">第十六条 </w:t>
      </w:r>
      <w:r>
        <w:rPr>
          <w:rFonts w:hint="eastAsia" w:ascii="宋体" w:hAnsi="宋体" w:cs="宋体"/>
          <w:sz w:val="24"/>
          <w:szCs w:val="24"/>
        </w:rPr>
        <w:t>本合同一式</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cs="宋体"/>
          <w:sz w:val="24"/>
          <w:szCs w:val="24"/>
          <w:u w:val="single"/>
        </w:rPr>
        <w:t xml:space="preserve"> </w:t>
      </w:r>
      <w:r>
        <w:rPr>
          <w:rFonts w:hint="eastAsia" w:ascii="宋体" w:hAnsi="宋体" w:cs="宋体"/>
          <w:sz w:val="24"/>
          <w:szCs w:val="24"/>
        </w:rPr>
        <w:t>份，甲方执</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cs="宋体"/>
          <w:sz w:val="24"/>
          <w:szCs w:val="24"/>
          <w:u w:val="single"/>
        </w:rPr>
        <w:t xml:space="preserve"> </w:t>
      </w:r>
      <w:r>
        <w:rPr>
          <w:rFonts w:hint="eastAsia" w:ascii="宋体" w:hAnsi="宋体" w:cs="宋体"/>
          <w:sz w:val="24"/>
          <w:szCs w:val="24"/>
        </w:rPr>
        <w:t>份，乙方各执</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cs="宋体"/>
          <w:sz w:val="24"/>
          <w:szCs w:val="24"/>
          <w:u w:val="single"/>
        </w:rPr>
        <w:t xml:space="preserve"> </w:t>
      </w:r>
      <w:r>
        <w:rPr>
          <w:rFonts w:hint="eastAsia" w:ascii="宋体" w:hAnsi="宋体" w:cs="宋体"/>
          <w:sz w:val="24"/>
          <w:szCs w:val="24"/>
        </w:rPr>
        <w:t>份，具有同等法律效力。</w:t>
      </w:r>
    </w:p>
    <w:p w14:paraId="3E50974B">
      <w:pPr>
        <w:pStyle w:val="45"/>
        <w:spacing w:line="360" w:lineRule="auto"/>
        <w:ind w:firstLine="482" w:firstLineChars="200"/>
        <w:rPr>
          <w:rFonts w:hint="eastAsia" w:ascii="宋体" w:hAnsi="宋体" w:cs="宋体"/>
          <w:color w:val="000000"/>
          <w:sz w:val="24"/>
          <w:szCs w:val="24"/>
        </w:rPr>
      </w:pPr>
      <w:r>
        <w:rPr>
          <w:rFonts w:hint="eastAsia" w:ascii="宋体" w:hAnsi="宋体" w:cs="宋体"/>
          <w:b/>
          <w:bCs/>
          <w:sz w:val="24"/>
          <w:szCs w:val="24"/>
        </w:rPr>
        <w:t xml:space="preserve">第十七条 </w:t>
      </w:r>
      <w:r>
        <w:rPr>
          <w:rFonts w:hint="eastAsia" w:ascii="宋体" w:hAnsi="宋体" w:cs="宋体"/>
          <w:sz w:val="24"/>
          <w:szCs w:val="24"/>
        </w:rPr>
        <w:t>本协议书在乙方提供履约担保后，由双方法定代表人或其委托代理人签字（或签章）并加盖单位公章或合同专用章后生效。乙方完成全部服务工作且合同费用结清后终止。</w:t>
      </w:r>
    </w:p>
    <w:p w14:paraId="19FC8CD5">
      <w:pPr>
        <w:pStyle w:val="10"/>
        <w:jc w:val="center"/>
        <w:rPr>
          <w:rFonts w:hint="eastAsia" w:ascii="宋体" w:hAnsi="宋体" w:cs="宋体"/>
          <w:color w:val="000000"/>
          <w:sz w:val="24"/>
        </w:rPr>
      </w:pPr>
      <w:r>
        <w:rPr>
          <w:rFonts w:hint="eastAsia" w:ascii="宋体" w:hAnsi="宋体" w:cs="宋体"/>
          <w:color w:val="000000"/>
          <w:sz w:val="24"/>
        </w:rPr>
        <w:t>（本页以下无正文）</w:t>
      </w:r>
    </w:p>
    <w:tbl>
      <w:tblPr>
        <w:tblStyle w:val="24"/>
        <w:tblW w:w="9070" w:type="dxa"/>
        <w:jc w:val="center"/>
        <w:tblLayout w:type="autofit"/>
        <w:tblCellMar>
          <w:top w:w="0" w:type="dxa"/>
          <w:left w:w="51" w:type="dxa"/>
          <w:bottom w:w="0" w:type="dxa"/>
          <w:right w:w="51" w:type="dxa"/>
        </w:tblCellMar>
      </w:tblPr>
      <w:tblGrid>
        <w:gridCol w:w="4395"/>
        <w:gridCol w:w="425"/>
        <w:gridCol w:w="4250"/>
      </w:tblGrid>
      <w:tr w14:paraId="738D9797">
        <w:tblPrEx>
          <w:tblCellMar>
            <w:top w:w="0" w:type="dxa"/>
            <w:left w:w="51" w:type="dxa"/>
            <w:bottom w:w="0" w:type="dxa"/>
            <w:right w:w="51" w:type="dxa"/>
          </w:tblCellMar>
        </w:tblPrEx>
        <w:trPr>
          <w:trHeight w:val="1661" w:hRule="atLeast"/>
          <w:jc w:val="center"/>
        </w:trPr>
        <w:tc>
          <w:tcPr>
            <w:tcW w:w="4395" w:type="dxa"/>
            <w:vAlign w:val="center"/>
          </w:tcPr>
          <w:p w14:paraId="474B778C">
            <w:pPr>
              <w:pStyle w:val="5"/>
              <w:spacing w:line="360" w:lineRule="auto"/>
              <w:ind w:firstLine="0"/>
              <w:rPr>
                <w:rFonts w:hint="eastAsia" w:ascii="宋体" w:hAnsi="宋体" w:cs="宋体"/>
                <w:szCs w:val="21"/>
              </w:rPr>
            </w:pPr>
          </w:p>
          <w:p w14:paraId="6F031429">
            <w:pPr>
              <w:pStyle w:val="5"/>
              <w:spacing w:line="360" w:lineRule="auto"/>
              <w:ind w:firstLine="0"/>
              <w:rPr>
                <w:rFonts w:hint="eastAsia" w:ascii="宋体" w:hAnsi="宋体" w:cs="宋体"/>
                <w:szCs w:val="21"/>
              </w:rPr>
            </w:pPr>
            <w:r>
              <w:rPr>
                <w:rFonts w:hint="eastAsia" w:ascii="宋体" w:hAnsi="宋体" w:cs="宋体"/>
                <w:szCs w:val="21"/>
              </w:rPr>
              <w:t>甲方：广西壮族自治区水运发展中心（盖章）</w:t>
            </w:r>
          </w:p>
          <w:p w14:paraId="575591DB">
            <w:pPr>
              <w:pStyle w:val="5"/>
              <w:spacing w:line="360" w:lineRule="auto"/>
              <w:ind w:firstLine="0"/>
              <w:jc w:val="center"/>
              <w:rPr>
                <w:rFonts w:hint="eastAsia" w:ascii="宋体" w:hAnsi="宋体" w:cs="宋体"/>
                <w:szCs w:val="21"/>
              </w:rPr>
            </w:pPr>
          </w:p>
        </w:tc>
        <w:tc>
          <w:tcPr>
            <w:tcW w:w="425" w:type="dxa"/>
            <w:tcMar>
              <w:top w:w="0" w:type="dxa"/>
              <w:left w:w="0" w:type="dxa"/>
              <w:bottom w:w="0" w:type="dxa"/>
              <w:right w:w="0" w:type="dxa"/>
            </w:tcMar>
            <w:vAlign w:val="center"/>
          </w:tcPr>
          <w:p w14:paraId="48246E4A">
            <w:pPr>
              <w:pStyle w:val="5"/>
              <w:spacing w:line="360" w:lineRule="auto"/>
              <w:rPr>
                <w:rFonts w:hint="eastAsia" w:ascii="宋体" w:hAnsi="宋体" w:cs="宋体"/>
                <w:sz w:val="10"/>
                <w:szCs w:val="10"/>
              </w:rPr>
            </w:pPr>
          </w:p>
        </w:tc>
        <w:tc>
          <w:tcPr>
            <w:tcW w:w="4250" w:type="dxa"/>
            <w:vAlign w:val="center"/>
          </w:tcPr>
          <w:p w14:paraId="4EEDA1AF">
            <w:pPr>
              <w:pStyle w:val="5"/>
              <w:spacing w:line="360" w:lineRule="auto"/>
              <w:ind w:firstLine="0"/>
              <w:rPr>
                <w:rFonts w:hint="eastAsia" w:ascii="宋体" w:hAnsi="宋体" w:cs="宋体"/>
                <w:szCs w:val="21"/>
              </w:rPr>
            </w:pPr>
          </w:p>
          <w:p w14:paraId="4754E94A">
            <w:pPr>
              <w:pStyle w:val="5"/>
              <w:spacing w:line="360" w:lineRule="auto"/>
              <w:ind w:firstLine="0"/>
              <w:rPr>
                <w:rFonts w:hint="eastAsia" w:ascii="宋体" w:hAnsi="宋体" w:cs="宋体"/>
                <w:szCs w:val="21"/>
              </w:rPr>
            </w:pPr>
            <w:r>
              <w:rPr>
                <w:rFonts w:hint="eastAsia" w:ascii="宋体" w:hAnsi="宋体" w:cs="宋体"/>
                <w:szCs w:val="21"/>
              </w:rPr>
              <w:t>乙方：</w:t>
            </w:r>
            <w:r>
              <w:rPr>
                <w:rFonts w:hint="eastAsia" w:ascii="宋体" w:hAnsi="宋体" w:cs="宋体"/>
                <w:szCs w:val="21"/>
                <w:lang w:val="en-US" w:eastAsia="zh-CN"/>
              </w:rPr>
              <w:t xml:space="preserve"> </w:t>
            </w:r>
            <w:r>
              <w:rPr>
                <w:rFonts w:hint="eastAsia" w:ascii="宋体" w:hAnsi="宋体" w:cs="宋体"/>
                <w:szCs w:val="21"/>
              </w:rPr>
              <w:t>（盖章）</w:t>
            </w:r>
          </w:p>
          <w:p w14:paraId="1BBF8CC4">
            <w:pPr>
              <w:pStyle w:val="5"/>
              <w:spacing w:line="360" w:lineRule="auto"/>
              <w:ind w:firstLine="0"/>
              <w:jc w:val="center"/>
              <w:rPr>
                <w:rFonts w:hint="eastAsia" w:ascii="宋体" w:hAnsi="宋体" w:cs="宋体"/>
                <w:szCs w:val="21"/>
              </w:rPr>
            </w:pPr>
          </w:p>
        </w:tc>
      </w:tr>
      <w:tr w14:paraId="71494E85">
        <w:tblPrEx>
          <w:tblCellMar>
            <w:top w:w="0" w:type="dxa"/>
            <w:left w:w="51" w:type="dxa"/>
            <w:bottom w:w="0" w:type="dxa"/>
            <w:right w:w="51" w:type="dxa"/>
          </w:tblCellMar>
        </w:tblPrEx>
        <w:trPr>
          <w:jc w:val="center"/>
        </w:trPr>
        <w:tc>
          <w:tcPr>
            <w:tcW w:w="4395" w:type="dxa"/>
          </w:tcPr>
          <w:p w14:paraId="5DB7C2B9">
            <w:pPr>
              <w:pStyle w:val="5"/>
              <w:spacing w:line="360" w:lineRule="auto"/>
              <w:ind w:firstLine="0"/>
              <w:rPr>
                <w:rFonts w:hint="eastAsia" w:ascii="宋体" w:hAnsi="宋体" w:cs="宋体"/>
                <w:szCs w:val="21"/>
              </w:rPr>
            </w:pPr>
            <w:r>
              <w:rPr>
                <w:rFonts w:hint="eastAsia" w:ascii="宋体" w:hAnsi="宋体" w:cs="宋体"/>
                <w:szCs w:val="21"/>
              </w:rPr>
              <w:t>法定代表人</w:t>
            </w:r>
          </w:p>
        </w:tc>
        <w:tc>
          <w:tcPr>
            <w:tcW w:w="425" w:type="dxa"/>
            <w:tcMar>
              <w:top w:w="0" w:type="dxa"/>
              <w:left w:w="0" w:type="dxa"/>
              <w:bottom w:w="0" w:type="dxa"/>
              <w:right w:w="0" w:type="dxa"/>
            </w:tcMar>
            <w:vAlign w:val="center"/>
          </w:tcPr>
          <w:p w14:paraId="0CA08658">
            <w:pPr>
              <w:pStyle w:val="5"/>
              <w:spacing w:line="360" w:lineRule="auto"/>
              <w:rPr>
                <w:rFonts w:hint="eastAsia" w:ascii="宋体" w:hAnsi="宋体" w:cs="宋体"/>
                <w:sz w:val="10"/>
                <w:szCs w:val="10"/>
              </w:rPr>
            </w:pPr>
          </w:p>
        </w:tc>
        <w:tc>
          <w:tcPr>
            <w:tcW w:w="4250" w:type="dxa"/>
          </w:tcPr>
          <w:p w14:paraId="096C6396">
            <w:pPr>
              <w:pStyle w:val="5"/>
              <w:spacing w:line="360" w:lineRule="auto"/>
              <w:ind w:firstLine="0"/>
              <w:rPr>
                <w:rFonts w:hint="eastAsia" w:ascii="宋体" w:hAnsi="宋体" w:cs="宋体"/>
                <w:szCs w:val="21"/>
              </w:rPr>
            </w:pPr>
            <w:r>
              <w:rPr>
                <w:rFonts w:hint="eastAsia" w:ascii="宋体" w:hAnsi="宋体" w:cs="宋体"/>
                <w:szCs w:val="21"/>
              </w:rPr>
              <w:t>法定代表人</w:t>
            </w:r>
          </w:p>
        </w:tc>
      </w:tr>
      <w:tr w14:paraId="2F648D4D">
        <w:tblPrEx>
          <w:tblCellMar>
            <w:top w:w="0" w:type="dxa"/>
            <w:left w:w="51" w:type="dxa"/>
            <w:bottom w:w="0" w:type="dxa"/>
            <w:right w:w="51" w:type="dxa"/>
          </w:tblCellMar>
        </w:tblPrEx>
        <w:trPr>
          <w:trHeight w:val="637" w:hRule="atLeast"/>
          <w:jc w:val="center"/>
        </w:trPr>
        <w:tc>
          <w:tcPr>
            <w:tcW w:w="4395" w:type="dxa"/>
          </w:tcPr>
          <w:p w14:paraId="60356F3D">
            <w:pPr>
              <w:pStyle w:val="5"/>
              <w:ind w:firstLine="0"/>
              <w:rPr>
                <w:rFonts w:hint="eastAsia" w:ascii="宋体" w:hAnsi="宋体" w:cs="宋体"/>
                <w:szCs w:val="21"/>
              </w:rPr>
            </w:pPr>
            <w:r>
              <w:rPr>
                <w:rFonts w:hint="eastAsia" w:ascii="宋体" w:hAnsi="宋体" w:cs="宋体"/>
                <w:szCs w:val="21"/>
              </w:rPr>
              <w:t>或其委托代理人：</w:t>
            </w:r>
          </w:p>
          <w:p w14:paraId="05CF0790">
            <w:pPr>
              <w:pStyle w:val="5"/>
              <w:ind w:firstLine="0"/>
              <w:rPr>
                <w:rFonts w:hint="eastAsia" w:ascii="宋体" w:hAnsi="宋体" w:cs="宋体"/>
                <w:szCs w:val="21"/>
              </w:rPr>
            </w:pPr>
            <w:r>
              <w:rPr>
                <w:rFonts w:hint="eastAsia" w:ascii="宋体" w:hAnsi="宋体" w:cs="宋体"/>
                <w:szCs w:val="21"/>
              </w:rPr>
              <w:t>（签章）</w:t>
            </w:r>
          </w:p>
        </w:tc>
        <w:tc>
          <w:tcPr>
            <w:tcW w:w="425" w:type="dxa"/>
            <w:tcMar>
              <w:top w:w="0" w:type="dxa"/>
              <w:left w:w="0" w:type="dxa"/>
              <w:bottom w:w="0" w:type="dxa"/>
              <w:right w:w="0" w:type="dxa"/>
            </w:tcMar>
            <w:vAlign w:val="center"/>
          </w:tcPr>
          <w:p w14:paraId="3203348F">
            <w:pPr>
              <w:pStyle w:val="5"/>
              <w:spacing w:line="360" w:lineRule="auto"/>
              <w:rPr>
                <w:rFonts w:hint="eastAsia" w:ascii="宋体" w:hAnsi="宋体" w:cs="宋体"/>
                <w:sz w:val="10"/>
                <w:szCs w:val="10"/>
              </w:rPr>
            </w:pPr>
          </w:p>
        </w:tc>
        <w:tc>
          <w:tcPr>
            <w:tcW w:w="4250" w:type="dxa"/>
          </w:tcPr>
          <w:p w14:paraId="49DD9125">
            <w:pPr>
              <w:pStyle w:val="5"/>
              <w:ind w:firstLine="0"/>
              <w:rPr>
                <w:rFonts w:hint="eastAsia" w:ascii="宋体" w:hAnsi="宋体" w:cs="宋体"/>
                <w:szCs w:val="21"/>
              </w:rPr>
            </w:pPr>
            <w:r>
              <w:rPr>
                <w:rFonts w:hint="eastAsia" w:ascii="宋体" w:hAnsi="宋体" w:cs="宋体"/>
                <w:szCs w:val="21"/>
              </w:rPr>
              <w:t>或其委托代理人：</w:t>
            </w:r>
          </w:p>
          <w:p w14:paraId="63EF7B50">
            <w:pPr>
              <w:pStyle w:val="5"/>
              <w:ind w:firstLine="0"/>
              <w:rPr>
                <w:rFonts w:hint="eastAsia" w:ascii="宋体" w:hAnsi="宋体" w:cs="宋体"/>
                <w:szCs w:val="21"/>
              </w:rPr>
            </w:pPr>
            <w:r>
              <w:rPr>
                <w:rFonts w:hint="eastAsia" w:ascii="宋体" w:hAnsi="宋体" w:cs="宋体"/>
                <w:szCs w:val="21"/>
              </w:rPr>
              <w:t>（签章）</w:t>
            </w:r>
          </w:p>
        </w:tc>
      </w:tr>
      <w:tr w14:paraId="02864DC0">
        <w:tblPrEx>
          <w:tblCellMar>
            <w:top w:w="0" w:type="dxa"/>
            <w:left w:w="51" w:type="dxa"/>
            <w:bottom w:w="0" w:type="dxa"/>
            <w:right w:w="51" w:type="dxa"/>
          </w:tblCellMar>
        </w:tblPrEx>
        <w:trPr>
          <w:jc w:val="center"/>
        </w:trPr>
        <w:tc>
          <w:tcPr>
            <w:tcW w:w="4395" w:type="dxa"/>
            <w:vAlign w:val="center"/>
          </w:tcPr>
          <w:p w14:paraId="45A04931">
            <w:pPr>
              <w:rPr>
                <w:sz w:val="28"/>
                <w:szCs w:val="28"/>
              </w:rPr>
            </w:pPr>
            <w:r>
              <w:rPr>
                <w:rFonts w:hint="eastAsia" w:ascii="宋体" w:hAnsi="宋体" w:cs="宋体"/>
                <w:szCs w:val="21"/>
              </w:rPr>
              <w:t>开户银行：建行南宁新民路支行</w:t>
            </w:r>
          </w:p>
        </w:tc>
        <w:tc>
          <w:tcPr>
            <w:tcW w:w="425" w:type="dxa"/>
            <w:tcMar>
              <w:top w:w="0" w:type="dxa"/>
              <w:left w:w="0" w:type="dxa"/>
              <w:bottom w:w="0" w:type="dxa"/>
              <w:right w:w="0" w:type="dxa"/>
            </w:tcMar>
            <w:vAlign w:val="center"/>
          </w:tcPr>
          <w:p w14:paraId="3205E888">
            <w:pPr>
              <w:pStyle w:val="5"/>
              <w:spacing w:line="360" w:lineRule="auto"/>
              <w:rPr>
                <w:rFonts w:hint="eastAsia" w:ascii="宋体" w:hAnsi="宋体" w:cs="宋体"/>
                <w:sz w:val="10"/>
                <w:szCs w:val="10"/>
              </w:rPr>
            </w:pPr>
          </w:p>
        </w:tc>
        <w:tc>
          <w:tcPr>
            <w:tcW w:w="4250" w:type="dxa"/>
            <w:vAlign w:val="center"/>
          </w:tcPr>
          <w:p w14:paraId="176E76FC">
            <w:pPr>
              <w:ind w:left="1050" w:hanging="1050" w:hangingChars="500"/>
              <w:rPr>
                <w:rFonts w:hint="eastAsia" w:eastAsia="宋体"/>
                <w:sz w:val="28"/>
                <w:szCs w:val="28"/>
                <w:lang w:eastAsia="zh-CN"/>
              </w:rPr>
            </w:pPr>
            <w:r>
              <w:rPr>
                <w:rFonts w:hint="eastAsia" w:ascii="宋体" w:hAnsi="宋体" w:cs="宋体"/>
                <w:szCs w:val="21"/>
              </w:rPr>
              <w:t>开户银行：</w:t>
            </w:r>
            <w:r>
              <w:rPr>
                <w:rFonts w:hint="eastAsia" w:ascii="宋体" w:hAnsi="宋体" w:cs="宋体"/>
                <w:lang w:val="en-US" w:eastAsia="zh-CN"/>
              </w:rPr>
              <w:t xml:space="preserve"> </w:t>
            </w:r>
          </w:p>
        </w:tc>
      </w:tr>
      <w:tr w14:paraId="7F6C9303">
        <w:tblPrEx>
          <w:tblCellMar>
            <w:top w:w="0" w:type="dxa"/>
            <w:left w:w="51" w:type="dxa"/>
            <w:bottom w:w="0" w:type="dxa"/>
            <w:right w:w="51" w:type="dxa"/>
          </w:tblCellMar>
        </w:tblPrEx>
        <w:trPr>
          <w:jc w:val="center"/>
        </w:trPr>
        <w:tc>
          <w:tcPr>
            <w:tcW w:w="4395" w:type="dxa"/>
            <w:vAlign w:val="center"/>
          </w:tcPr>
          <w:p w14:paraId="2C463B4D">
            <w:pPr>
              <w:rPr>
                <w:sz w:val="28"/>
                <w:szCs w:val="28"/>
              </w:rPr>
            </w:pPr>
            <w:r>
              <w:rPr>
                <w:rFonts w:hint="eastAsia" w:ascii="宋体" w:hAnsi="宋体" w:cs="宋体"/>
                <w:szCs w:val="21"/>
              </w:rPr>
              <w:t>开户账号：</w:t>
            </w:r>
            <w:r>
              <w:rPr>
                <w:rFonts w:ascii="宋体" w:hAnsi="宋体" w:cs="宋体"/>
                <w:szCs w:val="21"/>
              </w:rPr>
              <w:t>45001604258050502193</w:t>
            </w:r>
          </w:p>
        </w:tc>
        <w:tc>
          <w:tcPr>
            <w:tcW w:w="425" w:type="dxa"/>
            <w:tcMar>
              <w:top w:w="0" w:type="dxa"/>
              <w:left w:w="0" w:type="dxa"/>
              <w:bottom w:w="0" w:type="dxa"/>
              <w:right w:w="0" w:type="dxa"/>
            </w:tcMar>
            <w:vAlign w:val="center"/>
          </w:tcPr>
          <w:p w14:paraId="093550CD">
            <w:pPr>
              <w:pStyle w:val="5"/>
              <w:spacing w:line="360" w:lineRule="auto"/>
              <w:rPr>
                <w:rFonts w:hint="eastAsia" w:ascii="宋体" w:hAnsi="宋体" w:cs="宋体"/>
                <w:sz w:val="10"/>
                <w:szCs w:val="10"/>
              </w:rPr>
            </w:pPr>
          </w:p>
        </w:tc>
        <w:tc>
          <w:tcPr>
            <w:tcW w:w="4250" w:type="dxa"/>
            <w:vAlign w:val="center"/>
          </w:tcPr>
          <w:p w14:paraId="13B378C4">
            <w:pPr>
              <w:rPr>
                <w:rFonts w:hint="eastAsia" w:eastAsia="宋体"/>
                <w:sz w:val="28"/>
                <w:szCs w:val="28"/>
                <w:lang w:eastAsia="zh-CN"/>
              </w:rPr>
            </w:pPr>
            <w:r>
              <w:rPr>
                <w:rFonts w:hint="eastAsia" w:ascii="宋体" w:hAnsi="宋体" w:cs="宋体"/>
                <w:szCs w:val="21"/>
              </w:rPr>
              <w:t>开户账号：</w:t>
            </w:r>
            <w:r>
              <w:rPr>
                <w:rFonts w:hint="eastAsia" w:ascii="宋体" w:hAnsi="宋体" w:cs="宋体"/>
                <w:lang w:val="en-US" w:eastAsia="zh-CN"/>
              </w:rPr>
              <w:t xml:space="preserve"> </w:t>
            </w:r>
          </w:p>
        </w:tc>
      </w:tr>
      <w:tr w14:paraId="15B249F9">
        <w:tblPrEx>
          <w:tblCellMar>
            <w:top w:w="0" w:type="dxa"/>
            <w:left w:w="51" w:type="dxa"/>
            <w:bottom w:w="0" w:type="dxa"/>
            <w:right w:w="51" w:type="dxa"/>
          </w:tblCellMar>
        </w:tblPrEx>
        <w:trPr>
          <w:jc w:val="center"/>
        </w:trPr>
        <w:tc>
          <w:tcPr>
            <w:tcW w:w="4395" w:type="dxa"/>
            <w:vAlign w:val="center"/>
          </w:tcPr>
          <w:p w14:paraId="084284C4">
            <w:pPr>
              <w:rPr>
                <w:rFonts w:hint="eastAsia" w:ascii="宋体" w:hAnsi="宋体" w:cs="宋体"/>
                <w:szCs w:val="21"/>
              </w:rPr>
            </w:pPr>
            <w:r>
              <w:rPr>
                <w:rFonts w:hint="eastAsia" w:ascii="宋体" w:hAnsi="宋体" w:cs="宋体"/>
                <w:szCs w:val="21"/>
              </w:rPr>
              <w:t>开户名称：广西壮族自治区水运发展中心</w:t>
            </w:r>
          </w:p>
        </w:tc>
        <w:tc>
          <w:tcPr>
            <w:tcW w:w="425" w:type="dxa"/>
          </w:tcPr>
          <w:p w14:paraId="76A6275F">
            <w:pPr>
              <w:pStyle w:val="5"/>
              <w:spacing w:line="360" w:lineRule="auto"/>
              <w:rPr>
                <w:rFonts w:hint="eastAsia" w:ascii="宋体" w:hAnsi="宋体" w:cs="宋体"/>
                <w:sz w:val="10"/>
                <w:szCs w:val="10"/>
              </w:rPr>
            </w:pPr>
          </w:p>
        </w:tc>
        <w:tc>
          <w:tcPr>
            <w:tcW w:w="4250" w:type="dxa"/>
            <w:vAlign w:val="center"/>
          </w:tcPr>
          <w:p w14:paraId="41D509DB">
            <w:pPr>
              <w:rPr>
                <w:rFonts w:hint="eastAsia" w:ascii="宋体" w:hAnsi="宋体" w:eastAsia="宋体" w:cs="宋体"/>
                <w:szCs w:val="21"/>
                <w:lang w:eastAsia="zh-CN"/>
              </w:rPr>
            </w:pPr>
            <w:r>
              <w:rPr>
                <w:rFonts w:hint="eastAsia" w:ascii="宋体" w:hAnsi="宋体" w:cs="宋体"/>
                <w:szCs w:val="21"/>
              </w:rPr>
              <w:t>开户名称：</w:t>
            </w:r>
            <w:r>
              <w:rPr>
                <w:rFonts w:hint="eastAsia" w:ascii="宋体" w:hAnsi="宋体" w:cs="宋体"/>
                <w:lang w:val="en-US" w:eastAsia="zh-CN"/>
              </w:rPr>
              <w:t xml:space="preserve"> </w:t>
            </w:r>
          </w:p>
        </w:tc>
      </w:tr>
      <w:tr w14:paraId="2CD77DC3">
        <w:tblPrEx>
          <w:tblCellMar>
            <w:top w:w="0" w:type="dxa"/>
            <w:left w:w="51" w:type="dxa"/>
            <w:bottom w:w="0" w:type="dxa"/>
            <w:right w:w="51" w:type="dxa"/>
          </w:tblCellMar>
        </w:tblPrEx>
        <w:trPr>
          <w:jc w:val="center"/>
        </w:trPr>
        <w:tc>
          <w:tcPr>
            <w:tcW w:w="4395" w:type="dxa"/>
            <w:vAlign w:val="center"/>
          </w:tcPr>
          <w:p w14:paraId="30024269">
            <w:pPr>
              <w:pStyle w:val="5"/>
              <w:spacing w:line="360" w:lineRule="auto"/>
              <w:ind w:firstLine="0"/>
              <w:rPr>
                <w:rFonts w:hint="eastAsia" w:ascii="宋体" w:hAnsi="宋体" w:cs="宋体"/>
                <w:szCs w:val="21"/>
              </w:rPr>
            </w:pPr>
            <w:r>
              <w:rPr>
                <w:rFonts w:hint="eastAsia" w:ascii="宋体" w:hAnsi="宋体" w:cs="宋体"/>
                <w:szCs w:val="21"/>
              </w:rPr>
              <w:t>单位地址：南宁市青秀区百花岭路6号</w:t>
            </w:r>
          </w:p>
        </w:tc>
        <w:tc>
          <w:tcPr>
            <w:tcW w:w="425" w:type="dxa"/>
          </w:tcPr>
          <w:p w14:paraId="12210B56">
            <w:pPr>
              <w:pStyle w:val="5"/>
              <w:spacing w:line="360" w:lineRule="auto"/>
              <w:rPr>
                <w:rFonts w:hint="eastAsia" w:ascii="宋体" w:hAnsi="宋体" w:cs="宋体"/>
                <w:sz w:val="10"/>
                <w:szCs w:val="10"/>
              </w:rPr>
            </w:pPr>
          </w:p>
        </w:tc>
        <w:tc>
          <w:tcPr>
            <w:tcW w:w="4250" w:type="dxa"/>
            <w:vAlign w:val="center"/>
          </w:tcPr>
          <w:p w14:paraId="0412FD6E">
            <w:pPr>
              <w:pStyle w:val="5"/>
              <w:spacing w:line="360" w:lineRule="auto"/>
              <w:ind w:firstLine="0"/>
              <w:rPr>
                <w:rFonts w:hint="eastAsia" w:ascii="宋体" w:hAnsi="宋体" w:eastAsia="宋体" w:cs="宋体"/>
                <w:szCs w:val="21"/>
                <w:lang w:eastAsia="zh-CN"/>
              </w:rPr>
            </w:pPr>
            <w:r>
              <w:rPr>
                <w:rFonts w:hint="eastAsia" w:ascii="宋体" w:hAnsi="宋体" w:cs="宋体"/>
                <w:szCs w:val="21"/>
              </w:rPr>
              <w:t>单位地址：</w:t>
            </w:r>
            <w:r>
              <w:rPr>
                <w:rFonts w:hint="eastAsia" w:ascii="宋体" w:hAnsi="宋体" w:cs="宋体"/>
                <w:szCs w:val="21"/>
                <w:lang w:val="en-US" w:eastAsia="zh-CN"/>
              </w:rPr>
              <w:t xml:space="preserve"> </w:t>
            </w:r>
          </w:p>
        </w:tc>
      </w:tr>
      <w:tr w14:paraId="49B99222">
        <w:tblPrEx>
          <w:tblCellMar>
            <w:top w:w="0" w:type="dxa"/>
            <w:left w:w="51" w:type="dxa"/>
            <w:bottom w:w="0" w:type="dxa"/>
            <w:right w:w="51" w:type="dxa"/>
          </w:tblCellMar>
        </w:tblPrEx>
        <w:trPr>
          <w:jc w:val="center"/>
        </w:trPr>
        <w:tc>
          <w:tcPr>
            <w:tcW w:w="4395" w:type="dxa"/>
            <w:vAlign w:val="center"/>
          </w:tcPr>
          <w:p w14:paraId="171246C8">
            <w:pPr>
              <w:pStyle w:val="5"/>
              <w:spacing w:line="360" w:lineRule="auto"/>
              <w:ind w:firstLine="0"/>
              <w:rPr>
                <w:rFonts w:hint="eastAsia" w:ascii="宋体" w:hAnsi="宋体" w:eastAsia="宋体" w:cs="宋体"/>
                <w:szCs w:val="21"/>
                <w:lang w:eastAsia="zh-CN"/>
              </w:rPr>
            </w:pPr>
            <w:r>
              <w:rPr>
                <w:rFonts w:hint="eastAsia" w:ascii="宋体" w:hAnsi="宋体" w:cs="宋体"/>
                <w:szCs w:val="21"/>
              </w:rPr>
              <w:t>联系人：</w:t>
            </w:r>
            <w:r>
              <w:rPr>
                <w:rFonts w:hint="eastAsia" w:ascii="宋体" w:hAnsi="宋体" w:cs="宋体"/>
                <w:szCs w:val="21"/>
                <w:lang w:val="en-US" w:eastAsia="zh-CN"/>
              </w:rPr>
              <w:t xml:space="preserve"> </w:t>
            </w:r>
          </w:p>
        </w:tc>
        <w:tc>
          <w:tcPr>
            <w:tcW w:w="425" w:type="dxa"/>
          </w:tcPr>
          <w:p w14:paraId="752B0D7D">
            <w:pPr>
              <w:pStyle w:val="5"/>
              <w:spacing w:line="360" w:lineRule="auto"/>
              <w:rPr>
                <w:rFonts w:hint="eastAsia" w:ascii="宋体" w:hAnsi="宋体" w:cs="宋体"/>
                <w:sz w:val="10"/>
                <w:szCs w:val="10"/>
              </w:rPr>
            </w:pPr>
          </w:p>
        </w:tc>
        <w:tc>
          <w:tcPr>
            <w:tcW w:w="4250" w:type="dxa"/>
            <w:vAlign w:val="center"/>
          </w:tcPr>
          <w:p w14:paraId="4524B92E">
            <w:pPr>
              <w:pStyle w:val="5"/>
              <w:spacing w:line="360" w:lineRule="auto"/>
              <w:ind w:firstLine="0"/>
              <w:rPr>
                <w:rFonts w:hint="eastAsia" w:ascii="宋体" w:hAnsi="宋体" w:eastAsia="宋体" w:cs="宋体"/>
                <w:szCs w:val="21"/>
                <w:lang w:eastAsia="zh-CN"/>
              </w:rPr>
            </w:pPr>
            <w:r>
              <w:rPr>
                <w:rFonts w:hint="eastAsia" w:ascii="宋体" w:hAnsi="宋体" w:cs="宋体"/>
                <w:szCs w:val="21"/>
              </w:rPr>
              <w:t>联系人：</w:t>
            </w:r>
            <w:r>
              <w:rPr>
                <w:rFonts w:hint="eastAsia" w:ascii="宋体" w:hAnsi="宋体" w:cs="宋体"/>
                <w:szCs w:val="21"/>
                <w:lang w:val="en-US" w:eastAsia="zh-CN"/>
              </w:rPr>
              <w:t xml:space="preserve"> </w:t>
            </w:r>
          </w:p>
        </w:tc>
      </w:tr>
      <w:tr w14:paraId="5C11CF35">
        <w:tblPrEx>
          <w:tblCellMar>
            <w:top w:w="0" w:type="dxa"/>
            <w:left w:w="51" w:type="dxa"/>
            <w:bottom w:w="0" w:type="dxa"/>
            <w:right w:w="51" w:type="dxa"/>
          </w:tblCellMar>
        </w:tblPrEx>
        <w:trPr>
          <w:jc w:val="center"/>
        </w:trPr>
        <w:tc>
          <w:tcPr>
            <w:tcW w:w="4395" w:type="dxa"/>
            <w:vAlign w:val="center"/>
          </w:tcPr>
          <w:p w14:paraId="59BCBD28">
            <w:pPr>
              <w:pStyle w:val="5"/>
              <w:spacing w:line="360" w:lineRule="auto"/>
              <w:ind w:firstLine="0"/>
              <w:rPr>
                <w:rFonts w:hint="eastAsia" w:ascii="宋体" w:hAnsi="宋体" w:eastAsia="宋体" w:cs="宋体"/>
                <w:szCs w:val="21"/>
                <w:lang w:eastAsia="zh-CN"/>
              </w:rPr>
            </w:pPr>
            <w:r>
              <w:rPr>
                <w:rFonts w:hint="eastAsia" w:ascii="宋体" w:hAnsi="宋体" w:cs="宋体"/>
                <w:szCs w:val="21"/>
              </w:rPr>
              <w:t>联系电话：</w:t>
            </w:r>
            <w:r>
              <w:rPr>
                <w:rFonts w:hint="eastAsia" w:ascii="宋体" w:hAnsi="宋体" w:cs="宋体"/>
                <w:szCs w:val="21"/>
                <w:lang w:val="en-US" w:eastAsia="zh-CN"/>
              </w:rPr>
              <w:t xml:space="preserve"> </w:t>
            </w:r>
          </w:p>
        </w:tc>
        <w:tc>
          <w:tcPr>
            <w:tcW w:w="425" w:type="dxa"/>
          </w:tcPr>
          <w:p w14:paraId="3470E63A">
            <w:pPr>
              <w:pStyle w:val="5"/>
              <w:spacing w:line="360" w:lineRule="auto"/>
              <w:rPr>
                <w:rFonts w:hint="eastAsia" w:ascii="宋体" w:hAnsi="宋体" w:cs="宋体"/>
                <w:sz w:val="10"/>
                <w:szCs w:val="10"/>
              </w:rPr>
            </w:pPr>
          </w:p>
        </w:tc>
        <w:tc>
          <w:tcPr>
            <w:tcW w:w="4250" w:type="dxa"/>
            <w:vAlign w:val="center"/>
          </w:tcPr>
          <w:p w14:paraId="7FF5A1CF">
            <w:pPr>
              <w:pStyle w:val="5"/>
              <w:spacing w:line="360" w:lineRule="auto"/>
              <w:ind w:firstLine="0"/>
              <w:rPr>
                <w:rFonts w:hint="eastAsia" w:ascii="宋体" w:hAnsi="宋体" w:eastAsia="宋体" w:cs="宋体"/>
                <w:szCs w:val="21"/>
                <w:lang w:eastAsia="zh-CN"/>
              </w:rPr>
            </w:pPr>
            <w:r>
              <w:rPr>
                <w:rFonts w:hint="eastAsia" w:ascii="宋体" w:hAnsi="宋体" w:cs="宋体"/>
                <w:szCs w:val="21"/>
              </w:rPr>
              <w:t>联系电话：</w:t>
            </w:r>
            <w:r>
              <w:rPr>
                <w:rFonts w:hint="eastAsia" w:ascii="宋体" w:hAnsi="宋体" w:cs="宋体"/>
                <w:szCs w:val="21"/>
                <w:lang w:val="en-US" w:eastAsia="zh-CN"/>
              </w:rPr>
              <w:t xml:space="preserve"> </w:t>
            </w:r>
          </w:p>
        </w:tc>
      </w:tr>
      <w:tr w14:paraId="5D4B7289">
        <w:tblPrEx>
          <w:tblCellMar>
            <w:top w:w="0" w:type="dxa"/>
            <w:left w:w="51" w:type="dxa"/>
            <w:bottom w:w="0" w:type="dxa"/>
            <w:right w:w="51" w:type="dxa"/>
          </w:tblCellMar>
        </w:tblPrEx>
        <w:trPr>
          <w:trHeight w:val="312" w:hRule="atLeast"/>
          <w:jc w:val="center"/>
        </w:trPr>
        <w:tc>
          <w:tcPr>
            <w:tcW w:w="4395" w:type="dxa"/>
            <w:vAlign w:val="center"/>
          </w:tcPr>
          <w:p w14:paraId="1C71262B">
            <w:pPr>
              <w:pStyle w:val="5"/>
              <w:spacing w:line="360" w:lineRule="auto"/>
              <w:ind w:firstLine="0"/>
              <w:rPr>
                <w:rFonts w:hint="eastAsia" w:ascii="宋体" w:hAnsi="宋体" w:cs="宋体"/>
                <w:szCs w:val="21"/>
              </w:rPr>
            </w:pPr>
          </w:p>
        </w:tc>
        <w:tc>
          <w:tcPr>
            <w:tcW w:w="425" w:type="dxa"/>
          </w:tcPr>
          <w:p w14:paraId="4BBB4BD5">
            <w:pPr>
              <w:pStyle w:val="5"/>
              <w:spacing w:line="360" w:lineRule="auto"/>
              <w:rPr>
                <w:rFonts w:hint="eastAsia" w:ascii="宋体" w:hAnsi="宋体" w:cs="宋体"/>
                <w:sz w:val="10"/>
                <w:szCs w:val="10"/>
              </w:rPr>
            </w:pPr>
          </w:p>
        </w:tc>
        <w:tc>
          <w:tcPr>
            <w:tcW w:w="4250" w:type="dxa"/>
            <w:vAlign w:val="center"/>
          </w:tcPr>
          <w:p w14:paraId="2D656358">
            <w:pPr>
              <w:pStyle w:val="5"/>
              <w:spacing w:line="360" w:lineRule="auto"/>
              <w:ind w:firstLine="0"/>
              <w:rPr>
                <w:rFonts w:hint="eastAsia" w:ascii="宋体" w:hAnsi="宋体" w:cs="宋体"/>
                <w:szCs w:val="21"/>
              </w:rPr>
            </w:pPr>
          </w:p>
        </w:tc>
      </w:tr>
      <w:tr w14:paraId="6DED8197">
        <w:tblPrEx>
          <w:tblCellMar>
            <w:top w:w="0" w:type="dxa"/>
            <w:left w:w="51" w:type="dxa"/>
            <w:bottom w:w="0" w:type="dxa"/>
            <w:right w:w="51" w:type="dxa"/>
          </w:tblCellMar>
        </w:tblPrEx>
        <w:trPr>
          <w:jc w:val="center"/>
        </w:trPr>
        <w:tc>
          <w:tcPr>
            <w:tcW w:w="9070" w:type="dxa"/>
            <w:gridSpan w:val="3"/>
            <w:vAlign w:val="center"/>
          </w:tcPr>
          <w:p w14:paraId="2AD42BEC">
            <w:pPr>
              <w:pStyle w:val="5"/>
              <w:spacing w:line="360" w:lineRule="auto"/>
              <w:ind w:firstLine="0"/>
              <w:jc w:val="center"/>
              <w:rPr>
                <w:rFonts w:hint="eastAsia" w:ascii="宋体" w:hAnsi="宋体" w:cs="宋体"/>
                <w:szCs w:val="21"/>
              </w:rPr>
            </w:pPr>
            <w:r>
              <w:rPr>
                <w:rFonts w:hint="eastAsia" w:ascii="宋体" w:hAnsi="宋体" w:cs="宋体"/>
                <w:szCs w:val="21"/>
              </w:rPr>
              <w:t>签订日期：</w:t>
            </w:r>
            <w:r>
              <w:rPr>
                <w:rFonts w:hint="eastAsia" w:ascii="宋体" w:hAnsi="宋体" w:cs="宋体"/>
                <w:szCs w:val="21"/>
                <w:u w:val="single"/>
              </w:rPr>
              <w:t>2026</w:t>
            </w:r>
            <w:r>
              <w:rPr>
                <w:rFonts w:hint="eastAsia" w:ascii="宋体" w:hAnsi="宋体" w:cs="宋体"/>
                <w:szCs w:val="21"/>
              </w:rPr>
              <w:t>年</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tc>
      </w:tr>
    </w:tbl>
    <w:p w14:paraId="5CE8BB13">
      <w:pPr>
        <w:pStyle w:val="10"/>
        <w:spacing w:after="0"/>
        <w:jc w:val="center"/>
        <w:rPr>
          <w:rFonts w:hint="eastAsia" w:ascii="宋体" w:hAnsi="宋体" w:cs="宋体"/>
          <w:color w:val="000000"/>
          <w:sz w:val="24"/>
        </w:rPr>
      </w:pPr>
    </w:p>
    <w:p w14:paraId="1A78DE4E">
      <w:pPr>
        <w:rPr>
          <w:rFonts w:hint="eastAsia" w:ascii="宋体" w:hAnsi="宋体" w:cs="宋体"/>
          <w:szCs w:val="21"/>
        </w:rPr>
      </w:pPr>
      <w:r>
        <w:rPr>
          <w:rFonts w:ascii="宋体" w:hAnsi="宋体" w:cs="宋体"/>
          <w:szCs w:val="21"/>
        </w:rPr>
        <w:br w:type="page"/>
      </w:r>
    </w:p>
    <w:p w14:paraId="4ACB4452">
      <w:pPr>
        <w:spacing w:before="156" w:beforeLines="50" w:after="156" w:afterLines="50" w:line="360" w:lineRule="auto"/>
        <w:jc w:val="both"/>
        <w:outlineLvl w:val="1"/>
        <w:rPr>
          <w:rFonts w:hint="eastAsia" w:ascii="宋体" w:hAnsi="宋体" w:eastAsia="宋体" w:cs="宋体"/>
          <w:sz w:val="24"/>
          <w:szCs w:val="24"/>
        </w:rPr>
      </w:pPr>
      <w:bookmarkStart w:id="321" w:name="_Toc14961"/>
      <w:bookmarkStart w:id="322" w:name="_Toc32300"/>
      <w:bookmarkStart w:id="323" w:name="_Toc28209"/>
      <w:bookmarkStart w:id="324" w:name="_Toc29314"/>
      <w:bookmarkStart w:id="325" w:name="_Toc13604"/>
      <w:bookmarkStart w:id="326" w:name="_Toc16541"/>
      <w:bookmarkStart w:id="327" w:name="_Toc29758"/>
      <w:bookmarkStart w:id="328" w:name="_Toc14353"/>
      <w:bookmarkStart w:id="329" w:name="_Toc12647"/>
      <w:bookmarkStart w:id="330" w:name="_Toc1355"/>
      <w:bookmarkStart w:id="331" w:name="_Toc12707"/>
      <w:bookmarkStart w:id="332" w:name="_Toc21149"/>
      <w:bookmarkStart w:id="333" w:name="_Toc13595"/>
      <w:r>
        <w:rPr>
          <w:rFonts w:hint="eastAsia" w:ascii="宋体" w:hAnsi="宋体" w:eastAsia="宋体" w:cs="宋体"/>
          <w:sz w:val="24"/>
          <w:szCs w:val="24"/>
          <w:lang w:eastAsia="zh-CN"/>
        </w:rPr>
        <w:t>附件</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廉政合同</w:t>
      </w:r>
      <w:bookmarkEnd w:id="321"/>
      <w:bookmarkEnd w:id="322"/>
      <w:bookmarkEnd w:id="323"/>
      <w:bookmarkEnd w:id="324"/>
      <w:bookmarkEnd w:id="325"/>
      <w:bookmarkEnd w:id="326"/>
      <w:bookmarkEnd w:id="327"/>
      <w:bookmarkEnd w:id="328"/>
      <w:bookmarkEnd w:id="329"/>
      <w:bookmarkEnd w:id="330"/>
      <w:bookmarkEnd w:id="331"/>
      <w:bookmarkEnd w:id="332"/>
      <w:bookmarkEnd w:id="333"/>
    </w:p>
    <w:p w14:paraId="5E052B6F">
      <w:pPr>
        <w:pStyle w:val="5"/>
        <w:snapToGrid w:val="0"/>
        <w:spacing w:line="360" w:lineRule="auto"/>
        <w:ind w:firstLine="0"/>
        <w:jc w:val="center"/>
        <w:rPr>
          <w:rFonts w:hint="eastAsia" w:ascii="宋体" w:hAnsi="宋体" w:cs="宋体"/>
          <w:sz w:val="24"/>
          <w:szCs w:val="24"/>
        </w:rPr>
      </w:pPr>
      <w:r>
        <w:rPr>
          <w:rFonts w:hint="eastAsia" w:ascii="黑体" w:hAnsi="宋体" w:eastAsia="黑体"/>
          <w:sz w:val="32"/>
          <w:szCs w:val="32"/>
        </w:rPr>
        <w:t>廉政合同</w:t>
      </w:r>
    </w:p>
    <w:p w14:paraId="00265CC9">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根据《关于在交通基础设施建设中加强廉政建设的若干意见》以及有关工程建设、廉政建设的规定，为做好工程建设中的党风廉政建设，保证工程建设高效优质，保证建设资金的安全和有效使用以及投资效益，</w:t>
      </w:r>
      <w:r>
        <w:rPr>
          <w:rFonts w:hint="eastAsia" w:ascii="宋体" w:hAnsi="宋体" w:cs="宋体"/>
          <w:sz w:val="24"/>
          <w:szCs w:val="24"/>
          <w:u w:val="single"/>
        </w:rPr>
        <w:t xml:space="preserve"> 广西壮族自治区水运发展中心</w:t>
      </w:r>
      <w:r>
        <w:rPr>
          <w:rFonts w:hint="eastAsia" w:ascii="宋体" w:hAnsi="宋体" w:cs="宋体"/>
          <w:sz w:val="24"/>
          <w:szCs w:val="24"/>
        </w:rPr>
        <w:t>（以下简称:甲方）为一方与另一方</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cs="宋体"/>
          <w:sz w:val="24"/>
          <w:szCs w:val="24"/>
          <w:u w:val="single"/>
        </w:rPr>
        <w:t xml:space="preserve"> </w:t>
      </w:r>
      <w:r>
        <w:rPr>
          <w:rFonts w:hint="eastAsia" w:ascii="宋体" w:hAnsi="宋体" w:cs="宋体"/>
          <w:sz w:val="24"/>
          <w:szCs w:val="24"/>
        </w:rPr>
        <w:t>（以下称乙方），特订立如下合同。</w:t>
      </w:r>
    </w:p>
    <w:p w14:paraId="28CA4F8C">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第一条  双方的权利和义务</w:t>
      </w:r>
    </w:p>
    <w:p w14:paraId="10FA00E6">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（一）严格遵守党和国家有关法律法规及交通运输部的有关规定。</w:t>
      </w:r>
    </w:p>
    <w:p w14:paraId="309E2A4D">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（二）严格执行</w:t>
      </w:r>
      <w:r>
        <w:rPr>
          <w:rFonts w:hint="eastAsia" w:ascii="宋体" w:hAnsi="宋体" w:cs="宋体"/>
          <w:sz w:val="24"/>
          <w:szCs w:val="24"/>
          <w:u w:val="single"/>
          <w:lang w:eastAsia="zh-CN"/>
        </w:rPr>
        <w:t>红水河（桥巩至宾港作业区）航道提升工程水生生态环境现状调查与评价服务</w:t>
      </w:r>
      <w:r>
        <w:rPr>
          <w:rFonts w:hint="eastAsia" w:ascii="宋体" w:hAnsi="宋体" w:cs="宋体"/>
          <w:sz w:val="24"/>
          <w:szCs w:val="24"/>
        </w:rPr>
        <w:t>合同文件，自觉按合同办事。</w:t>
      </w:r>
    </w:p>
    <w:p w14:paraId="50806CBC">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（三）双方的业务活动坚持公开、公正、诚信、透明的原则（除法律认定的商业秘密和合同文件另有规定之外），不得损害国家和集体利益，违反工程建设管理规章制度。</w:t>
      </w:r>
    </w:p>
    <w:p w14:paraId="42D0C0AA">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（四）建立健全廉政制度，开展廉政教育，设立廉政告示牌，公布举报电话，监督并认真查处违法违纪行为。</w:t>
      </w:r>
    </w:p>
    <w:p w14:paraId="5E7B9261">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（五）发现对方在业务活动中有违反廉政规定的行为，有及时提醒对方纠正的权利和义务。</w:t>
      </w:r>
    </w:p>
    <w:p w14:paraId="14F4EB08">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（六）发现对方严重违反本合同义务条款的行为，有向其上级有关部门举报、建议给予处理并要求告知处理结果的权利。</w:t>
      </w:r>
    </w:p>
    <w:p w14:paraId="0AEF6640">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第二条 甲方的义务</w:t>
      </w:r>
    </w:p>
    <w:p w14:paraId="28B20350">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（一）甲方及其工作人员不得索要或接受乙方的礼金、有价证券和贵重物品，不得让乙方报销任何应由甲方或个人支付的费用等。</w:t>
      </w:r>
    </w:p>
    <w:p w14:paraId="62D032AA">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（二）甲方工作人员不得参加乙方安排的超标准宴请和娱乐活动；不得接受乙方提供的通讯工具、交通工具和高档办公用品等。</w:t>
      </w:r>
    </w:p>
    <w:p w14:paraId="5CF305F7">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（三）甲方及其工作人员不得要求或者接受乙方为其住房装修、婚丧嫁娶活动、配偶子女的工作安排以及出国出境、旅游等提供方便等。</w:t>
      </w:r>
    </w:p>
    <w:p w14:paraId="5216627C">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（四）不准向乙方和相关单位介绍或为配偶、子女、亲属参与同甲方项目工程合同有关的咨询业务等活动。不得以任何理由要求乙方和相关单位在咨询中使用某种产品、材料和设备。</w:t>
      </w:r>
    </w:p>
    <w:p w14:paraId="01B7D35F">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第三条  乙方义务</w:t>
      </w:r>
    </w:p>
    <w:p w14:paraId="3C0B6BB1">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（一）乙方不得以任何理由向甲方及其工作人员行贿或馈赠礼金、有价证券、贵重礼品。</w:t>
      </w:r>
    </w:p>
    <w:p w14:paraId="3AF33630">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（二）乙方不得以任何名义为甲方及其工作人员报销应由甲方单位或个人支付的任何费用。</w:t>
      </w:r>
    </w:p>
    <w:p w14:paraId="2A33C4D4">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（三）乙方不得以任何理由安排甲方工作人员参加超标准宴请及娱乐活动。</w:t>
      </w:r>
    </w:p>
    <w:p w14:paraId="728EA123">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（四）乙方不得为甲方单位和个人购置或提供通讯工具、交通工具和高档办公用品等。</w:t>
      </w:r>
    </w:p>
    <w:p w14:paraId="08FC42C8">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第四条  违约责任</w:t>
      </w:r>
    </w:p>
    <w:p w14:paraId="33C72B3E">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（一）甲方及其工作人员违反本合同第一、二条，按管理权限，依据有关规定给予党纪、政纪处分或组织处理；涉嫌犯罪的，移交司法机关追究刑事责任；给乙方单位造成经济损失的，应予以赔偿。</w:t>
      </w:r>
    </w:p>
    <w:p w14:paraId="102A3D73">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二）乙方及其工作人员违反本合同第一、三条，按管理权限，依据有关规定给予党纪、政纪处分或组织处理；给甲方单位造成经济损失的，应予以赔偿；情节严重的，甲方建议交通工程建设主管部门给予乙方一至三年内不得进入其主管的交通工程建设市场的处罚。</w:t>
      </w:r>
    </w:p>
    <w:p w14:paraId="34DB17BB">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第五条：双方约定：本合同由双方或双方上级单位的纪检监察机关负责监督。由甲方或甲方上级单位的纪检监察机关约请乙方或乙方上级单位纪检监察机关对本合同履行情况进行检查，提出在本合同规定范围内的裁定意见。</w:t>
      </w:r>
    </w:p>
    <w:p w14:paraId="0DFD3ADF">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第六条  本合同自双方法定代表人或其委托代理人签字并加盖双方单位公章后、且甲方收到乙方的履约担保后生效，至本项目全部成果通过验收后终止。</w:t>
      </w:r>
    </w:p>
    <w:p w14:paraId="6FB68FB0">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第七条  本合同作为</w:t>
      </w:r>
      <w:r>
        <w:rPr>
          <w:rFonts w:hint="eastAsia" w:ascii="宋体" w:hAnsi="宋体" w:cs="宋体"/>
          <w:sz w:val="24"/>
          <w:szCs w:val="24"/>
          <w:u w:val="single"/>
        </w:rPr>
        <w:t xml:space="preserve"> </w:t>
      </w:r>
      <w:r>
        <w:rPr>
          <w:rFonts w:hint="eastAsia" w:ascii="宋体" w:hAnsi="宋体" w:cs="宋体"/>
          <w:sz w:val="24"/>
          <w:szCs w:val="24"/>
          <w:u w:val="single"/>
          <w:lang w:eastAsia="zh-CN"/>
        </w:rPr>
        <w:t>红水河（桥巩至宾港作业区）航道提升工程水生生态环境现状调查与评价服务</w:t>
      </w:r>
      <w:r>
        <w:rPr>
          <w:rFonts w:hint="eastAsia" w:ascii="宋体" w:hAnsi="宋体" w:cs="宋体"/>
          <w:sz w:val="24"/>
          <w:szCs w:val="24"/>
          <w:u w:val="single"/>
        </w:rPr>
        <w:t xml:space="preserve"> </w:t>
      </w:r>
      <w:r>
        <w:rPr>
          <w:rFonts w:hint="eastAsia" w:ascii="宋体" w:hAnsi="宋体" w:cs="宋体"/>
          <w:sz w:val="24"/>
          <w:szCs w:val="24"/>
        </w:rPr>
        <w:t>合同的附件，与咨询合同具有同等的法律效力。</w:t>
      </w:r>
    </w:p>
    <w:p w14:paraId="13887A85">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第八条  本合同一式</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cs="宋体"/>
          <w:sz w:val="24"/>
          <w:szCs w:val="24"/>
          <w:u w:val="single"/>
        </w:rPr>
        <w:t xml:space="preserve"> </w:t>
      </w:r>
      <w:r>
        <w:rPr>
          <w:rFonts w:hint="eastAsia" w:ascii="宋体" w:hAnsi="宋体" w:cs="宋体"/>
          <w:sz w:val="24"/>
          <w:szCs w:val="24"/>
        </w:rPr>
        <w:t>份，甲方执</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cs="宋体"/>
          <w:sz w:val="24"/>
          <w:szCs w:val="24"/>
          <w:u w:val="single"/>
        </w:rPr>
        <w:t xml:space="preserve"> </w:t>
      </w:r>
      <w:r>
        <w:rPr>
          <w:rFonts w:hint="eastAsia" w:ascii="宋体" w:hAnsi="宋体" w:cs="宋体"/>
          <w:sz w:val="24"/>
          <w:szCs w:val="24"/>
        </w:rPr>
        <w:t>份，乙方各执</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cs="宋体"/>
          <w:sz w:val="24"/>
          <w:szCs w:val="24"/>
          <w:u w:val="single"/>
        </w:rPr>
        <w:t xml:space="preserve"> </w:t>
      </w:r>
      <w:r>
        <w:rPr>
          <w:rFonts w:hint="eastAsia" w:ascii="宋体" w:hAnsi="宋体" w:cs="宋体"/>
          <w:sz w:val="24"/>
          <w:szCs w:val="24"/>
        </w:rPr>
        <w:t>份。</w:t>
      </w:r>
    </w:p>
    <w:p w14:paraId="069E8F55">
      <w:pPr>
        <w:pStyle w:val="5"/>
        <w:snapToGrid w:val="0"/>
        <w:spacing w:line="360" w:lineRule="auto"/>
        <w:ind w:firstLine="480"/>
        <w:rPr>
          <w:rFonts w:hint="eastAsia" w:ascii="宋体" w:hAnsi="宋体" w:cs="宋体"/>
          <w:szCs w:val="21"/>
        </w:rPr>
      </w:pPr>
    </w:p>
    <w:p w14:paraId="314CC503">
      <w:pPr>
        <w:pStyle w:val="5"/>
        <w:snapToGrid w:val="0"/>
        <w:spacing w:line="360" w:lineRule="auto"/>
        <w:ind w:firstLine="480"/>
        <w:rPr>
          <w:rFonts w:hint="eastAsia" w:ascii="宋体" w:hAnsi="宋体" w:cs="宋体"/>
          <w:szCs w:val="21"/>
        </w:rPr>
      </w:pPr>
    </w:p>
    <w:p w14:paraId="7DD57A1D">
      <w:pPr>
        <w:pStyle w:val="5"/>
        <w:snapToGrid w:val="0"/>
        <w:spacing w:line="360" w:lineRule="auto"/>
        <w:ind w:firstLine="480"/>
        <w:rPr>
          <w:rFonts w:hint="eastAsia" w:ascii="宋体" w:hAnsi="宋体" w:cs="宋体"/>
          <w:szCs w:val="21"/>
        </w:rPr>
      </w:pPr>
    </w:p>
    <w:p w14:paraId="0C55F6DF">
      <w:pPr>
        <w:rPr>
          <w:rFonts w:hint="eastAsia" w:ascii="宋体" w:hAnsi="宋体" w:cs="宋体"/>
          <w:szCs w:val="21"/>
        </w:rPr>
      </w:pPr>
      <w:r>
        <w:rPr>
          <w:rFonts w:ascii="宋体" w:hAnsi="宋体" w:cs="宋体"/>
          <w:szCs w:val="21"/>
        </w:rPr>
        <w:br w:type="page"/>
      </w:r>
    </w:p>
    <w:tbl>
      <w:tblPr>
        <w:tblStyle w:val="24"/>
        <w:tblW w:w="9070" w:type="dxa"/>
        <w:jc w:val="center"/>
        <w:tblLayout w:type="autofit"/>
        <w:tblCellMar>
          <w:top w:w="0" w:type="dxa"/>
          <w:left w:w="51" w:type="dxa"/>
          <w:bottom w:w="0" w:type="dxa"/>
          <w:right w:w="51" w:type="dxa"/>
        </w:tblCellMar>
      </w:tblPr>
      <w:tblGrid>
        <w:gridCol w:w="4395"/>
        <w:gridCol w:w="425"/>
        <w:gridCol w:w="4250"/>
      </w:tblGrid>
      <w:tr w14:paraId="44D4D2F1">
        <w:tblPrEx>
          <w:tblCellMar>
            <w:top w:w="0" w:type="dxa"/>
            <w:left w:w="51" w:type="dxa"/>
            <w:bottom w:w="0" w:type="dxa"/>
            <w:right w:w="51" w:type="dxa"/>
          </w:tblCellMar>
        </w:tblPrEx>
        <w:trPr>
          <w:trHeight w:val="1661" w:hRule="atLeast"/>
          <w:jc w:val="center"/>
        </w:trPr>
        <w:tc>
          <w:tcPr>
            <w:tcW w:w="4395" w:type="dxa"/>
            <w:vAlign w:val="center"/>
          </w:tcPr>
          <w:p w14:paraId="1C083A70">
            <w:pPr>
              <w:pStyle w:val="5"/>
              <w:spacing w:line="360" w:lineRule="auto"/>
              <w:ind w:firstLine="0"/>
              <w:rPr>
                <w:rFonts w:hint="eastAsia" w:ascii="宋体" w:hAnsi="宋体" w:cs="宋体"/>
                <w:szCs w:val="21"/>
              </w:rPr>
            </w:pPr>
          </w:p>
          <w:p w14:paraId="11C7CFE3">
            <w:pPr>
              <w:pStyle w:val="5"/>
              <w:spacing w:line="360" w:lineRule="auto"/>
              <w:ind w:firstLine="0"/>
              <w:rPr>
                <w:rFonts w:hint="eastAsia" w:ascii="宋体" w:hAnsi="宋体" w:cs="宋体"/>
                <w:szCs w:val="21"/>
              </w:rPr>
            </w:pPr>
            <w:r>
              <w:rPr>
                <w:rFonts w:hint="eastAsia" w:ascii="宋体" w:hAnsi="宋体" w:cs="宋体"/>
                <w:szCs w:val="21"/>
              </w:rPr>
              <w:t>甲方：广西壮族自治区水运发展中心（盖章）</w:t>
            </w:r>
          </w:p>
          <w:p w14:paraId="055FFDAE">
            <w:pPr>
              <w:pStyle w:val="5"/>
              <w:spacing w:line="360" w:lineRule="auto"/>
              <w:ind w:firstLine="0"/>
              <w:jc w:val="center"/>
              <w:rPr>
                <w:rFonts w:hint="eastAsia" w:ascii="宋体" w:hAnsi="宋体" w:cs="宋体"/>
                <w:szCs w:val="21"/>
              </w:rPr>
            </w:pPr>
          </w:p>
        </w:tc>
        <w:tc>
          <w:tcPr>
            <w:tcW w:w="425" w:type="dxa"/>
            <w:tcMar>
              <w:top w:w="0" w:type="dxa"/>
              <w:left w:w="0" w:type="dxa"/>
              <w:bottom w:w="0" w:type="dxa"/>
              <w:right w:w="0" w:type="dxa"/>
            </w:tcMar>
            <w:vAlign w:val="center"/>
          </w:tcPr>
          <w:p w14:paraId="2E5F1E92">
            <w:pPr>
              <w:pStyle w:val="5"/>
              <w:spacing w:line="360" w:lineRule="auto"/>
              <w:rPr>
                <w:rFonts w:hint="eastAsia" w:ascii="宋体" w:hAnsi="宋体" w:cs="宋体"/>
                <w:sz w:val="10"/>
                <w:szCs w:val="10"/>
              </w:rPr>
            </w:pPr>
          </w:p>
        </w:tc>
        <w:tc>
          <w:tcPr>
            <w:tcW w:w="4250" w:type="dxa"/>
            <w:vAlign w:val="center"/>
          </w:tcPr>
          <w:p w14:paraId="67C8C776">
            <w:pPr>
              <w:pStyle w:val="5"/>
              <w:spacing w:line="360" w:lineRule="auto"/>
              <w:ind w:firstLine="0"/>
              <w:rPr>
                <w:rFonts w:hint="eastAsia" w:ascii="宋体" w:hAnsi="宋体" w:cs="宋体"/>
                <w:szCs w:val="21"/>
              </w:rPr>
            </w:pPr>
          </w:p>
          <w:p w14:paraId="3A4E8056">
            <w:pPr>
              <w:pStyle w:val="5"/>
              <w:spacing w:line="360" w:lineRule="auto"/>
              <w:ind w:firstLine="0"/>
              <w:rPr>
                <w:rFonts w:hint="eastAsia" w:ascii="宋体" w:hAnsi="宋体" w:cs="宋体"/>
                <w:szCs w:val="21"/>
              </w:rPr>
            </w:pPr>
            <w:r>
              <w:rPr>
                <w:rFonts w:hint="eastAsia" w:ascii="宋体" w:hAnsi="宋体" w:cs="宋体"/>
                <w:szCs w:val="21"/>
              </w:rPr>
              <w:t>乙方：</w:t>
            </w:r>
            <w:r>
              <w:rPr>
                <w:rFonts w:hint="eastAsia" w:ascii="宋体" w:hAnsi="宋体" w:cs="宋体"/>
                <w:szCs w:val="21"/>
                <w:lang w:val="en-US" w:eastAsia="zh-CN"/>
              </w:rPr>
              <w:t xml:space="preserve"> </w:t>
            </w:r>
            <w:r>
              <w:rPr>
                <w:rFonts w:hint="eastAsia" w:ascii="宋体" w:hAnsi="宋体" w:cs="宋体"/>
                <w:szCs w:val="21"/>
              </w:rPr>
              <w:t>（盖章）</w:t>
            </w:r>
          </w:p>
          <w:p w14:paraId="11E150CC">
            <w:pPr>
              <w:pStyle w:val="5"/>
              <w:spacing w:line="360" w:lineRule="auto"/>
              <w:ind w:firstLine="0"/>
              <w:jc w:val="center"/>
              <w:rPr>
                <w:rFonts w:hint="eastAsia" w:ascii="宋体" w:hAnsi="宋体" w:cs="宋体"/>
                <w:szCs w:val="21"/>
              </w:rPr>
            </w:pPr>
          </w:p>
        </w:tc>
      </w:tr>
      <w:tr w14:paraId="623D2328">
        <w:tblPrEx>
          <w:tblCellMar>
            <w:top w:w="0" w:type="dxa"/>
            <w:left w:w="51" w:type="dxa"/>
            <w:bottom w:w="0" w:type="dxa"/>
            <w:right w:w="51" w:type="dxa"/>
          </w:tblCellMar>
        </w:tblPrEx>
        <w:trPr>
          <w:jc w:val="center"/>
        </w:trPr>
        <w:tc>
          <w:tcPr>
            <w:tcW w:w="4395" w:type="dxa"/>
          </w:tcPr>
          <w:p w14:paraId="2C60C77A">
            <w:pPr>
              <w:pStyle w:val="5"/>
              <w:spacing w:line="360" w:lineRule="auto"/>
              <w:ind w:firstLine="0"/>
              <w:rPr>
                <w:rFonts w:hint="eastAsia" w:ascii="宋体" w:hAnsi="宋体" w:cs="宋体"/>
                <w:szCs w:val="21"/>
              </w:rPr>
            </w:pPr>
            <w:r>
              <w:rPr>
                <w:rFonts w:hint="eastAsia" w:ascii="宋体" w:hAnsi="宋体" w:cs="宋体"/>
                <w:szCs w:val="21"/>
              </w:rPr>
              <w:t>法定代表人</w:t>
            </w:r>
          </w:p>
        </w:tc>
        <w:tc>
          <w:tcPr>
            <w:tcW w:w="425" w:type="dxa"/>
            <w:tcMar>
              <w:top w:w="0" w:type="dxa"/>
              <w:left w:w="0" w:type="dxa"/>
              <w:bottom w:w="0" w:type="dxa"/>
              <w:right w:w="0" w:type="dxa"/>
            </w:tcMar>
            <w:vAlign w:val="center"/>
          </w:tcPr>
          <w:p w14:paraId="5FECF083">
            <w:pPr>
              <w:pStyle w:val="5"/>
              <w:spacing w:line="360" w:lineRule="auto"/>
              <w:rPr>
                <w:rFonts w:hint="eastAsia" w:ascii="宋体" w:hAnsi="宋体" w:cs="宋体"/>
                <w:sz w:val="10"/>
                <w:szCs w:val="10"/>
              </w:rPr>
            </w:pPr>
          </w:p>
        </w:tc>
        <w:tc>
          <w:tcPr>
            <w:tcW w:w="4250" w:type="dxa"/>
          </w:tcPr>
          <w:p w14:paraId="29FB6AE4">
            <w:pPr>
              <w:pStyle w:val="5"/>
              <w:spacing w:line="360" w:lineRule="auto"/>
              <w:ind w:firstLine="0"/>
              <w:rPr>
                <w:rFonts w:hint="eastAsia" w:ascii="宋体" w:hAnsi="宋体" w:cs="宋体"/>
                <w:szCs w:val="21"/>
              </w:rPr>
            </w:pPr>
            <w:r>
              <w:rPr>
                <w:rFonts w:hint="eastAsia" w:ascii="宋体" w:hAnsi="宋体" w:cs="宋体"/>
                <w:szCs w:val="21"/>
              </w:rPr>
              <w:t>法定代表人</w:t>
            </w:r>
          </w:p>
        </w:tc>
      </w:tr>
      <w:tr w14:paraId="72264EC4">
        <w:tblPrEx>
          <w:tblCellMar>
            <w:top w:w="0" w:type="dxa"/>
            <w:left w:w="51" w:type="dxa"/>
            <w:bottom w:w="0" w:type="dxa"/>
            <w:right w:w="51" w:type="dxa"/>
          </w:tblCellMar>
        </w:tblPrEx>
        <w:trPr>
          <w:trHeight w:val="637" w:hRule="atLeast"/>
          <w:jc w:val="center"/>
        </w:trPr>
        <w:tc>
          <w:tcPr>
            <w:tcW w:w="4395" w:type="dxa"/>
          </w:tcPr>
          <w:p w14:paraId="342BDD7F">
            <w:pPr>
              <w:pStyle w:val="5"/>
              <w:ind w:firstLine="0"/>
              <w:rPr>
                <w:rFonts w:hint="eastAsia" w:ascii="宋体" w:hAnsi="宋体" w:cs="宋体"/>
                <w:szCs w:val="21"/>
              </w:rPr>
            </w:pPr>
            <w:r>
              <w:rPr>
                <w:rFonts w:hint="eastAsia" w:ascii="宋体" w:hAnsi="宋体" w:cs="宋体"/>
                <w:szCs w:val="21"/>
              </w:rPr>
              <w:t>或其委托代理人：</w:t>
            </w:r>
          </w:p>
          <w:p w14:paraId="4B36269A">
            <w:pPr>
              <w:pStyle w:val="5"/>
              <w:ind w:firstLine="0"/>
              <w:rPr>
                <w:rFonts w:hint="eastAsia" w:ascii="宋体" w:hAnsi="宋体" w:cs="宋体"/>
                <w:szCs w:val="21"/>
              </w:rPr>
            </w:pPr>
            <w:r>
              <w:rPr>
                <w:rFonts w:hint="eastAsia" w:ascii="宋体" w:hAnsi="宋体" w:cs="宋体"/>
                <w:szCs w:val="21"/>
              </w:rPr>
              <w:t>（签章）</w:t>
            </w:r>
          </w:p>
        </w:tc>
        <w:tc>
          <w:tcPr>
            <w:tcW w:w="425" w:type="dxa"/>
            <w:tcMar>
              <w:top w:w="0" w:type="dxa"/>
              <w:left w:w="0" w:type="dxa"/>
              <w:bottom w:w="0" w:type="dxa"/>
              <w:right w:w="0" w:type="dxa"/>
            </w:tcMar>
            <w:vAlign w:val="center"/>
          </w:tcPr>
          <w:p w14:paraId="0257D13F">
            <w:pPr>
              <w:pStyle w:val="5"/>
              <w:spacing w:line="360" w:lineRule="auto"/>
              <w:rPr>
                <w:rFonts w:hint="eastAsia" w:ascii="宋体" w:hAnsi="宋体" w:cs="宋体"/>
                <w:sz w:val="10"/>
                <w:szCs w:val="10"/>
              </w:rPr>
            </w:pPr>
          </w:p>
        </w:tc>
        <w:tc>
          <w:tcPr>
            <w:tcW w:w="4250" w:type="dxa"/>
          </w:tcPr>
          <w:p w14:paraId="3C009D0C">
            <w:pPr>
              <w:pStyle w:val="5"/>
              <w:ind w:firstLine="0"/>
              <w:rPr>
                <w:rFonts w:hint="eastAsia" w:ascii="宋体" w:hAnsi="宋体" w:cs="宋体"/>
                <w:szCs w:val="21"/>
              </w:rPr>
            </w:pPr>
            <w:r>
              <w:rPr>
                <w:rFonts w:hint="eastAsia" w:ascii="宋体" w:hAnsi="宋体" w:cs="宋体"/>
                <w:szCs w:val="21"/>
              </w:rPr>
              <w:t>或其委托代理人：</w:t>
            </w:r>
          </w:p>
          <w:p w14:paraId="779F8057">
            <w:pPr>
              <w:pStyle w:val="5"/>
              <w:ind w:firstLine="0"/>
              <w:rPr>
                <w:rFonts w:hint="eastAsia" w:ascii="宋体" w:hAnsi="宋体" w:cs="宋体"/>
                <w:szCs w:val="21"/>
              </w:rPr>
            </w:pPr>
            <w:r>
              <w:rPr>
                <w:rFonts w:hint="eastAsia" w:ascii="宋体" w:hAnsi="宋体" w:cs="宋体"/>
                <w:szCs w:val="21"/>
              </w:rPr>
              <w:t>（签章）</w:t>
            </w:r>
          </w:p>
        </w:tc>
      </w:tr>
      <w:tr w14:paraId="673D5EBB">
        <w:tblPrEx>
          <w:tblCellMar>
            <w:top w:w="0" w:type="dxa"/>
            <w:left w:w="51" w:type="dxa"/>
            <w:bottom w:w="0" w:type="dxa"/>
            <w:right w:w="51" w:type="dxa"/>
          </w:tblCellMar>
        </w:tblPrEx>
        <w:trPr>
          <w:jc w:val="center"/>
        </w:trPr>
        <w:tc>
          <w:tcPr>
            <w:tcW w:w="4395" w:type="dxa"/>
            <w:vAlign w:val="center"/>
          </w:tcPr>
          <w:p w14:paraId="04248564">
            <w:pPr>
              <w:pStyle w:val="5"/>
              <w:spacing w:line="360" w:lineRule="auto"/>
              <w:ind w:firstLine="0"/>
              <w:rPr>
                <w:rFonts w:hint="eastAsia" w:ascii="宋体" w:hAnsi="宋体" w:cs="宋体"/>
                <w:szCs w:val="21"/>
              </w:rPr>
            </w:pPr>
            <w:r>
              <w:rPr>
                <w:rFonts w:hint="eastAsia" w:ascii="宋体" w:hAnsi="宋体" w:cs="宋体"/>
                <w:szCs w:val="21"/>
              </w:rPr>
              <w:t>单位地址：南宁市青秀区百花岭路6号</w:t>
            </w:r>
          </w:p>
        </w:tc>
        <w:tc>
          <w:tcPr>
            <w:tcW w:w="425" w:type="dxa"/>
          </w:tcPr>
          <w:p w14:paraId="2C03012D">
            <w:pPr>
              <w:pStyle w:val="5"/>
              <w:spacing w:line="360" w:lineRule="auto"/>
              <w:rPr>
                <w:rFonts w:hint="eastAsia" w:ascii="宋体" w:hAnsi="宋体" w:cs="宋体"/>
                <w:sz w:val="10"/>
                <w:szCs w:val="10"/>
              </w:rPr>
            </w:pPr>
          </w:p>
        </w:tc>
        <w:tc>
          <w:tcPr>
            <w:tcW w:w="4250" w:type="dxa"/>
            <w:vAlign w:val="center"/>
          </w:tcPr>
          <w:p w14:paraId="3973EEBF">
            <w:pPr>
              <w:pStyle w:val="5"/>
              <w:spacing w:line="360" w:lineRule="auto"/>
              <w:ind w:firstLine="0"/>
              <w:rPr>
                <w:rFonts w:hint="eastAsia" w:ascii="宋体" w:hAnsi="宋体" w:eastAsia="宋体" w:cs="宋体"/>
                <w:szCs w:val="21"/>
                <w:lang w:eastAsia="zh-CN"/>
              </w:rPr>
            </w:pPr>
            <w:r>
              <w:rPr>
                <w:rFonts w:hint="eastAsia" w:ascii="宋体" w:hAnsi="宋体" w:cs="宋体"/>
                <w:szCs w:val="21"/>
              </w:rPr>
              <w:t>单位地址：</w:t>
            </w:r>
            <w:r>
              <w:rPr>
                <w:rFonts w:hint="eastAsia" w:ascii="宋体" w:hAnsi="宋体" w:cs="宋体"/>
                <w:szCs w:val="21"/>
                <w:lang w:val="en-US" w:eastAsia="zh-CN"/>
              </w:rPr>
              <w:t xml:space="preserve"> </w:t>
            </w:r>
          </w:p>
        </w:tc>
      </w:tr>
      <w:tr w14:paraId="67D30FAD">
        <w:tblPrEx>
          <w:tblCellMar>
            <w:top w:w="0" w:type="dxa"/>
            <w:left w:w="51" w:type="dxa"/>
            <w:bottom w:w="0" w:type="dxa"/>
            <w:right w:w="51" w:type="dxa"/>
          </w:tblCellMar>
        </w:tblPrEx>
        <w:trPr>
          <w:jc w:val="center"/>
        </w:trPr>
        <w:tc>
          <w:tcPr>
            <w:tcW w:w="4395" w:type="dxa"/>
            <w:vAlign w:val="center"/>
          </w:tcPr>
          <w:p w14:paraId="02C683A4">
            <w:pPr>
              <w:pStyle w:val="5"/>
              <w:spacing w:line="360" w:lineRule="auto"/>
              <w:ind w:firstLine="0"/>
              <w:rPr>
                <w:rFonts w:hint="eastAsia" w:ascii="宋体" w:hAnsi="宋体" w:eastAsia="宋体" w:cs="宋体"/>
                <w:szCs w:val="21"/>
                <w:lang w:eastAsia="zh-CN"/>
              </w:rPr>
            </w:pPr>
            <w:r>
              <w:rPr>
                <w:rFonts w:hint="eastAsia" w:ascii="宋体" w:hAnsi="宋体" w:cs="宋体"/>
                <w:szCs w:val="21"/>
              </w:rPr>
              <w:t>联系人：</w:t>
            </w:r>
            <w:r>
              <w:rPr>
                <w:rFonts w:hint="eastAsia" w:ascii="宋体" w:hAnsi="宋体" w:cs="宋体"/>
                <w:szCs w:val="21"/>
                <w:lang w:val="en-US" w:eastAsia="zh-CN"/>
              </w:rPr>
              <w:t xml:space="preserve"> </w:t>
            </w:r>
          </w:p>
        </w:tc>
        <w:tc>
          <w:tcPr>
            <w:tcW w:w="425" w:type="dxa"/>
          </w:tcPr>
          <w:p w14:paraId="15CAB4B1">
            <w:pPr>
              <w:pStyle w:val="5"/>
              <w:spacing w:line="360" w:lineRule="auto"/>
              <w:rPr>
                <w:rFonts w:hint="eastAsia" w:ascii="宋体" w:hAnsi="宋体" w:cs="宋体"/>
                <w:sz w:val="10"/>
                <w:szCs w:val="10"/>
              </w:rPr>
            </w:pPr>
          </w:p>
        </w:tc>
        <w:tc>
          <w:tcPr>
            <w:tcW w:w="4250" w:type="dxa"/>
            <w:vAlign w:val="center"/>
          </w:tcPr>
          <w:p w14:paraId="29668A5B">
            <w:pPr>
              <w:pStyle w:val="5"/>
              <w:spacing w:line="360" w:lineRule="auto"/>
              <w:ind w:firstLine="0"/>
              <w:rPr>
                <w:rFonts w:hint="eastAsia" w:ascii="宋体" w:hAnsi="宋体" w:eastAsia="宋体" w:cs="宋体"/>
                <w:szCs w:val="21"/>
                <w:lang w:eastAsia="zh-CN"/>
              </w:rPr>
            </w:pPr>
            <w:r>
              <w:rPr>
                <w:rFonts w:hint="eastAsia" w:ascii="宋体" w:hAnsi="宋体" w:cs="宋体"/>
                <w:szCs w:val="21"/>
              </w:rPr>
              <w:t>联系人：</w:t>
            </w:r>
            <w:r>
              <w:rPr>
                <w:rFonts w:hint="eastAsia" w:ascii="宋体" w:hAnsi="宋体" w:cs="宋体"/>
                <w:szCs w:val="21"/>
                <w:lang w:val="en-US" w:eastAsia="zh-CN"/>
              </w:rPr>
              <w:t xml:space="preserve"> </w:t>
            </w:r>
          </w:p>
        </w:tc>
      </w:tr>
      <w:tr w14:paraId="049AF9C0">
        <w:tblPrEx>
          <w:tblCellMar>
            <w:top w:w="0" w:type="dxa"/>
            <w:left w:w="51" w:type="dxa"/>
            <w:bottom w:w="0" w:type="dxa"/>
            <w:right w:w="51" w:type="dxa"/>
          </w:tblCellMar>
        </w:tblPrEx>
        <w:trPr>
          <w:jc w:val="center"/>
        </w:trPr>
        <w:tc>
          <w:tcPr>
            <w:tcW w:w="4395" w:type="dxa"/>
            <w:vAlign w:val="center"/>
          </w:tcPr>
          <w:p w14:paraId="5FD76B16">
            <w:pPr>
              <w:pStyle w:val="5"/>
              <w:spacing w:line="360" w:lineRule="auto"/>
              <w:ind w:firstLine="0"/>
              <w:rPr>
                <w:rFonts w:hint="eastAsia" w:ascii="宋体" w:hAnsi="宋体" w:eastAsia="宋体" w:cs="宋体"/>
                <w:szCs w:val="21"/>
                <w:lang w:eastAsia="zh-CN"/>
              </w:rPr>
            </w:pPr>
            <w:r>
              <w:rPr>
                <w:rFonts w:hint="eastAsia" w:ascii="宋体" w:hAnsi="宋体" w:cs="宋体"/>
                <w:szCs w:val="21"/>
              </w:rPr>
              <w:t>联系电话：</w:t>
            </w:r>
            <w:r>
              <w:rPr>
                <w:rFonts w:hint="eastAsia" w:ascii="宋体" w:hAnsi="宋体" w:cs="宋体"/>
                <w:szCs w:val="21"/>
                <w:lang w:val="en-US" w:eastAsia="zh-CN"/>
              </w:rPr>
              <w:t xml:space="preserve"> </w:t>
            </w:r>
          </w:p>
        </w:tc>
        <w:tc>
          <w:tcPr>
            <w:tcW w:w="425" w:type="dxa"/>
          </w:tcPr>
          <w:p w14:paraId="650955F0">
            <w:pPr>
              <w:pStyle w:val="5"/>
              <w:spacing w:line="360" w:lineRule="auto"/>
              <w:rPr>
                <w:rFonts w:hint="eastAsia" w:ascii="宋体" w:hAnsi="宋体" w:cs="宋体"/>
                <w:sz w:val="10"/>
                <w:szCs w:val="10"/>
              </w:rPr>
            </w:pPr>
          </w:p>
        </w:tc>
        <w:tc>
          <w:tcPr>
            <w:tcW w:w="4250" w:type="dxa"/>
            <w:vAlign w:val="center"/>
          </w:tcPr>
          <w:p w14:paraId="7C93EA41">
            <w:pPr>
              <w:pStyle w:val="5"/>
              <w:spacing w:line="360" w:lineRule="auto"/>
              <w:ind w:firstLine="0"/>
              <w:rPr>
                <w:rFonts w:hint="eastAsia" w:ascii="宋体" w:hAnsi="宋体" w:eastAsia="宋体" w:cs="宋体"/>
                <w:szCs w:val="21"/>
                <w:lang w:eastAsia="zh-CN"/>
              </w:rPr>
            </w:pPr>
            <w:r>
              <w:rPr>
                <w:rFonts w:hint="eastAsia" w:ascii="宋体" w:hAnsi="宋体" w:cs="宋体"/>
                <w:szCs w:val="21"/>
              </w:rPr>
              <w:t>联系电话：</w:t>
            </w:r>
            <w:r>
              <w:rPr>
                <w:rFonts w:hint="eastAsia" w:ascii="宋体" w:hAnsi="宋体" w:cs="宋体"/>
                <w:szCs w:val="21"/>
                <w:lang w:val="en-US" w:eastAsia="zh-CN"/>
              </w:rPr>
              <w:t xml:space="preserve"> </w:t>
            </w:r>
          </w:p>
        </w:tc>
      </w:tr>
      <w:tr w14:paraId="058E6F5B">
        <w:tblPrEx>
          <w:tblCellMar>
            <w:top w:w="0" w:type="dxa"/>
            <w:left w:w="51" w:type="dxa"/>
            <w:bottom w:w="0" w:type="dxa"/>
            <w:right w:w="51" w:type="dxa"/>
          </w:tblCellMar>
        </w:tblPrEx>
        <w:trPr>
          <w:trHeight w:val="888" w:hRule="atLeast"/>
          <w:jc w:val="center"/>
        </w:trPr>
        <w:tc>
          <w:tcPr>
            <w:tcW w:w="4395" w:type="dxa"/>
            <w:vAlign w:val="center"/>
          </w:tcPr>
          <w:p w14:paraId="69265704">
            <w:pPr>
              <w:pStyle w:val="5"/>
              <w:spacing w:line="360" w:lineRule="auto"/>
              <w:ind w:firstLine="0"/>
              <w:rPr>
                <w:rFonts w:hint="eastAsia" w:ascii="宋体" w:hAnsi="宋体" w:cs="宋体"/>
                <w:szCs w:val="21"/>
              </w:rPr>
            </w:pPr>
          </w:p>
        </w:tc>
        <w:tc>
          <w:tcPr>
            <w:tcW w:w="425" w:type="dxa"/>
          </w:tcPr>
          <w:p w14:paraId="43335E72">
            <w:pPr>
              <w:pStyle w:val="5"/>
              <w:spacing w:line="360" w:lineRule="auto"/>
              <w:rPr>
                <w:rFonts w:hint="eastAsia" w:ascii="宋体" w:hAnsi="宋体" w:cs="宋体"/>
                <w:sz w:val="10"/>
                <w:szCs w:val="10"/>
              </w:rPr>
            </w:pPr>
          </w:p>
        </w:tc>
        <w:tc>
          <w:tcPr>
            <w:tcW w:w="4250" w:type="dxa"/>
            <w:vAlign w:val="center"/>
          </w:tcPr>
          <w:p w14:paraId="10077D43">
            <w:pPr>
              <w:pStyle w:val="5"/>
              <w:spacing w:line="360" w:lineRule="auto"/>
              <w:ind w:firstLine="0"/>
              <w:rPr>
                <w:rFonts w:hint="eastAsia" w:ascii="宋体" w:hAnsi="宋体" w:cs="宋体"/>
                <w:szCs w:val="21"/>
              </w:rPr>
            </w:pPr>
          </w:p>
        </w:tc>
      </w:tr>
      <w:tr w14:paraId="3BC24475">
        <w:tblPrEx>
          <w:tblCellMar>
            <w:top w:w="0" w:type="dxa"/>
            <w:left w:w="51" w:type="dxa"/>
            <w:bottom w:w="0" w:type="dxa"/>
            <w:right w:w="51" w:type="dxa"/>
          </w:tblCellMar>
        </w:tblPrEx>
        <w:trPr>
          <w:jc w:val="center"/>
        </w:trPr>
        <w:tc>
          <w:tcPr>
            <w:tcW w:w="9070" w:type="dxa"/>
            <w:gridSpan w:val="3"/>
            <w:vAlign w:val="center"/>
          </w:tcPr>
          <w:p w14:paraId="584715F4">
            <w:pPr>
              <w:pStyle w:val="5"/>
              <w:spacing w:line="360" w:lineRule="auto"/>
              <w:ind w:firstLine="0"/>
              <w:jc w:val="center"/>
              <w:rPr>
                <w:rFonts w:hint="eastAsia" w:ascii="宋体" w:hAnsi="宋体" w:cs="宋体"/>
                <w:szCs w:val="21"/>
              </w:rPr>
            </w:pPr>
            <w:r>
              <w:rPr>
                <w:rFonts w:hint="eastAsia" w:ascii="宋体" w:hAnsi="宋体" w:cs="宋体"/>
                <w:szCs w:val="21"/>
              </w:rPr>
              <w:t>签订日期：</w:t>
            </w:r>
            <w:r>
              <w:rPr>
                <w:rFonts w:hint="eastAsia" w:ascii="宋体" w:hAnsi="宋体" w:cs="宋体"/>
                <w:szCs w:val="21"/>
                <w:u w:val="single"/>
              </w:rPr>
              <w:t>2026</w:t>
            </w:r>
            <w:r>
              <w:rPr>
                <w:rFonts w:hint="eastAsia" w:ascii="宋体" w:hAnsi="宋体" w:cs="宋体"/>
                <w:szCs w:val="21"/>
              </w:rPr>
              <w:t>年</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tc>
      </w:tr>
      <w:bookmarkEnd w:id="298"/>
      <w:bookmarkEnd w:id="299"/>
      <w:bookmarkEnd w:id="300"/>
      <w:bookmarkEnd w:id="301"/>
      <w:bookmarkEnd w:id="302"/>
      <w:bookmarkEnd w:id="303"/>
      <w:bookmarkEnd w:id="304"/>
      <w:bookmarkEnd w:id="305"/>
      <w:bookmarkEnd w:id="318"/>
      <w:bookmarkEnd w:id="319"/>
      <w:bookmarkEnd w:id="320"/>
    </w:tbl>
    <w:p w14:paraId="650911AC">
      <w:pPr>
        <w:pStyle w:val="31"/>
        <w:ind w:firstLine="0" w:firstLineChars="0"/>
        <w:jc w:val="both"/>
        <w:rPr>
          <w:b/>
          <w:bCs/>
          <w:color w:val="auto"/>
          <w:sz w:val="44"/>
          <w:szCs w:val="44"/>
          <w:highlight w:val="none"/>
        </w:rPr>
      </w:pPr>
    </w:p>
    <w:sectPr>
      <w:footerReference r:id="rId9" w:type="first"/>
      <w:headerReference r:id="rId7" w:type="default"/>
      <w:footerReference r:id="rId8" w:type="default"/>
      <w:pgSz w:w="11906" w:h="16838"/>
      <w:pgMar w:top="1134" w:right="1134" w:bottom="1134" w:left="1134" w:header="851" w:footer="567"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幼圆">
    <w:panose1 w:val="0201050906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275F87">
    <w:pPr>
      <w:pStyle w:val="16"/>
      <w:tabs>
        <w:tab w:val="center" w:pos="4439"/>
        <w:tab w:val="clear" w:pos="4153"/>
      </w:tabs>
      <w:jc w:val="both"/>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57785" cy="131445"/>
              <wp:effectExtent l="0" t="0" r="0" b="0"/>
              <wp:wrapNone/>
              <wp:docPr id="7" name="文本框 7"/>
              <wp:cNvGraphicFramePr/>
              <a:graphic xmlns:a="http://schemas.openxmlformats.org/drawingml/2006/main">
                <a:graphicData uri="http://schemas.microsoft.com/office/word/2010/wordprocessingShape">
                  <wps:wsp>
                    <wps:cNvSpPr txBox="1"/>
                    <wps:spPr>
                      <a:xfrm>
                        <a:off x="0" y="0"/>
                        <a:ext cx="57785" cy="131445"/>
                      </a:xfrm>
                      <a:prstGeom prst="rect">
                        <a:avLst/>
                      </a:prstGeom>
                      <a:noFill/>
                      <a:ln>
                        <a:noFill/>
                      </a:ln>
                    </wps:spPr>
                    <wps:txbx>
                      <w:txbxContent>
                        <w:p w14:paraId="0C1DE230">
                          <w:pPr>
                            <w:pStyle w:val="16"/>
                          </w:pPr>
                          <w:r>
                            <w:fldChar w:fldCharType="begin"/>
                          </w:r>
                          <w:r>
                            <w:instrText xml:space="preserve"> PAGE  \* MERGEFORMAT </w:instrText>
                          </w:r>
                          <w:r>
                            <w:fldChar w:fldCharType="separate"/>
                          </w:r>
                          <w:r>
                            <w:t>20</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0.35pt;width:4.55pt;mso-position-horizontal:center;mso-position-horizontal-relative:margin;mso-wrap-style:none;z-index:251661312;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4vdRNAAAAACAQAADwAAAAAAAAABACAAAAAiAAAAZHJzL2Rvd25yZXYueG1s&#10;UEsBAhQAFAAAAAgAh07iQNG89CvHAQAAigMAAA4AAAAAAAAAAQAgAAAAHwEAAGRycy9lMm9Eb2Mu&#10;eG1sUEsFBgAAAAAGAAYAWQEAAFgFAAAAAA==&#10;">
              <v:fill on="f" focussize="0,0"/>
              <v:stroke on="f"/>
              <v:imagedata o:title=""/>
              <o:lock v:ext="edit" aspectratio="f"/>
              <v:textbox inset="0mm,0mm,0mm,0mm" style="mso-fit-shape-to-text:t;">
                <w:txbxContent>
                  <w:p w14:paraId="0C1DE230">
                    <w:pPr>
                      <w:pStyle w:val="16"/>
                    </w:pPr>
                    <w:r>
                      <w:fldChar w:fldCharType="begin"/>
                    </w:r>
                    <w:r>
                      <w:instrText xml:space="preserve"> PAGE  \* MERGEFORMAT </w:instrText>
                    </w:r>
                    <w:r>
                      <w:fldChar w:fldCharType="separate"/>
                    </w:r>
                    <w:r>
                      <w:t>20</w:t>
                    </w:r>
                    <w:r>
                      <w:fldChar w:fldCharType="end"/>
                    </w:r>
                  </w:p>
                </w:txbxContent>
              </v:textbox>
            </v:shape>
          </w:pict>
        </mc:Fallback>
      </mc:AlternateContent>
    </w:r>
  </w:p>
  <w:p w14:paraId="098A3566">
    <w:pPr>
      <w:pStyle w:val="1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717785">
    <w:pPr>
      <w:pStyle w:val="16"/>
      <w:tabs>
        <w:tab w:val="center" w:pos="4439"/>
        <w:tab w:val="clear" w:pos="4153"/>
      </w:tabs>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14935" cy="153035"/>
              <wp:effectExtent l="0" t="0" r="0" b="0"/>
              <wp:wrapNone/>
              <wp:docPr id="5" name="文本框 5"/>
              <wp:cNvGraphicFramePr/>
              <a:graphic xmlns:a="http://schemas.openxmlformats.org/drawingml/2006/main">
                <a:graphicData uri="http://schemas.microsoft.com/office/word/2010/wordprocessingShape">
                  <wps:wsp>
                    <wps:cNvSpPr txBox="1"/>
                    <wps:spPr>
                      <a:xfrm>
                        <a:off x="0" y="0"/>
                        <a:ext cx="114935" cy="153035"/>
                      </a:xfrm>
                      <a:prstGeom prst="rect">
                        <a:avLst/>
                      </a:prstGeom>
                      <a:noFill/>
                      <a:ln>
                        <a:noFill/>
                      </a:ln>
                    </wps:spPr>
                    <wps:txbx>
                      <w:txbxContent>
                        <w:p w14:paraId="7AD98580"/>
                      </w:txbxContent>
                    </wps:txbx>
                    <wps:bodyPr wrap="none" lIns="0" tIns="0" rIns="0" bIns="0">
                      <a:spAutoFit/>
                    </wps:bodyPr>
                  </wps:wsp>
                </a:graphicData>
              </a:graphic>
            </wp:anchor>
          </w:drawing>
        </mc:Choice>
        <mc:Fallback>
          <w:pict>
            <v:shape id="_x0000_s1026" o:spid="_x0000_s1026" o:spt="202" type="#_x0000_t202" style="position:absolute;left:0pt;margin-top:0pt;height:12.05pt;width:9.05pt;mso-position-horizontal:center;mso-position-horizontal-relative:margin;mso-wrap-style:none;z-index:251662336;mso-width-relative:page;mso-height-relative:page;" filled="f" stroked="f" coordsize="21600,21600" o:gfxdata="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AkFT5rQAAAAAwEAAA8AAAAAAAAAAQAgAAAAIgAAAGRycy9kb3ducmV2LnhtbFBL&#10;AQIUABQAAAAIAIdO4kBUxB8bxQEAAIsDAAAOAAAAAAAAAAEAIAAAAB8BAABkcnMvZTJvRG9jLnht&#10;bFBLBQYAAAAABgAGAFkBAABWBQAAAAA=&#10;">
              <v:fill on="f" focussize="0,0"/>
              <v:stroke on="f"/>
              <v:imagedata o:title=""/>
              <o:lock v:ext="edit" aspectratio="f"/>
              <v:textbox inset="0mm,0mm,0mm,0mm" style="mso-fit-shape-to-text:t;">
                <w:txbxContent>
                  <w:p w14:paraId="7AD98580"/>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259EBD">
    <w:pPr>
      <w:pStyle w:val="16"/>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31445"/>
              <wp:effectExtent l="0" t="0" r="0" b="0"/>
              <wp:wrapNone/>
              <wp:docPr id="6" name="文本框 6"/>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a:noFill/>
                      </a:ln>
                    </wps:spPr>
                    <wps:txbx>
                      <w:txbxContent>
                        <w:p w14:paraId="43724D02">
                          <w:pPr>
                            <w:pStyle w:val="16"/>
                            <w:jc w:val="center"/>
                          </w:pPr>
                          <w:r>
                            <w:fldChar w:fldCharType="begin"/>
                          </w:r>
                          <w:r>
                            <w:instrText xml:space="preserve"> PAGE  \* MERGEFORMAT </w:instrText>
                          </w:r>
                          <w:r>
                            <w:fldChar w:fldCharType="separate"/>
                          </w:r>
                          <w:r>
                            <w:t>38</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0.35pt;width:9.05pt;mso-position-horizontal:center;mso-position-horizontal-relative:margin;mso-wrap-style:none;z-index:251659264;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BD5X5J0AAAAAMBAAAPAAAAAAAAAAEAIAAAACIAAABkcnMvZG93bnJldi54bWxQ&#10;SwECFAAUAAAACACHTuJAt87d2MYBAACLAwAADgAAAAAAAAABACAAAAAfAQAAZHJzL2Uyb0RvYy54&#10;bWxQSwUGAAAAAAYABgBZAQAAVwUAAAAA&#10;">
              <v:fill on="f" focussize="0,0"/>
              <v:stroke on="f"/>
              <v:imagedata o:title=""/>
              <o:lock v:ext="edit" aspectratio="f"/>
              <v:textbox inset="0mm,0mm,0mm,0mm" style="mso-fit-shape-to-text:t;">
                <w:txbxContent>
                  <w:p w14:paraId="43724D02">
                    <w:pPr>
                      <w:pStyle w:val="16"/>
                      <w:jc w:val="center"/>
                    </w:pPr>
                    <w:r>
                      <w:fldChar w:fldCharType="begin"/>
                    </w:r>
                    <w:r>
                      <w:instrText xml:space="preserve"> PAGE  \* MERGEFORMAT </w:instrText>
                    </w:r>
                    <w:r>
                      <w:fldChar w:fldCharType="separate"/>
                    </w:r>
                    <w:r>
                      <w:t>38</w:t>
                    </w:r>
                    <w:r>
                      <w:fldChar w:fldCharType="end"/>
                    </w:r>
                  </w:p>
                </w:txbxContent>
              </v:textbox>
            </v:shape>
          </w:pict>
        </mc:Fallback>
      </mc:AlternateContent>
    </w:r>
  </w:p>
  <w:p w14:paraId="1DAA0BBC">
    <w:pPr>
      <w:pStyle w:val="1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007C61">
    <w:pPr>
      <w:pStyle w:val="16"/>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14935" cy="131445"/>
              <wp:effectExtent l="0" t="0" r="0" b="0"/>
              <wp:wrapNone/>
              <wp:docPr id="1" name="文本框 1"/>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a:noFill/>
                      </a:ln>
                    </wps:spPr>
                    <wps:txbx>
                      <w:txbxContent>
                        <w:p w14:paraId="31100E0B">
                          <w:pPr>
                            <w:pStyle w:val="16"/>
                          </w:pPr>
                          <w:r>
                            <w:rPr>
                              <w:rFonts w:hint="eastAsia"/>
                            </w:rPr>
                            <w:fldChar w:fldCharType="begin"/>
                          </w:r>
                          <w:r>
                            <w:rPr>
                              <w:rFonts w:hint="eastAsia"/>
                            </w:rPr>
                            <w:instrText xml:space="preserve"> PAGE  \* MERGEFORMAT </w:instrText>
                          </w:r>
                          <w:r>
                            <w:rPr>
                              <w:rFonts w:hint="eastAsia"/>
                            </w:rPr>
                            <w:fldChar w:fldCharType="separate"/>
                          </w:r>
                          <w:r>
                            <w:t>30</w:t>
                          </w:r>
                          <w:r>
                            <w:rPr>
                              <w:rFonts w:hint="eastAsia"/>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0.35pt;width:9.05pt;mso-position-horizontal:center;mso-position-horizontal-relative:margin;mso-wrap-style:none;z-index:251660288;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Q+V+SdAAAAADAQAADwAAAAAAAAABACAAAAAiAAAAZHJzL2Rvd25yZXYueG1s&#10;UEsBAhQAFAAAAAgAh07iQDhQJ3LHAQAAiwMAAA4AAAAAAAAAAQAgAAAAHwEAAGRycy9lMm9Eb2Mu&#10;eG1sUEsFBgAAAAAGAAYAWQEAAFgFAAAAAA==&#10;">
              <v:fill on="f" focussize="0,0"/>
              <v:stroke on="f"/>
              <v:imagedata o:title=""/>
              <o:lock v:ext="edit" aspectratio="f"/>
              <v:textbox inset="0mm,0mm,0mm,0mm" style="mso-fit-shape-to-text:t;">
                <w:txbxContent>
                  <w:p w14:paraId="31100E0B">
                    <w:pPr>
                      <w:pStyle w:val="16"/>
                    </w:pPr>
                    <w:r>
                      <w:rPr>
                        <w:rFonts w:hint="eastAsia"/>
                      </w:rPr>
                      <w:fldChar w:fldCharType="begin"/>
                    </w:r>
                    <w:r>
                      <w:rPr>
                        <w:rFonts w:hint="eastAsia"/>
                      </w:rPr>
                      <w:instrText xml:space="preserve"> PAGE  \* MERGEFORMAT </w:instrText>
                    </w:r>
                    <w:r>
                      <w:rPr>
                        <w:rFonts w:hint="eastAsia"/>
                      </w:rPr>
                      <w:fldChar w:fldCharType="separate"/>
                    </w:r>
                    <w:r>
                      <w:t>30</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9D0D21">
    <w:pPr>
      <w:pStyle w:val="1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2C40D6">
    <w:pPr>
      <w:pStyle w:val="17"/>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CD3197">
    <w:pPr>
      <w:pStyle w:val="17"/>
      <w:pBdr>
        <w:bottom w:val="none" w:color="auto" w:sz="0" w:space="0"/>
      </w:pBdr>
      <w:tabs>
        <w:tab w:val="center" w:pos="0"/>
        <w:tab w:val="left" w:pos="8306"/>
        <w:tab w:val="clear" w:pos="4153"/>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SystemFonts/>
  <w:bordersDoNotSurroundHeader w:val="1"/>
  <w:bordersDoNotSurroundFooter w:val="1"/>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c1OTAyNjUwMzAwOTUzNDY4MDgzZGQ4NmQxNDljMzUifQ=="/>
  </w:docVars>
  <w:rsids>
    <w:rsidRoot w:val="34C93999"/>
    <w:rsid w:val="00024F75"/>
    <w:rsid w:val="000B2587"/>
    <w:rsid w:val="000C3020"/>
    <w:rsid w:val="000D1C12"/>
    <w:rsid w:val="001077E5"/>
    <w:rsid w:val="00110E50"/>
    <w:rsid w:val="00120044"/>
    <w:rsid w:val="001249E5"/>
    <w:rsid w:val="001370CC"/>
    <w:rsid w:val="001943F3"/>
    <w:rsid w:val="00197D7C"/>
    <w:rsid w:val="002074A1"/>
    <w:rsid w:val="0024633E"/>
    <w:rsid w:val="002A321A"/>
    <w:rsid w:val="002E0DBD"/>
    <w:rsid w:val="002F2BC6"/>
    <w:rsid w:val="00337FF8"/>
    <w:rsid w:val="00356FF0"/>
    <w:rsid w:val="00376890"/>
    <w:rsid w:val="003914E4"/>
    <w:rsid w:val="003A58E6"/>
    <w:rsid w:val="003C697E"/>
    <w:rsid w:val="004129E9"/>
    <w:rsid w:val="004136C7"/>
    <w:rsid w:val="00426ECB"/>
    <w:rsid w:val="00437639"/>
    <w:rsid w:val="00445134"/>
    <w:rsid w:val="00463433"/>
    <w:rsid w:val="004759B0"/>
    <w:rsid w:val="004A514D"/>
    <w:rsid w:val="004B2FF5"/>
    <w:rsid w:val="004C2157"/>
    <w:rsid w:val="004C23B8"/>
    <w:rsid w:val="004F44A0"/>
    <w:rsid w:val="00513C9C"/>
    <w:rsid w:val="005169C0"/>
    <w:rsid w:val="00560754"/>
    <w:rsid w:val="005750CF"/>
    <w:rsid w:val="0057562B"/>
    <w:rsid w:val="005D741C"/>
    <w:rsid w:val="00644C63"/>
    <w:rsid w:val="0065328C"/>
    <w:rsid w:val="0067215E"/>
    <w:rsid w:val="006909B7"/>
    <w:rsid w:val="006C69FB"/>
    <w:rsid w:val="006D1841"/>
    <w:rsid w:val="006D1962"/>
    <w:rsid w:val="006E12E6"/>
    <w:rsid w:val="006F21CF"/>
    <w:rsid w:val="0074337D"/>
    <w:rsid w:val="0075157B"/>
    <w:rsid w:val="00781CD2"/>
    <w:rsid w:val="00795E21"/>
    <w:rsid w:val="007C12D2"/>
    <w:rsid w:val="007C77CE"/>
    <w:rsid w:val="007F27CB"/>
    <w:rsid w:val="007F6099"/>
    <w:rsid w:val="00833F13"/>
    <w:rsid w:val="0087406B"/>
    <w:rsid w:val="008B4D30"/>
    <w:rsid w:val="008D7B67"/>
    <w:rsid w:val="00923A67"/>
    <w:rsid w:val="009545EB"/>
    <w:rsid w:val="009F2F68"/>
    <w:rsid w:val="00A14D97"/>
    <w:rsid w:val="00A368F1"/>
    <w:rsid w:val="00A66DC7"/>
    <w:rsid w:val="00A808C0"/>
    <w:rsid w:val="00A91449"/>
    <w:rsid w:val="00AF6A6D"/>
    <w:rsid w:val="00B2161F"/>
    <w:rsid w:val="00B2494B"/>
    <w:rsid w:val="00B47223"/>
    <w:rsid w:val="00B66956"/>
    <w:rsid w:val="00B74FA0"/>
    <w:rsid w:val="00B8174C"/>
    <w:rsid w:val="00B8222F"/>
    <w:rsid w:val="00BB6DD5"/>
    <w:rsid w:val="00BF6D0E"/>
    <w:rsid w:val="00C03FA9"/>
    <w:rsid w:val="00C26B47"/>
    <w:rsid w:val="00C30C5D"/>
    <w:rsid w:val="00C50E49"/>
    <w:rsid w:val="00C74DE9"/>
    <w:rsid w:val="00C96759"/>
    <w:rsid w:val="00CC1689"/>
    <w:rsid w:val="00CC303F"/>
    <w:rsid w:val="00D028CA"/>
    <w:rsid w:val="00D0295C"/>
    <w:rsid w:val="00D45E9B"/>
    <w:rsid w:val="00D80D26"/>
    <w:rsid w:val="00D8107C"/>
    <w:rsid w:val="00D856B9"/>
    <w:rsid w:val="00D94B29"/>
    <w:rsid w:val="00D96E53"/>
    <w:rsid w:val="00DA6169"/>
    <w:rsid w:val="00DE3D00"/>
    <w:rsid w:val="00DF6716"/>
    <w:rsid w:val="00E15E97"/>
    <w:rsid w:val="00E46AD2"/>
    <w:rsid w:val="00E73E52"/>
    <w:rsid w:val="00EA1794"/>
    <w:rsid w:val="00EA17BF"/>
    <w:rsid w:val="00EC3DEE"/>
    <w:rsid w:val="00F21422"/>
    <w:rsid w:val="00F26B11"/>
    <w:rsid w:val="00F464C3"/>
    <w:rsid w:val="00FD2DED"/>
    <w:rsid w:val="015837E7"/>
    <w:rsid w:val="019404F8"/>
    <w:rsid w:val="01B97F5E"/>
    <w:rsid w:val="023A2582"/>
    <w:rsid w:val="0241242E"/>
    <w:rsid w:val="02532161"/>
    <w:rsid w:val="02777065"/>
    <w:rsid w:val="02815B80"/>
    <w:rsid w:val="02860B12"/>
    <w:rsid w:val="02FF20EF"/>
    <w:rsid w:val="03121CB1"/>
    <w:rsid w:val="03327053"/>
    <w:rsid w:val="038E6260"/>
    <w:rsid w:val="03F86B1C"/>
    <w:rsid w:val="047932FF"/>
    <w:rsid w:val="047D34C5"/>
    <w:rsid w:val="04A04910"/>
    <w:rsid w:val="04EA18B4"/>
    <w:rsid w:val="04F80D9E"/>
    <w:rsid w:val="05017C52"/>
    <w:rsid w:val="056C0210"/>
    <w:rsid w:val="058D09DD"/>
    <w:rsid w:val="05AC2A96"/>
    <w:rsid w:val="05D073C6"/>
    <w:rsid w:val="06093262"/>
    <w:rsid w:val="0650484D"/>
    <w:rsid w:val="06AB56C6"/>
    <w:rsid w:val="06B55160"/>
    <w:rsid w:val="06DD0D61"/>
    <w:rsid w:val="06E1398D"/>
    <w:rsid w:val="06E65352"/>
    <w:rsid w:val="07124399"/>
    <w:rsid w:val="07135F64"/>
    <w:rsid w:val="074F5A1D"/>
    <w:rsid w:val="07635DC6"/>
    <w:rsid w:val="08013031"/>
    <w:rsid w:val="08640C24"/>
    <w:rsid w:val="08C77405"/>
    <w:rsid w:val="08FB3710"/>
    <w:rsid w:val="08FB7730"/>
    <w:rsid w:val="08FC70AE"/>
    <w:rsid w:val="0925661E"/>
    <w:rsid w:val="094B3982"/>
    <w:rsid w:val="09CC40B1"/>
    <w:rsid w:val="0AEB7501"/>
    <w:rsid w:val="0B705B32"/>
    <w:rsid w:val="0B7F7B23"/>
    <w:rsid w:val="0C154AE6"/>
    <w:rsid w:val="0C510D41"/>
    <w:rsid w:val="0C71390F"/>
    <w:rsid w:val="0C780787"/>
    <w:rsid w:val="0CAC2B9A"/>
    <w:rsid w:val="0CC84203"/>
    <w:rsid w:val="0CFD1647"/>
    <w:rsid w:val="0D693D8C"/>
    <w:rsid w:val="0DC14423"/>
    <w:rsid w:val="0E047436"/>
    <w:rsid w:val="0E1D51E9"/>
    <w:rsid w:val="0E630A57"/>
    <w:rsid w:val="0EC145B8"/>
    <w:rsid w:val="0ECC18E9"/>
    <w:rsid w:val="0F2D5DBF"/>
    <w:rsid w:val="0F87169C"/>
    <w:rsid w:val="10233173"/>
    <w:rsid w:val="102962AF"/>
    <w:rsid w:val="115351DC"/>
    <w:rsid w:val="11651569"/>
    <w:rsid w:val="11CE52C6"/>
    <w:rsid w:val="1238175F"/>
    <w:rsid w:val="12C435FB"/>
    <w:rsid w:val="13D50C28"/>
    <w:rsid w:val="13FF1575"/>
    <w:rsid w:val="141510EF"/>
    <w:rsid w:val="14171240"/>
    <w:rsid w:val="144D4C62"/>
    <w:rsid w:val="14F07316"/>
    <w:rsid w:val="14F25809"/>
    <w:rsid w:val="15055A09"/>
    <w:rsid w:val="153A762E"/>
    <w:rsid w:val="15D76C42"/>
    <w:rsid w:val="172C078B"/>
    <w:rsid w:val="173819A8"/>
    <w:rsid w:val="178D2C0D"/>
    <w:rsid w:val="17F7561A"/>
    <w:rsid w:val="18517B09"/>
    <w:rsid w:val="185C36C6"/>
    <w:rsid w:val="18610CDC"/>
    <w:rsid w:val="189310B2"/>
    <w:rsid w:val="189A5F9C"/>
    <w:rsid w:val="18AE37F5"/>
    <w:rsid w:val="18F5277F"/>
    <w:rsid w:val="1930354C"/>
    <w:rsid w:val="199B6470"/>
    <w:rsid w:val="1A0D2A74"/>
    <w:rsid w:val="1A295749"/>
    <w:rsid w:val="1A512A09"/>
    <w:rsid w:val="1A516B2E"/>
    <w:rsid w:val="1A5D3725"/>
    <w:rsid w:val="1A7E6175"/>
    <w:rsid w:val="1AA21A2F"/>
    <w:rsid w:val="1AE00FE3"/>
    <w:rsid w:val="1AFC6F03"/>
    <w:rsid w:val="1B23068A"/>
    <w:rsid w:val="1B8A054A"/>
    <w:rsid w:val="1B997902"/>
    <w:rsid w:val="1C01115D"/>
    <w:rsid w:val="1C2009E4"/>
    <w:rsid w:val="1C7E3439"/>
    <w:rsid w:val="1C827473"/>
    <w:rsid w:val="1D216C8C"/>
    <w:rsid w:val="1D594AE3"/>
    <w:rsid w:val="1D617DC0"/>
    <w:rsid w:val="1E27556E"/>
    <w:rsid w:val="1E2A6984"/>
    <w:rsid w:val="1F19738B"/>
    <w:rsid w:val="1F3033A9"/>
    <w:rsid w:val="1F3507CD"/>
    <w:rsid w:val="1F9C381F"/>
    <w:rsid w:val="200077CF"/>
    <w:rsid w:val="20880961"/>
    <w:rsid w:val="2091237A"/>
    <w:rsid w:val="20992FDD"/>
    <w:rsid w:val="20BD316F"/>
    <w:rsid w:val="20BE4ACB"/>
    <w:rsid w:val="20BF7061"/>
    <w:rsid w:val="20E95A81"/>
    <w:rsid w:val="20EC5803"/>
    <w:rsid w:val="21073EBF"/>
    <w:rsid w:val="21246D4B"/>
    <w:rsid w:val="21510141"/>
    <w:rsid w:val="21837F15"/>
    <w:rsid w:val="21AE2AB8"/>
    <w:rsid w:val="222B119F"/>
    <w:rsid w:val="22381879"/>
    <w:rsid w:val="224156DA"/>
    <w:rsid w:val="22AA2231"/>
    <w:rsid w:val="22EE13BE"/>
    <w:rsid w:val="23571659"/>
    <w:rsid w:val="236B2A0F"/>
    <w:rsid w:val="23D7424E"/>
    <w:rsid w:val="241237D2"/>
    <w:rsid w:val="242B31D9"/>
    <w:rsid w:val="24341D04"/>
    <w:rsid w:val="244D480A"/>
    <w:rsid w:val="2547125A"/>
    <w:rsid w:val="263A355B"/>
    <w:rsid w:val="263D5FAD"/>
    <w:rsid w:val="266E0A9E"/>
    <w:rsid w:val="26B714BD"/>
    <w:rsid w:val="26CE26D3"/>
    <w:rsid w:val="26FE003E"/>
    <w:rsid w:val="27206206"/>
    <w:rsid w:val="272F01F7"/>
    <w:rsid w:val="274E2D73"/>
    <w:rsid w:val="27894FA0"/>
    <w:rsid w:val="27D2215A"/>
    <w:rsid w:val="27F76F67"/>
    <w:rsid w:val="281A0EA7"/>
    <w:rsid w:val="284877C3"/>
    <w:rsid w:val="28701767"/>
    <w:rsid w:val="28836A4D"/>
    <w:rsid w:val="28A144DE"/>
    <w:rsid w:val="28C606E7"/>
    <w:rsid w:val="29394A5F"/>
    <w:rsid w:val="29B82726"/>
    <w:rsid w:val="29C67536"/>
    <w:rsid w:val="2A4012A5"/>
    <w:rsid w:val="2A6908FE"/>
    <w:rsid w:val="2ACA1B3C"/>
    <w:rsid w:val="2ACA39A7"/>
    <w:rsid w:val="2AEA2DB3"/>
    <w:rsid w:val="2B544EBA"/>
    <w:rsid w:val="2B8D1D21"/>
    <w:rsid w:val="2BDC1346"/>
    <w:rsid w:val="2BEC4909"/>
    <w:rsid w:val="2C26606D"/>
    <w:rsid w:val="2CB25CD8"/>
    <w:rsid w:val="2CDA6E57"/>
    <w:rsid w:val="2DB87C25"/>
    <w:rsid w:val="2DDB94E8"/>
    <w:rsid w:val="2DE4019A"/>
    <w:rsid w:val="2DFA422D"/>
    <w:rsid w:val="2ED82DE9"/>
    <w:rsid w:val="2F01691D"/>
    <w:rsid w:val="2F567BD9"/>
    <w:rsid w:val="2F93694C"/>
    <w:rsid w:val="2FA77026"/>
    <w:rsid w:val="2FB64A2C"/>
    <w:rsid w:val="301B00BE"/>
    <w:rsid w:val="30A36FF1"/>
    <w:rsid w:val="30AE74B8"/>
    <w:rsid w:val="30E57806"/>
    <w:rsid w:val="30E76319"/>
    <w:rsid w:val="31061FC9"/>
    <w:rsid w:val="3192126F"/>
    <w:rsid w:val="31D65C22"/>
    <w:rsid w:val="31DD2B6C"/>
    <w:rsid w:val="32003B98"/>
    <w:rsid w:val="32A77828"/>
    <w:rsid w:val="32FA5B5D"/>
    <w:rsid w:val="32FD48AE"/>
    <w:rsid w:val="330A7EFD"/>
    <w:rsid w:val="3330157F"/>
    <w:rsid w:val="3377572A"/>
    <w:rsid w:val="33B81DE8"/>
    <w:rsid w:val="33FF67B9"/>
    <w:rsid w:val="34060480"/>
    <w:rsid w:val="34173F47"/>
    <w:rsid w:val="34A96881"/>
    <w:rsid w:val="34C93999"/>
    <w:rsid w:val="350A50A2"/>
    <w:rsid w:val="357065AB"/>
    <w:rsid w:val="35C87F34"/>
    <w:rsid w:val="35CB558F"/>
    <w:rsid w:val="35D703D8"/>
    <w:rsid w:val="360B2D69"/>
    <w:rsid w:val="36BA61CA"/>
    <w:rsid w:val="375816CF"/>
    <w:rsid w:val="375BD3A9"/>
    <w:rsid w:val="37795AC3"/>
    <w:rsid w:val="378219F7"/>
    <w:rsid w:val="37BB699A"/>
    <w:rsid w:val="37E9149F"/>
    <w:rsid w:val="381E7F4D"/>
    <w:rsid w:val="3836605E"/>
    <w:rsid w:val="385D1988"/>
    <w:rsid w:val="3861455A"/>
    <w:rsid w:val="38666A14"/>
    <w:rsid w:val="38BE589B"/>
    <w:rsid w:val="38DE5291"/>
    <w:rsid w:val="38DF7CCF"/>
    <w:rsid w:val="390037A2"/>
    <w:rsid w:val="39691347"/>
    <w:rsid w:val="39B567E8"/>
    <w:rsid w:val="39FA28E7"/>
    <w:rsid w:val="3A1A6AE5"/>
    <w:rsid w:val="3A457788"/>
    <w:rsid w:val="3AC73FF0"/>
    <w:rsid w:val="3B4958D4"/>
    <w:rsid w:val="3B5B73B5"/>
    <w:rsid w:val="3BAD2B18"/>
    <w:rsid w:val="3BC04D42"/>
    <w:rsid w:val="3BE70255"/>
    <w:rsid w:val="3BE90E02"/>
    <w:rsid w:val="3C3C0578"/>
    <w:rsid w:val="3C812E4B"/>
    <w:rsid w:val="3CB6196A"/>
    <w:rsid w:val="3CD1173A"/>
    <w:rsid w:val="3CD56668"/>
    <w:rsid w:val="3CDC4C15"/>
    <w:rsid w:val="3D5C7EC0"/>
    <w:rsid w:val="3D772DA7"/>
    <w:rsid w:val="3D7B0B45"/>
    <w:rsid w:val="3E110989"/>
    <w:rsid w:val="3E182556"/>
    <w:rsid w:val="3E1A3C76"/>
    <w:rsid w:val="3E3068D7"/>
    <w:rsid w:val="3EBF1848"/>
    <w:rsid w:val="3EC534C3"/>
    <w:rsid w:val="3ED2798E"/>
    <w:rsid w:val="3F0C16C4"/>
    <w:rsid w:val="3F3F4625"/>
    <w:rsid w:val="3F4F1E6B"/>
    <w:rsid w:val="3F6D4C9E"/>
    <w:rsid w:val="3F740BAA"/>
    <w:rsid w:val="3FA33136"/>
    <w:rsid w:val="3FAC745B"/>
    <w:rsid w:val="400224F5"/>
    <w:rsid w:val="403A1C8F"/>
    <w:rsid w:val="40592CD6"/>
    <w:rsid w:val="40EA5463"/>
    <w:rsid w:val="41166258"/>
    <w:rsid w:val="4139028D"/>
    <w:rsid w:val="415B5189"/>
    <w:rsid w:val="418E68AF"/>
    <w:rsid w:val="420C2FE8"/>
    <w:rsid w:val="420D12B8"/>
    <w:rsid w:val="422453BF"/>
    <w:rsid w:val="424F6D01"/>
    <w:rsid w:val="425B4FCD"/>
    <w:rsid w:val="429D02B3"/>
    <w:rsid w:val="43186F5D"/>
    <w:rsid w:val="441F3676"/>
    <w:rsid w:val="442E38B7"/>
    <w:rsid w:val="444035EC"/>
    <w:rsid w:val="444D590E"/>
    <w:rsid w:val="445552E9"/>
    <w:rsid w:val="44721BED"/>
    <w:rsid w:val="44BF2B1E"/>
    <w:rsid w:val="451821CA"/>
    <w:rsid w:val="451D4333"/>
    <w:rsid w:val="45EC4EB1"/>
    <w:rsid w:val="46B53161"/>
    <w:rsid w:val="46C2653A"/>
    <w:rsid w:val="46D71FE6"/>
    <w:rsid w:val="46DD59F3"/>
    <w:rsid w:val="46F26477"/>
    <w:rsid w:val="473453C9"/>
    <w:rsid w:val="477135F2"/>
    <w:rsid w:val="481D7ECC"/>
    <w:rsid w:val="487A43A9"/>
    <w:rsid w:val="48A24DF2"/>
    <w:rsid w:val="48EC2473"/>
    <w:rsid w:val="4910358D"/>
    <w:rsid w:val="49325BF9"/>
    <w:rsid w:val="495B5F96"/>
    <w:rsid w:val="4A7A7858"/>
    <w:rsid w:val="4A833DDE"/>
    <w:rsid w:val="4AAD1497"/>
    <w:rsid w:val="4AF60EA8"/>
    <w:rsid w:val="4B766399"/>
    <w:rsid w:val="4B9B6A46"/>
    <w:rsid w:val="4BD126B6"/>
    <w:rsid w:val="4CAE4D4E"/>
    <w:rsid w:val="4D061CEA"/>
    <w:rsid w:val="4D2D2077"/>
    <w:rsid w:val="4D3079B0"/>
    <w:rsid w:val="4D322037"/>
    <w:rsid w:val="4D483CFB"/>
    <w:rsid w:val="4DC766D9"/>
    <w:rsid w:val="4DC837F1"/>
    <w:rsid w:val="4DD42237"/>
    <w:rsid w:val="4DE43E38"/>
    <w:rsid w:val="4E57207E"/>
    <w:rsid w:val="4E577EB0"/>
    <w:rsid w:val="4E643CA3"/>
    <w:rsid w:val="4E827BAD"/>
    <w:rsid w:val="4E8B0801"/>
    <w:rsid w:val="4EBF5F9B"/>
    <w:rsid w:val="4EEA0D24"/>
    <w:rsid w:val="4F906C8C"/>
    <w:rsid w:val="4FA15887"/>
    <w:rsid w:val="4FEB6B02"/>
    <w:rsid w:val="500110B1"/>
    <w:rsid w:val="50B53E76"/>
    <w:rsid w:val="50E44731"/>
    <w:rsid w:val="51023383"/>
    <w:rsid w:val="51220301"/>
    <w:rsid w:val="517D19DC"/>
    <w:rsid w:val="51FC1C0F"/>
    <w:rsid w:val="52232583"/>
    <w:rsid w:val="522B77E3"/>
    <w:rsid w:val="52434B27"/>
    <w:rsid w:val="526C64D6"/>
    <w:rsid w:val="526F3A1A"/>
    <w:rsid w:val="533B3EA3"/>
    <w:rsid w:val="53A07C03"/>
    <w:rsid w:val="53C33EBA"/>
    <w:rsid w:val="543F741C"/>
    <w:rsid w:val="54431BBA"/>
    <w:rsid w:val="547748A2"/>
    <w:rsid w:val="551366B0"/>
    <w:rsid w:val="551E6BFD"/>
    <w:rsid w:val="55412866"/>
    <w:rsid w:val="557E5D22"/>
    <w:rsid w:val="55E55DA1"/>
    <w:rsid w:val="55F52488"/>
    <w:rsid w:val="560B3A5A"/>
    <w:rsid w:val="567B37A2"/>
    <w:rsid w:val="5687029A"/>
    <w:rsid w:val="57011E43"/>
    <w:rsid w:val="5712706A"/>
    <w:rsid w:val="5758166F"/>
    <w:rsid w:val="585F0ED5"/>
    <w:rsid w:val="587C2220"/>
    <w:rsid w:val="58F0571B"/>
    <w:rsid w:val="596D445E"/>
    <w:rsid w:val="59800714"/>
    <w:rsid w:val="59C97EB4"/>
    <w:rsid w:val="59CD1026"/>
    <w:rsid w:val="59F34F31"/>
    <w:rsid w:val="5A6D0B73"/>
    <w:rsid w:val="5B7764D4"/>
    <w:rsid w:val="5B94358B"/>
    <w:rsid w:val="5C065A52"/>
    <w:rsid w:val="5C213F6E"/>
    <w:rsid w:val="5C3A7AA5"/>
    <w:rsid w:val="5C965BD2"/>
    <w:rsid w:val="5CB96961"/>
    <w:rsid w:val="5CBB20D7"/>
    <w:rsid w:val="5D4265D8"/>
    <w:rsid w:val="5D557CB0"/>
    <w:rsid w:val="5D84563D"/>
    <w:rsid w:val="5DEB4B5C"/>
    <w:rsid w:val="5E1C37FA"/>
    <w:rsid w:val="5EA902B4"/>
    <w:rsid w:val="5F2F6EFE"/>
    <w:rsid w:val="5F334C6A"/>
    <w:rsid w:val="5F3956A4"/>
    <w:rsid w:val="5F3A9E27"/>
    <w:rsid w:val="5F45432D"/>
    <w:rsid w:val="5F7C5450"/>
    <w:rsid w:val="600357A2"/>
    <w:rsid w:val="600734E4"/>
    <w:rsid w:val="60132BBC"/>
    <w:rsid w:val="615C0D42"/>
    <w:rsid w:val="617C2DA3"/>
    <w:rsid w:val="61893794"/>
    <w:rsid w:val="620D2688"/>
    <w:rsid w:val="621C3B96"/>
    <w:rsid w:val="625B6C51"/>
    <w:rsid w:val="627100CA"/>
    <w:rsid w:val="62DE63D1"/>
    <w:rsid w:val="62DF24F6"/>
    <w:rsid w:val="630422BE"/>
    <w:rsid w:val="634C54F0"/>
    <w:rsid w:val="635B603C"/>
    <w:rsid w:val="6361115D"/>
    <w:rsid w:val="637D564F"/>
    <w:rsid w:val="638E7A78"/>
    <w:rsid w:val="6411213F"/>
    <w:rsid w:val="64151D68"/>
    <w:rsid w:val="642239BF"/>
    <w:rsid w:val="645111D2"/>
    <w:rsid w:val="64550596"/>
    <w:rsid w:val="6460463E"/>
    <w:rsid w:val="646969CC"/>
    <w:rsid w:val="64C16798"/>
    <w:rsid w:val="64CC60FB"/>
    <w:rsid w:val="64EF4547"/>
    <w:rsid w:val="64F00543"/>
    <w:rsid w:val="64F41B5D"/>
    <w:rsid w:val="64F46E25"/>
    <w:rsid w:val="6519323D"/>
    <w:rsid w:val="6526668E"/>
    <w:rsid w:val="65292C1E"/>
    <w:rsid w:val="65570F81"/>
    <w:rsid w:val="65586590"/>
    <w:rsid w:val="65701CA0"/>
    <w:rsid w:val="65A40EB0"/>
    <w:rsid w:val="65A42D3E"/>
    <w:rsid w:val="65A74E21"/>
    <w:rsid w:val="65BD23B8"/>
    <w:rsid w:val="65C06603"/>
    <w:rsid w:val="668533B4"/>
    <w:rsid w:val="66E030EB"/>
    <w:rsid w:val="670912D2"/>
    <w:rsid w:val="670C06CC"/>
    <w:rsid w:val="67406DA3"/>
    <w:rsid w:val="67572C64"/>
    <w:rsid w:val="67C62A04"/>
    <w:rsid w:val="68201F24"/>
    <w:rsid w:val="68303D68"/>
    <w:rsid w:val="683C3F47"/>
    <w:rsid w:val="689B6EBF"/>
    <w:rsid w:val="68A65864"/>
    <w:rsid w:val="68F86230"/>
    <w:rsid w:val="69054339"/>
    <w:rsid w:val="6A070584"/>
    <w:rsid w:val="6A1B2DDD"/>
    <w:rsid w:val="6A2904FB"/>
    <w:rsid w:val="6A2E2559"/>
    <w:rsid w:val="6A4175F2"/>
    <w:rsid w:val="6A8B2071"/>
    <w:rsid w:val="6B982E39"/>
    <w:rsid w:val="6BB61B32"/>
    <w:rsid w:val="6BEA6F9E"/>
    <w:rsid w:val="6C0905E4"/>
    <w:rsid w:val="6C4F12CB"/>
    <w:rsid w:val="6C87065C"/>
    <w:rsid w:val="6CBA151E"/>
    <w:rsid w:val="6CC44F34"/>
    <w:rsid w:val="6CDC0F65"/>
    <w:rsid w:val="6D447383"/>
    <w:rsid w:val="6D45389E"/>
    <w:rsid w:val="6D617FAC"/>
    <w:rsid w:val="6D773F73"/>
    <w:rsid w:val="6D8048D6"/>
    <w:rsid w:val="6D806C9D"/>
    <w:rsid w:val="6D8845E0"/>
    <w:rsid w:val="6F242BE9"/>
    <w:rsid w:val="6F763A18"/>
    <w:rsid w:val="6F9E1043"/>
    <w:rsid w:val="6FA64AAB"/>
    <w:rsid w:val="6FF03E60"/>
    <w:rsid w:val="6FFC562B"/>
    <w:rsid w:val="6FFF9462"/>
    <w:rsid w:val="701F6731"/>
    <w:rsid w:val="703E3ADE"/>
    <w:rsid w:val="708A4BE7"/>
    <w:rsid w:val="7091303E"/>
    <w:rsid w:val="70D96BE4"/>
    <w:rsid w:val="719731AA"/>
    <w:rsid w:val="72600832"/>
    <w:rsid w:val="72626453"/>
    <w:rsid w:val="729A188F"/>
    <w:rsid w:val="72A44BC2"/>
    <w:rsid w:val="72FB5001"/>
    <w:rsid w:val="731B25F8"/>
    <w:rsid w:val="732857F3"/>
    <w:rsid w:val="7357017C"/>
    <w:rsid w:val="736138AF"/>
    <w:rsid w:val="73813156"/>
    <w:rsid w:val="73BF31A6"/>
    <w:rsid w:val="742D5082"/>
    <w:rsid w:val="7444344F"/>
    <w:rsid w:val="7475174F"/>
    <w:rsid w:val="74842EFD"/>
    <w:rsid w:val="74A41488"/>
    <w:rsid w:val="75214379"/>
    <w:rsid w:val="752217B8"/>
    <w:rsid w:val="75322959"/>
    <w:rsid w:val="75D24C43"/>
    <w:rsid w:val="75D9C1FB"/>
    <w:rsid w:val="767470AF"/>
    <w:rsid w:val="76FD65E3"/>
    <w:rsid w:val="777F385B"/>
    <w:rsid w:val="77B7D072"/>
    <w:rsid w:val="7835413B"/>
    <w:rsid w:val="78643027"/>
    <w:rsid w:val="787B1EF7"/>
    <w:rsid w:val="78FB3A2D"/>
    <w:rsid w:val="78FBE2E9"/>
    <w:rsid w:val="79751067"/>
    <w:rsid w:val="79CF4A40"/>
    <w:rsid w:val="79E10F69"/>
    <w:rsid w:val="79ED83A9"/>
    <w:rsid w:val="79FA49EF"/>
    <w:rsid w:val="7A2111EE"/>
    <w:rsid w:val="7A971BA9"/>
    <w:rsid w:val="7B4406C9"/>
    <w:rsid w:val="7B8F3F36"/>
    <w:rsid w:val="7BBE6194"/>
    <w:rsid w:val="7BC462D5"/>
    <w:rsid w:val="7BE424D4"/>
    <w:rsid w:val="7BE6385A"/>
    <w:rsid w:val="7BEDAB3F"/>
    <w:rsid w:val="7C536688"/>
    <w:rsid w:val="7C773856"/>
    <w:rsid w:val="7CC876FF"/>
    <w:rsid w:val="7CCE07CD"/>
    <w:rsid w:val="7D6F7B12"/>
    <w:rsid w:val="7D9B0C98"/>
    <w:rsid w:val="7DA0340B"/>
    <w:rsid w:val="7DBF3E05"/>
    <w:rsid w:val="7DFE02F7"/>
    <w:rsid w:val="7E066731"/>
    <w:rsid w:val="7E644817"/>
    <w:rsid w:val="7E7A34BE"/>
    <w:rsid w:val="7E8458A8"/>
    <w:rsid w:val="7EB87A63"/>
    <w:rsid w:val="7ECB2820"/>
    <w:rsid w:val="7F2802D8"/>
    <w:rsid w:val="7F6530A9"/>
    <w:rsid w:val="7F6F6FA7"/>
    <w:rsid w:val="7FB50F02"/>
    <w:rsid w:val="7FB73BE7"/>
    <w:rsid w:val="7FCA0496"/>
    <w:rsid w:val="7FE722DE"/>
    <w:rsid w:val="7FFAE390"/>
    <w:rsid w:val="7FFDCA44"/>
    <w:rsid w:val="7FFF7199"/>
    <w:rsid w:val="8EEEE644"/>
    <w:rsid w:val="9DFE7EA4"/>
    <w:rsid w:val="B7CE34E3"/>
    <w:rsid w:val="BBEFBB2E"/>
    <w:rsid w:val="BD68E148"/>
    <w:rsid w:val="BFABC73B"/>
    <w:rsid w:val="BFBD0CF5"/>
    <w:rsid w:val="CB7B2F97"/>
    <w:rsid w:val="CBB7A07C"/>
    <w:rsid w:val="CFFC5471"/>
    <w:rsid w:val="E34D1BFE"/>
    <w:rsid w:val="EBEBA934"/>
    <w:rsid w:val="EFBFA2F6"/>
    <w:rsid w:val="F8BBC25D"/>
    <w:rsid w:val="FA6F2BB0"/>
    <w:rsid w:val="FD1F67E4"/>
    <w:rsid w:val="FD3651C9"/>
    <w:rsid w:val="FDFB5E4E"/>
    <w:rsid w:val="FE3E1195"/>
    <w:rsid w:val="FF4FCBD6"/>
    <w:rsid w:val="FFDAD0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nhideWhenUsed="0" w:uiPriority="9"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qFormat="1"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iPriority="99"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jc w:val="center"/>
      <w:outlineLvl w:val="1"/>
    </w:pPr>
    <w:rPr>
      <w:rFonts w:ascii="黑体" w:hAnsi="宋体" w:eastAsia="黑体"/>
      <w:b/>
      <w:bCs/>
      <w:sz w:val="36"/>
      <w:szCs w:val="32"/>
    </w:rPr>
  </w:style>
  <w:style w:type="paragraph" w:styleId="4">
    <w:name w:val="heading 5"/>
    <w:basedOn w:val="1"/>
    <w:next w:val="5"/>
    <w:qFormat/>
    <w:uiPriority w:val="9"/>
    <w:pPr>
      <w:keepNext/>
      <w:keepLines/>
      <w:spacing w:before="280" w:after="290" w:line="376" w:lineRule="auto"/>
      <w:outlineLvl w:val="4"/>
    </w:pPr>
    <w:rPr>
      <w:b/>
      <w:bCs/>
      <w:sz w:val="28"/>
      <w:szCs w:val="28"/>
    </w:rPr>
  </w:style>
  <w:style w:type="paragraph" w:styleId="6">
    <w:name w:val="heading 6"/>
    <w:basedOn w:val="1"/>
    <w:next w:val="1"/>
    <w:qFormat/>
    <w:uiPriority w:val="0"/>
    <w:pPr>
      <w:keepNext/>
      <w:keepLines/>
      <w:spacing w:line="360" w:lineRule="auto"/>
      <w:outlineLvl w:val="5"/>
    </w:pPr>
    <w:rPr>
      <w:b/>
      <w:bCs/>
      <w:szCs w:val="32"/>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szCs w:val="20"/>
    </w:rPr>
  </w:style>
  <w:style w:type="paragraph" w:styleId="7">
    <w:name w:val="caption"/>
    <w:basedOn w:val="1"/>
    <w:next w:val="1"/>
    <w:qFormat/>
    <w:uiPriority w:val="0"/>
    <w:pPr>
      <w:spacing w:before="152" w:after="160"/>
    </w:pPr>
    <w:rPr>
      <w:rFonts w:ascii="Arial" w:hAnsi="Arial" w:eastAsia="黑体" w:cs="Arial"/>
      <w:sz w:val="20"/>
      <w:szCs w:val="20"/>
    </w:rPr>
  </w:style>
  <w:style w:type="paragraph" w:styleId="8">
    <w:name w:val="annotation text"/>
    <w:basedOn w:val="1"/>
    <w:link w:val="32"/>
    <w:qFormat/>
    <w:uiPriority w:val="0"/>
    <w:pPr>
      <w:jc w:val="left"/>
    </w:pPr>
  </w:style>
  <w:style w:type="paragraph" w:styleId="9">
    <w:name w:val="Body Text 3"/>
    <w:basedOn w:val="1"/>
    <w:unhideWhenUsed/>
    <w:qFormat/>
    <w:uiPriority w:val="99"/>
    <w:pPr>
      <w:spacing w:after="120"/>
    </w:pPr>
    <w:rPr>
      <w:sz w:val="16"/>
      <w:szCs w:val="16"/>
    </w:rPr>
  </w:style>
  <w:style w:type="paragraph" w:styleId="10">
    <w:name w:val="Body Text"/>
    <w:basedOn w:val="1"/>
    <w:unhideWhenUsed/>
    <w:qFormat/>
    <w:uiPriority w:val="0"/>
    <w:pPr>
      <w:spacing w:after="120"/>
    </w:pPr>
  </w:style>
  <w:style w:type="paragraph" w:styleId="11">
    <w:name w:val="Body Text Indent"/>
    <w:basedOn w:val="1"/>
    <w:next w:val="1"/>
    <w:qFormat/>
    <w:uiPriority w:val="0"/>
    <w:pPr>
      <w:ind w:firstLine="830" w:firstLineChars="352"/>
    </w:pPr>
    <w:rPr>
      <w:rFonts w:ascii="仿宋_GB2312" w:eastAsia="仿宋_GB2312"/>
      <w:kern w:val="0"/>
      <w:sz w:val="32"/>
      <w:szCs w:val="20"/>
    </w:rPr>
  </w:style>
  <w:style w:type="paragraph" w:styleId="12">
    <w:name w:val="List 2"/>
    <w:basedOn w:val="1"/>
    <w:unhideWhenUsed/>
    <w:qFormat/>
    <w:uiPriority w:val="99"/>
    <w:pPr>
      <w:ind w:left="100" w:leftChars="200" w:hanging="200" w:hangingChars="200"/>
      <w:contextualSpacing/>
    </w:pPr>
  </w:style>
  <w:style w:type="paragraph" w:styleId="13">
    <w:name w:val="toc 3"/>
    <w:basedOn w:val="1"/>
    <w:next w:val="1"/>
    <w:qFormat/>
    <w:uiPriority w:val="0"/>
    <w:pPr>
      <w:ind w:left="840" w:leftChars="400"/>
    </w:pPr>
  </w:style>
  <w:style w:type="paragraph" w:styleId="14">
    <w:name w:val="Plain Text"/>
    <w:basedOn w:val="1"/>
    <w:next w:val="1"/>
    <w:qFormat/>
    <w:uiPriority w:val="0"/>
    <w:rPr>
      <w:rFonts w:ascii="宋体" w:hAnsi="Courier New"/>
      <w:kern w:val="0"/>
      <w:sz w:val="20"/>
      <w:szCs w:val="21"/>
    </w:rPr>
  </w:style>
  <w:style w:type="paragraph" w:styleId="15">
    <w:name w:val="Balloon Text"/>
    <w:basedOn w:val="1"/>
    <w:link w:val="41"/>
    <w:qFormat/>
    <w:uiPriority w:val="0"/>
    <w:rPr>
      <w:sz w:val="18"/>
      <w:szCs w:val="18"/>
    </w:rPr>
  </w:style>
  <w:style w:type="paragraph" w:styleId="16">
    <w:name w:val="footer"/>
    <w:basedOn w:val="1"/>
    <w:unhideWhenUsed/>
    <w:qFormat/>
    <w:uiPriority w:val="99"/>
    <w:pPr>
      <w:tabs>
        <w:tab w:val="center" w:pos="4153"/>
        <w:tab w:val="right" w:pos="8306"/>
      </w:tabs>
      <w:snapToGrid w:val="0"/>
      <w:jc w:val="left"/>
    </w:pPr>
    <w:rPr>
      <w:kern w:val="0"/>
      <w:sz w:val="18"/>
      <w:szCs w:val="18"/>
    </w:rPr>
  </w:style>
  <w:style w:type="paragraph" w:styleId="17">
    <w:name w:val="header"/>
    <w:basedOn w:val="1"/>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8">
    <w:name w:val="toc 1"/>
    <w:basedOn w:val="1"/>
    <w:next w:val="1"/>
    <w:unhideWhenUsed/>
    <w:qFormat/>
    <w:uiPriority w:val="39"/>
  </w:style>
  <w:style w:type="paragraph" w:styleId="19">
    <w:name w:val="List"/>
    <w:basedOn w:val="1"/>
    <w:qFormat/>
    <w:uiPriority w:val="0"/>
    <w:pPr>
      <w:ind w:left="200" w:hanging="200" w:hangingChars="200"/>
    </w:pPr>
    <w:rPr>
      <w:sz w:val="28"/>
    </w:rPr>
  </w:style>
  <w:style w:type="paragraph" w:styleId="20">
    <w:name w:val="toc 2"/>
    <w:basedOn w:val="1"/>
    <w:next w:val="1"/>
    <w:unhideWhenUsed/>
    <w:qFormat/>
    <w:uiPriority w:val="39"/>
    <w:pPr>
      <w:tabs>
        <w:tab w:val="right" w:leader="dot" w:pos="8296"/>
      </w:tabs>
      <w:ind w:left="420" w:leftChars="200"/>
    </w:pPr>
  </w:style>
  <w:style w:type="paragraph" w:styleId="21">
    <w:name w:val="Message Header"/>
    <w:basedOn w:val="1"/>
    <w:next w:val="10"/>
    <w:qFormat/>
    <w:uiPriority w:val="0"/>
    <w:pPr>
      <w:pBdr>
        <w:top w:val="none" w:color="auto" w:sz="0" w:space="1"/>
        <w:left w:val="none" w:color="auto" w:sz="0" w:space="1"/>
        <w:bottom w:val="none" w:color="auto" w:sz="0" w:space="1"/>
        <w:right w:val="none" w:color="auto" w:sz="0" w:space="1"/>
      </w:pBdr>
      <w:shd w:val="pct20" w:color="auto" w:fill="auto"/>
      <w:kinsoku w:val="0"/>
      <w:overflowPunct w:val="0"/>
      <w:spacing w:line="360" w:lineRule="auto"/>
    </w:pPr>
    <w:rPr>
      <w:rFonts w:ascii="Arial" w:hAnsi="Arial"/>
      <w:sz w:val="28"/>
    </w:rPr>
  </w:style>
  <w:style w:type="paragraph" w:styleId="22">
    <w:name w:val="annotation subject"/>
    <w:basedOn w:val="8"/>
    <w:next w:val="8"/>
    <w:link w:val="33"/>
    <w:qFormat/>
    <w:uiPriority w:val="0"/>
    <w:rPr>
      <w:b/>
      <w:bCs/>
    </w:rPr>
  </w:style>
  <w:style w:type="paragraph" w:styleId="23">
    <w:name w:val="Body Text First Indent 2"/>
    <w:basedOn w:val="11"/>
    <w:next w:val="1"/>
    <w:qFormat/>
    <w:uiPriority w:val="0"/>
    <w:pPr>
      <w:tabs>
        <w:tab w:val="left" w:pos="0"/>
        <w:tab w:val="left" w:pos="420"/>
      </w:tabs>
      <w:wordWrap w:val="0"/>
      <w:topLinePunct/>
      <w:spacing w:line="360" w:lineRule="auto"/>
      <w:ind w:firstLine="480" w:firstLineChars="200"/>
    </w:pPr>
    <w:rPr>
      <w:rFonts w:ascii="幼圆" w:eastAsia="幼圆"/>
      <w:bCs/>
      <w:color w:val="000000"/>
      <w:spacing w:val="20"/>
      <w:sz w:val="24"/>
      <w:szCs w:val="24"/>
    </w:rPr>
  </w:style>
  <w:style w:type="table" w:styleId="25">
    <w:name w:val="Table Grid"/>
    <w:basedOn w:val="24"/>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page number"/>
    <w:qFormat/>
    <w:uiPriority w:val="0"/>
  </w:style>
  <w:style w:type="character" w:styleId="28">
    <w:name w:val="Emphasis"/>
    <w:basedOn w:val="26"/>
    <w:qFormat/>
    <w:uiPriority w:val="20"/>
    <w:rPr>
      <w:i/>
      <w:iCs/>
    </w:rPr>
  </w:style>
  <w:style w:type="character" w:styleId="29">
    <w:name w:val="annotation reference"/>
    <w:qFormat/>
    <w:uiPriority w:val="0"/>
    <w:rPr>
      <w:sz w:val="21"/>
      <w:szCs w:val="21"/>
    </w:rPr>
  </w:style>
  <w:style w:type="paragraph" w:customStyle="1" w:styleId="30">
    <w:name w:val="默认段落"/>
    <w:basedOn w:val="1"/>
    <w:qFormat/>
    <w:uiPriority w:val="0"/>
    <w:rPr>
      <w:rFonts w:ascii="Calibri" w:hAnsi="Calibri"/>
    </w:rPr>
  </w:style>
  <w:style w:type="paragraph" w:customStyle="1" w:styleId="31">
    <w:name w:val="Body Text First Indent1"/>
    <w:basedOn w:val="16"/>
    <w:qFormat/>
    <w:uiPriority w:val="0"/>
    <w:pPr>
      <w:spacing w:line="360" w:lineRule="auto"/>
      <w:ind w:firstLine="420" w:firstLineChars="100"/>
    </w:pPr>
  </w:style>
  <w:style w:type="character" w:customStyle="1" w:styleId="32">
    <w:name w:val="批注文字 Char"/>
    <w:link w:val="8"/>
    <w:qFormat/>
    <w:uiPriority w:val="0"/>
    <w:rPr>
      <w:kern w:val="2"/>
      <w:sz w:val="21"/>
      <w:szCs w:val="24"/>
    </w:rPr>
  </w:style>
  <w:style w:type="character" w:customStyle="1" w:styleId="33">
    <w:name w:val="批注主题 Char"/>
    <w:link w:val="22"/>
    <w:qFormat/>
    <w:uiPriority w:val="0"/>
    <w:rPr>
      <w:b/>
      <w:bCs/>
      <w:kern w:val="2"/>
      <w:sz w:val="21"/>
      <w:szCs w:val="24"/>
    </w:rPr>
  </w:style>
  <w:style w:type="paragraph" w:customStyle="1" w:styleId="34">
    <w:name w:val="表格文字"/>
    <w:basedOn w:val="1"/>
    <w:next w:val="10"/>
    <w:qFormat/>
    <w:uiPriority w:val="0"/>
    <w:pPr>
      <w:spacing w:before="25" w:after="25"/>
      <w:jc w:val="left"/>
    </w:pPr>
    <w:rPr>
      <w:bCs/>
      <w:spacing w:val="10"/>
      <w:kern w:val="0"/>
      <w:sz w:val="24"/>
      <w:szCs w:val="20"/>
    </w:rPr>
  </w:style>
  <w:style w:type="paragraph" w:customStyle="1" w:styleId="35">
    <w:name w:val="Default"/>
    <w:qFormat/>
    <w:uiPriority w:val="0"/>
    <w:pPr>
      <w:widowControl w:val="0"/>
      <w:autoSpaceDE w:val="0"/>
      <w:autoSpaceDN w:val="0"/>
      <w:adjustRightInd w:val="0"/>
    </w:pPr>
    <w:rPr>
      <w:rFonts w:hint="eastAsia" w:ascii="方正小标宋简体" w:hAnsi="方正小标宋简体" w:eastAsia="方正小标宋简体" w:cs="Times New Roman"/>
      <w:color w:val="000000"/>
      <w:sz w:val="24"/>
      <w:szCs w:val="22"/>
      <w:lang w:val="en-US" w:eastAsia="zh-CN" w:bidi="ar-SA"/>
    </w:rPr>
  </w:style>
  <w:style w:type="paragraph" w:customStyle="1" w:styleId="36">
    <w:name w:val="题目"/>
    <w:basedOn w:val="1"/>
    <w:qFormat/>
    <w:uiPriority w:val="0"/>
    <w:pPr>
      <w:spacing w:beforeLines="200" w:afterLines="100"/>
      <w:jc w:val="center"/>
    </w:pPr>
    <w:rPr>
      <w:rFonts w:ascii="黑体" w:eastAsia="黑体"/>
      <w:color w:val="C00000"/>
      <w:sz w:val="28"/>
      <w:szCs w:val="28"/>
    </w:rPr>
  </w:style>
  <w:style w:type="paragraph" w:styleId="37">
    <w:name w:val="List Paragraph"/>
    <w:basedOn w:val="1"/>
    <w:qFormat/>
    <w:uiPriority w:val="99"/>
    <w:pPr>
      <w:ind w:firstLine="420" w:firstLineChars="200"/>
    </w:pPr>
    <w:rPr>
      <w:snapToGrid w:val="0"/>
      <w:kern w:val="0"/>
    </w:rPr>
  </w:style>
  <w:style w:type="character" w:customStyle="1" w:styleId="38">
    <w:name w:val="font11"/>
    <w:qFormat/>
    <w:uiPriority w:val="0"/>
    <w:rPr>
      <w:rFonts w:hint="eastAsia" w:ascii="微软雅黑" w:hAnsi="微软雅黑" w:eastAsia="微软雅黑" w:cs="微软雅黑"/>
      <w:color w:val="000000"/>
      <w:sz w:val="20"/>
      <w:szCs w:val="20"/>
      <w:u w:val="none"/>
    </w:rPr>
  </w:style>
  <w:style w:type="paragraph" w:customStyle="1" w:styleId="39">
    <w:name w:val="修订1"/>
    <w:unhideWhenUsed/>
    <w:qFormat/>
    <w:uiPriority w:val="99"/>
    <w:rPr>
      <w:rFonts w:ascii="Times New Roman" w:hAnsi="Times New Roman" w:eastAsia="宋体" w:cs="Times New Roman"/>
      <w:kern w:val="2"/>
      <w:sz w:val="21"/>
      <w:szCs w:val="24"/>
      <w:lang w:val="en-US" w:eastAsia="zh-CN" w:bidi="ar-SA"/>
    </w:rPr>
  </w:style>
  <w:style w:type="paragraph" w:customStyle="1" w:styleId="40">
    <w:name w:val="正文中"/>
    <w:basedOn w:val="1"/>
    <w:next w:val="1"/>
    <w:qFormat/>
    <w:uiPriority w:val="0"/>
    <w:pPr>
      <w:spacing w:line="440" w:lineRule="exact"/>
      <w:jc w:val="center"/>
    </w:pPr>
    <w:rPr>
      <w:rFonts w:ascii="仿宋_GB2312" w:hAnsi="宋体" w:eastAsia="仿宋_GB2312"/>
      <w:sz w:val="28"/>
    </w:rPr>
  </w:style>
  <w:style w:type="character" w:customStyle="1" w:styleId="41">
    <w:name w:val="批注框文本 Char"/>
    <w:basedOn w:val="26"/>
    <w:link w:val="15"/>
    <w:qFormat/>
    <w:uiPriority w:val="0"/>
    <w:rPr>
      <w:kern w:val="2"/>
      <w:sz w:val="18"/>
      <w:szCs w:val="18"/>
    </w:rPr>
  </w:style>
  <w:style w:type="paragraph" w:customStyle="1" w:styleId="42">
    <w:name w:val="修订2"/>
    <w:hidden/>
    <w:semiHidden/>
    <w:qFormat/>
    <w:uiPriority w:val="99"/>
    <w:rPr>
      <w:rFonts w:ascii="Times New Roman" w:hAnsi="Times New Roman" w:eastAsia="宋体" w:cs="Times New Roman"/>
      <w:kern w:val="2"/>
      <w:sz w:val="21"/>
      <w:szCs w:val="24"/>
      <w:lang w:val="en-US" w:eastAsia="zh-CN" w:bidi="ar-SA"/>
    </w:rPr>
  </w:style>
  <w:style w:type="paragraph" w:customStyle="1" w:styleId="43">
    <w:name w:val="修订3"/>
    <w:hidden/>
    <w:unhideWhenUsed/>
    <w:qFormat/>
    <w:uiPriority w:val="99"/>
    <w:rPr>
      <w:rFonts w:ascii="Times New Roman" w:hAnsi="Times New Roman" w:eastAsia="宋体" w:cs="Times New Roman"/>
      <w:kern w:val="2"/>
      <w:sz w:val="21"/>
      <w:szCs w:val="24"/>
      <w:lang w:val="en-US" w:eastAsia="zh-CN" w:bidi="ar-SA"/>
    </w:rPr>
  </w:style>
  <w:style w:type="paragraph" w:customStyle="1" w:styleId="44">
    <w:name w:val="Normal_8"/>
    <w:qFormat/>
    <w:uiPriority w:val="0"/>
    <w:pPr>
      <w:widowControl w:val="0"/>
      <w:jc w:val="both"/>
    </w:pPr>
    <w:rPr>
      <w:rFonts w:ascii="Calibri" w:hAnsi="Calibri" w:eastAsia="宋体" w:cs="Times New Roman"/>
      <w:kern w:val="2"/>
      <w:sz w:val="21"/>
      <w:szCs w:val="22"/>
      <w:lang w:val="en-US" w:eastAsia="zh-CN" w:bidi="ar-SA"/>
    </w:rPr>
  </w:style>
  <w:style w:type="paragraph" w:customStyle="1" w:styleId="45">
    <w:name w:val="正文_0"/>
    <w:next w:val="10"/>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46</Pages>
  <Words>11994</Words>
  <Characters>12866</Characters>
  <Lines>150</Lines>
  <Paragraphs>42</Paragraphs>
  <TotalTime>37</TotalTime>
  <ScaleCrop>false</ScaleCrop>
  <LinksUpToDate>false</LinksUpToDate>
  <CharactersWithSpaces>13728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2025-08-21T02:13:00Z</dcterms:created>
  <dc:creator>sugeke2</dc:creator>
  <cp:lastModifiedBy>sugeke2</cp:lastModifiedBy>
  <cp:lastPrinted>2024-01-19T02:33:00Z</cp:lastPrinted>
  <dcterms:modified xsi:type="dcterms:W3CDTF">2026-08-26T00:47:50Z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D544A7869CCC4344968161784EF1D55C_13</vt:lpwstr>
  </property>
  <property fmtid="{D5CDD505-2E9C-101B-9397-08002B2CF9AE}" pid="4" name="KSOTemplateDocerSaveRecord">
    <vt:lpwstr>eyJoZGlkIjoiNjViYWI4NDcyOGM2YTM0N2YzMDM3MzYxZjhiYzJiYzgiLCJ1c2VySWQiOiIyMTU1NjE4NDUifQ==</vt:lpwstr>
  </property>
</Properties>
</file>