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8A433">
      <w:pPr>
        <w:rPr>
          <w:color w:val="auto"/>
          <w:highlight w:val="none"/>
        </w:rPr>
      </w:pPr>
    </w:p>
    <w:p w14:paraId="1F0619C3">
      <w:pPr>
        <w:adjustRightInd w:val="0"/>
        <w:snapToGrid w:val="0"/>
        <w:spacing w:before="156" w:beforeLines="50"/>
        <w:jc w:val="center"/>
        <w:rPr>
          <w:rFonts w:hint="eastAsia" w:ascii="宋体" w:hAnsi="宋体" w:cs="宋体"/>
          <w:b/>
          <w:bCs/>
          <w:color w:val="auto"/>
          <w:sz w:val="32"/>
          <w:szCs w:val="32"/>
          <w:highlight w:val="none"/>
        </w:rPr>
      </w:pPr>
    </w:p>
    <w:p w14:paraId="2B15B3B2">
      <w:pPr>
        <w:snapToGrid w:val="0"/>
        <w:spacing w:before="156" w:beforeLines="50" w:line="36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钦州港20万吨级进港航道一期工程</w:t>
      </w:r>
    </w:p>
    <w:p w14:paraId="5A96AC45">
      <w:pPr>
        <w:snapToGrid w:val="0"/>
        <w:spacing w:before="156" w:beforeLines="50" w:line="360" w:lineRule="auto"/>
        <w:jc w:val="center"/>
        <w:rPr>
          <w:rFonts w:ascii="黑体" w:hAnsi="黑体" w:eastAsia="黑体" w:cs="黑体"/>
          <w:color w:val="auto"/>
          <w:sz w:val="72"/>
          <w:szCs w:val="72"/>
          <w:highlight w:val="none"/>
        </w:rPr>
      </w:pPr>
      <w:r>
        <w:rPr>
          <w:rFonts w:hint="eastAsia" w:ascii="宋体" w:hAnsi="宋体" w:cs="宋体"/>
          <w:b/>
          <w:bCs/>
          <w:color w:val="auto"/>
          <w:sz w:val="36"/>
          <w:szCs w:val="36"/>
          <w:highlight w:val="none"/>
        </w:rPr>
        <w:t>秋季海洋生态和水文动力环境现状调查与评价服务</w:t>
      </w:r>
    </w:p>
    <w:p w14:paraId="4D4EA5EE">
      <w:pPr>
        <w:snapToGrid w:val="0"/>
        <w:spacing w:before="156" w:beforeLines="50" w:line="360" w:lineRule="auto"/>
        <w:jc w:val="center"/>
        <w:rPr>
          <w:rFonts w:ascii="黑体" w:hAnsi="黑体" w:eastAsia="黑体" w:cs="黑体"/>
          <w:color w:val="auto"/>
          <w:sz w:val="72"/>
          <w:szCs w:val="72"/>
          <w:highlight w:val="none"/>
        </w:rPr>
      </w:pPr>
    </w:p>
    <w:p w14:paraId="289D5190">
      <w:pPr>
        <w:snapToGrid w:val="0"/>
        <w:spacing w:before="156" w:beforeLines="50" w:line="360" w:lineRule="auto"/>
        <w:jc w:val="center"/>
        <w:rPr>
          <w:rFonts w:ascii="黑体" w:hAnsi="黑体" w:eastAsia="黑体" w:cs="黑体"/>
          <w:color w:val="auto"/>
          <w:sz w:val="72"/>
          <w:szCs w:val="72"/>
          <w:highlight w:val="none"/>
        </w:rPr>
      </w:pPr>
      <w:r>
        <w:rPr>
          <w:rFonts w:hint="eastAsia" w:ascii="黑体" w:hAnsi="黑体" w:eastAsia="黑体" w:cs="黑体"/>
          <w:color w:val="auto"/>
          <w:sz w:val="72"/>
          <w:szCs w:val="72"/>
          <w:highlight w:val="none"/>
        </w:rPr>
        <w:t>采购方案</w:t>
      </w:r>
    </w:p>
    <w:p w14:paraId="53AB89DE">
      <w:pPr>
        <w:snapToGrid w:val="0"/>
        <w:spacing w:before="156" w:beforeLines="50" w:line="360" w:lineRule="auto"/>
        <w:jc w:val="center"/>
        <w:rPr>
          <w:rFonts w:ascii="黑体" w:hAnsi="黑体" w:eastAsia="黑体" w:cs="黑体"/>
          <w:color w:val="auto"/>
          <w:sz w:val="72"/>
          <w:szCs w:val="72"/>
          <w:highlight w:val="none"/>
        </w:rPr>
      </w:pPr>
    </w:p>
    <w:p w14:paraId="0D03CC46">
      <w:pPr>
        <w:spacing w:line="360" w:lineRule="auto"/>
        <w:jc w:val="center"/>
        <w:rPr>
          <w:rFonts w:ascii="宋体" w:hAnsi="宋体"/>
          <w:b/>
          <w:color w:val="auto"/>
          <w:sz w:val="32"/>
          <w:szCs w:val="32"/>
          <w:highlight w:val="none"/>
        </w:rPr>
      </w:pPr>
    </w:p>
    <w:p w14:paraId="2DD41416">
      <w:pPr>
        <w:spacing w:line="480" w:lineRule="auto"/>
        <w:jc w:val="center"/>
        <w:rPr>
          <w:rFonts w:ascii="宋体" w:hAnsi="宋体"/>
          <w:b/>
          <w:color w:val="auto"/>
          <w:sz w:val="32"/>
          <w:szCs w:val="32"/>
          <w:highlight w:val="none"/>
        </w:rPr>
      </w:pPr>
    </w:p>
    <w:p w14:paraId="3827504A">
      <w:pPr>
        <w:pStyle w:val="34"/>
        <w:rPr>
          <w:rFonts w:ascii="宋体" w:hAnsi="宋体"/>
          <w:b/>
          <w:color w:val="auto"/>
          <w:sz w:val="32"/>
          <w:szCs w:val="32"/>
          <w:highlight w:val="none"/>
        </w:rPr>
      </w:pPr>
    </w:p>
    <w:p w14:paraId="356C16B1">
      <w:pPr>
        <w:spacing w:line="480" w:lineRule="auto"/>
        <w:ind w:firstLine="1285" w:firstLineChars="400"/>
        <w:rPr>
          <w:rFonts w:ascii="仿宋_GB2312" w:hAnsi="宋体" w:eastAsia="仿宋_GB2312"/>
          <w:b/>
          <w:color w:val="auto"/>
          <w:sz w:val="32"/>
          <w:szCs w:val="32"/>
          <w:highlight w:val="none"/>
        </w:rPr>
      </w:pPr>
    </w:p>
    <w:p w14:paraId="148A3539">
      <w:pPr>
        <w:spacing w:line="480" w:lineRule="auto"/>
        <w:ind w:firstLine="1285" w:firstLineChars="400"/>
        <w:rPr>
          <w:rFonts w:ascii="仿宋_GB2312" w:hAnsi="宋体" w:eastAsia="仿宋_GB2312"/>
          <w:b/>
          <w:color w:val="auto"/>
          <w:sz w:val="32"/>
          <w:szCs w:val="32"/>
          <w:highlight w:val="none"/>
        </w:rPr>
      </w:pPr>
    </w:p>
    <w:p w14:paraId="6537B3F7">
      <w:pPr>
        <w:spacing w:line="480" w:lineRule="auto"/>
        <w:ind w:firstLine="1285" w:firstLineChars="400"/>
        <w:rPr>
          <w:rFonts w:ascii="仿宋_GB2312" w:hAnsi="宋体" w:eastAsia="仿宋_GB2312"/>
          <w:b/>
          <w:color w:val="auto"/>
          <w:sz w:val="32"/>
          <w:szCs w:val="32"/>
          <w:highlight w:val="none"/>
        </w:rPr>
      </w:pPr>
    </w:p>
    <w:p w14:paraId="6DDB2092">
      <w:pPr>
        <w:spacing w:line="480" w:lineRule="auto"/>
        <w:ind w:firstLine="1285" w:firstLineChars="400"/>
        <w:rPr>
          <w:rFonts w:ascii="仿宋_GB2312" w:hAnsi="宋体" w:eastAsia="仿宋_GB2312"/>
          <w:b/>
          <w:color w:val="auto"/>
          <w:sz w:val="32"/>
          <w:szCs w:val="32"/>
          <w:highlight w:val="none"/>
        </w:rPr>
      </w:pPr>
    </w:p>
    <w:p w14:paraId="4C0F2C09">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采购人：</w:t>
      </w:r>
      <w:bookmarkStart w:id="0" w:name="OLE_LINK2"/>
      <w:r>
        <w:rPr>
          <w:rFonts w:hint="eastAsia" w:ascii="宋体" w:hAnsi="宋体" w:cs="宋体"/>
          <w:b/>
          <w:color w:val="auto"/>
          <w:sz w:val="32"/>
          <w:szCs w:val="32"/>
          <w:highlight w:val="none"/>
          <w:lang w:eastAsia="zh-CN"/>
        </w:rPr>
        <w:t>广西壮族自治区水运发展中心</w:t>
      </w:r>
    </w:p>
    <w:bookmarkEnd w:id="0"/>
    <w:p w14:paraId="5C44BAE5">
      <w:pPr>
        <w:spacing w:line="360" w:lineRule="auto"/>
        <w:jc w:val="center"/>
        <w:rPr>
          <w:rFonts w:ascii="宋体" w:hAnsi="宋体" w:cs="宋体"/>
          <w:b/>
          <w:color w:val="auto"/>
          <w:sz w:val="32"/>
          <w:szCs w:val="32"/>
          <w:highlight w:val="none"/>
        </w:rPr>
      </w:pPr>
      <w:r>
        <w:rPr>
          <w:rFonts w:hint="eastAsia" w:ascii="宋体" w:hAnsi="宋体" w:cs="宋体"/>
          <w:b/>
          <w:bCs/>
          <w:color w:val="auto"/>
          <w:w w:val="95"/>
          <w:sz w:val="32"/>
          <w:szCs w:val="32"/>
          <w:highlight w:val="none"/>
        </w:rPr>
        <w:t>2026年</w:t>
      </w:r>
      <w:r>
        <w:rPr>
          <w:rFonts w:hint="eastAsia" w:ascii="宋体" w:hAnsi="宋体" w:cs="宋体"/>
          <w:b/>
          <w:bCs/>
          <w:color w:val="auto"/>
          <w:w w:val="95"/>
          <w:sz w:val="32"/>
          <w:szCs w:val="32"/>
          <w:highlight w:val="none"/>
          <w:lang w:val="en-US" w:eastAsia="zh-CN"/>
        </w:rPr>
        <w:t>8</w:t>
      </w:r>
      <w:r>
        <w:rPr>
          <w:rFonts w:hint="eastAsia" w:ascii="宋体" w:hAnsi="宋体" w:cs="宋体"/>
          <w:b/>
          <w:bCs/>
          <w:color w:val="auto"/>
          <w:w w:val="95"/>
          <w:sz w:val="32"/>
          <w:szCs w:val="32"/>
          <w:highlight w:val="none"/>
        </w:rPr>
        <w:t>月</w:t>
      </w:r>
    </w:p>
    <w:p w14:paraId="35F6D071">
      <w:pPr>
        <w:rPr>
          <w:rFonts w:ascii="宋体" w:hAnsi="宋体" w:cs="宋体"/>
          <w:b/>
          <w:bCs/>
          <w:color w:val="auto"/>
          <w:kern w:val="0"/>
          <w:sz w:val="32"/>
          <w:szCs w:val="32"/>
          <w:highlight w:val="none"/>
        </w:rPr>
      </w:pPr>
      <w:r>
        <w:rPr>
          <w:rFonts w:ascii="宋体" w:hAnsi="宋体" w:cs="宋体"/>
          <w:b/>
          <w:bCs/>
          <w:color w:val="auto"/>
          <w:kern w:val="0"/>
          <w:sz w:val="32"/>
          <w:szCs w:val="32"/>
          <w:highlight w:val="none"/>
        </w:rPr>
        <w:br w:type="page"/>
      </w:r>
    </w:p>
    <w:p w14:paraId="009A4C46">
      <w:pPr>
        <w:pStyle w:val="20"/>
        <w:tabs>
          <w:tab w:val="right" w:leader="dot" w:pos="8931"/>
          <w:tab w:val="clear" w:pos="8296"/>
        </w:tabs>
        <w:adjustRightInd w:val="0"/>
        <w:snapToGrid w:val="0"/>
        <w:spacing w:line="264" w:lineRule="auto"/>
        <w:ind w:left="0" w:leftChars="0"/>
        <w:rPr>
          <w:rFonts w:ascii="宋体" w:hAnsi="宋体"/>
          <w:b/>
          <w:color w:val="auto"/>
          <w:sz w:val="32"/>
          <w:szCs w:val="32"/>
          <w:highlight w:val="none"/>
        </w:rPr>
      </w:pPr>
    </w:p>
    <w:sdt>
      <w:sdtPr>
        <w:rPr>
          <w:rFonts w:ascii="宋体" w:hAnsi="宋体"/>
          <w:color w:val="auto"/>
          <w:highlight w:val="none"/>
        </w:rPr>
        <w:id w:val="147480604"/>
        <w15:color w:val="DBDBDB"/>
        <w:docPartObj>
          <w:docPartGallery w:val="Table of Contents"/>
          <w:docPartUnique/>
        </w:docPartObj>
      </w:sdtPr>
      <w:sdtEndPr>
        <w:rPr>
          <w:rFonts w:hint="eastAsia" w:ascii="宋体" w:hAnsi="宋体"/>
          <w:color w:val="auto"/>
          <w:szCs w:val="32"/>
          <w:highlight w:val="none"/>
        </w:rPr>
      </w:sdtEndPr>
      <w:sdtContent>
        <w:p w14:paraId="2BF94CBE">
          <w:pPr>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773566C5">
          <w:pPr>
            <w:pStyle w:val="18"/>
            <w:tabs>
              <w:tab w:val="right" w:leader="dot" w:pos="8879"/>
            </w:tabs>
          </w:pPr>
          <w:r>
            <w:fldChar w:fldCharType="begin"/>
          </w:r>
          <w:r>
            <w:instrText xml:space="preserve">TOC \o "1-2" \h \u </w:instrText>
          </w:r>
          <w:r>
            <w:fldChar w:fldCharType="separate"/>
          </w:r>
          <w:r>
            <w:fldChar w:fldCharType="begin"/>
          </w:r>
          <w:r>
            <w:instrText xml:space="preserve"> HYPERLINK \l _Toc5437 </w:instrText>
          </w:r>
          <w:r>
            <w:fldChar w:fldCharType="separate"/>
          </w:r>
          <w:r>
            <w:rPr>
              <w:rFonts w:hint="eastAsia"/>
              <w:szCs w:val="28"/>
              <w:highlight w:val="none"/>
            </w:rPr>
            <w:t>第一章 采购公告</w:t>
          </w:r>
          <w:r>
            <w:tab/>
          </w:r>
          <w:r>
            <w:fldChar w:fldCharType="begin"/>
          </w:r>
          <w:r>
            <w:instrText xml:space="preserve"> PAGEREF _Toc5437 \h </w:instrText>
          </w:r>
          <w:r>
            <w:fldChar w:fldCharType="separate"/>
          </w:r>
          <w:r>
            <w:t>2</w:t>
          </w:r>
          <w:r>
            <w:fldChar w:fldCharType="end"/>
          </w:r>
          <w:r>
            <w:fldChar w:fldCharType="end"/>
          </w:r>
        </w:p>
        <w:p w14:paraId="6C50B1BB">
          <w:pPr>
            <w:pStyle w:val="18"/>
            <w:tabs>
              <w:tab w:val="right" w:leader="dot" w:pos="8879"/>
            </w:tabs>
          </w:pPr>
          <w:r>
            <w:fldChar w:fldCharType="begin"/>
          </w:r>
          <w:r>
            <w:instrText xml:space="preserve"> HYPERLINK \l _Toc1345 </w:instrText>
          </w:r>
          <w:r>
            <w:fldChar w:fldCharType="separate"/>
          </w:r>
          <w:r>
            <w:rPr>
              <w:rFonts w:hint="eastAsia"/>
              <w:szCs w:val="28"/>
              <w:highlight w:val="none"/>
            </w:rPr>
            <w:t>第二章 供应商须知</w:t>
          </w:r>
          <w:r>
            <w:tab/>
          </w:r>
          <w:r>
            <w:fldChar w:fldCharType="begin"/>
          </w:r>
          <w:r>
            <w:instrText xml:space="preserve"> PAGEREF _Toc1345 \h </w:instrText>
          </w:r>
          <w:r>
            <w:fldChar w:fldCharType="separate"/>
          </w:r>
          <w:r>
            <w:t>4</w:t>
          </w:r>
          <w:r>
            <w:fldChar w:fldCharType="end"/>
          </w:r>
          <w:r>
            <w:fldChar w:fldCharType="end"/>
          </w:r>
        </w:p>
        <w:p w14:paraId="799BC6FD">
          <w:pPr>
            <w:pStyle w:val="18"/>
            <w:tabs>
              <w:tab w:val="right" w:leader="dot" w:pos="8879"/>
            </w:tabs>
          </w:pPr>
          <w:r>
            <w:fldChar w:fldCharType="begin"/>
          </w:r>
          <w:r>
            <w:instrText xml:space="preserve"> HYPERLINK \l _Toc8174 </w:instrText>
          </w:r>
          <w:r>
            <w:fldChar w:fldCharType="separate"/>
          </w:r>
          <w:r>
            <w:rPr>
              <w:rFonts w:hint="eastAsia"/>
              <w:szCs w:val="28"/>
              <w:highlight w:val="none"/>
            </w:rPr>
            <w:t>第三章 采购需求</w:t>
          </w:r>
          <w:r>
            <w:tab/>
          </w:r>
          <w:r>
            <w:fldChar w:fldCharType="begin"/>
          </w:r>
          <w:r>
            <w:instrText xml:space="preserve"> PAGEREF _Toc8174 \h </w:instrText>
          </w:r>
          <w:r>
            <w:fldChar w:fldCharType="separate"/>
          </w:r>
          <w:r>
            <w:t>5</w:t>
          </w:r>
          <w:r>
            <w:fldChar w:fldCharType="end"/>
          </w:r>
          <w:r>
            <w:fldChar w:fldCharType="end"/>
          </w:r>
        </w:p>
        <w:p w14:paraId="68037F62">
          <w:pPr>
            <w:pStyle w:val="20"/>
            <w:tabs>
              <w:tab w:val="right" w:leader="dot" w:pos="8879"/>
              <w:tab w:val="clear" w:pos="8296"/>
            </w:tabs>
          </w:pPr>
          <w:r>
            <w:fldChar w:fldCharType="begin"/>
          </w:r>
          <w:r>
            <w:instrText xml:space="preserve"> HYPERLINK \l _Toc15273 </w:instrText>
          </w:r>
          <w:r>
            <w:fldChar w:fldCharType="separate"/>
          </w:r>
          <w:r>
            <w:rPr>
              <w:rFonts w:hint="eastAsia" w:ascii="宋体" w:hAnsi="宋体" w:cs="宋体"/>
              <w:bCs/>
              <w:szCs w:val="21"/>
              <w:highlight w:val="none"/>
              <w:lang w:bidi="ar"/>
            </w:rPr>
            <w:t>一、项目概况</w:t>
          </w:r>
          <w:r>
            <w:tab/>
          </w:r>
          <w:r>
            <w:fldChar w:fldCharType="begin"/>
          </w:r>
          <w:r>
            <w:instrText xml:space="preserve"> PAGEREF _Toc15273 \h </w:instrText>
          </w:r>
          <w:r>
            <w:fldChar w:fldCharType="separate"/>
          </w:r>
          <w:r>
            <w:t>5</w:t>
          </w:r>
          <w:r>
            <w:fldChar w:fldCharType="end"/>
          </w:r>
          <w:r>
            <w:fldChar w:fldCharType="end"/>
          </w:r>
        </w:p>
        <w:p w14:paraId="4F00A177">
          <w:pPr>
            <w:pStyle w:val="20"/>
            <w:tabs>
              <w:tab w:val="right" w:leader="dot" w:pos="8879"/>
              <w:tab w:val="clear" w:pos="8296"/>
            </w:tabs>
          </w:pPr>
          <w:r>
            <w:fldChar w:fldCharType="begin"/>
          </w:r>
          <w:r>
            <w:instrText xml:space="preserve"> HYPERLINK \l _Toc24930 </w:instrText>
          </w:r>
          <w:r>
            <w:fldChar w:fldCharType="separate"/>
          </w:r>
          <w:r>
            <w:rPr>
              <w:rFonts w:hint="eastAsia" w:ascii="宋体" w:hAnsi="宋体" w:cs="宋体"/>
              <w:bCs/>
              <w:szCs w:val="21"/>
              <w:highlight w:val="none"/>
              <w:lang w:bidi="ar"/>
            </w:rPr>
            <w:t>二、采购内容</w:t>
          </w:r>
          <w:r>
            <w:tab/>
          </w:r>
          <w:r>
            <w:fldChar w:fldCharType="begin"/>
          </w:r>
          <w:r>
            <w:instrText xml:space="preserve"> PAGEREF _Toc24930 \h </w:instrText>
          </w:r>
          <w:r>
            <w:fldChar w:fldCharType="separate"/>
          </w:r>
          <w:r>
            <w:t>5</w:t>
          </w:r>
          <w:r>
            <w:fldChar w:fldCharType="end"/>
          </w:r>
          <w:r>
            <w:fldChar w:fldCharType="end"/>
          </w:r>
        </w:p>
        <w:p w14:paraId="28248412">
          <w:pPr>
            <w:pStyle w:val="20"/>
            <w:tabs>
              <w:tab w:val="right" w:leader="dot" w:pos="8879"/>
              <w:tab w:val="clear" w:pos="8296"/>
            </w:tabs>
          </w:pPr>
          <w:r>
            <w:fldChar w:fldCharType="begin"/>
          </w:r>
          <w:r>
            <w:instrText xml:space="preserve"> HYPERLINK \l _Toc4323 </w:instrText>
          </w:r>
          <w:r>
            <w:fldChar w:fldCharType="separate"/>
          </w:r>
          <w:r>
            <w:rPr>
              <w:rFonts w:hint="eastAsia" w:ascii="宋体" w:hAnsi="宋体" w:cs="宋体"/>
              <w:bCs/>
              <w:szCs w:val="21"/>
              <w:highlight w:val="none"/>
              <w:lang w:bidi="ar"/>
            </w:rPr>
            <w:t>三、技术要求</w:t>
          </w:r>
          <w:r>
            <w:tab/>
          </w:r>
          <w:r>
            <w:fldChar w:fldCharType="begin"/>
          </w:r>
          <w:r>
            <w:instrText xml:space="preserve"> PAGEREF _Toc4323 \h </w:instrText>
          </w:r>
          <w:r>
            <w:fldChar w:fldCharType="separate"/>
          </w:r>
          <w:r>
            <w:t>5</w:t>
          </w:r>
          <w:r>
            <w:fldChar w:fldCharType="end"/>
          </w:r>
          <w:r>
            <w:fldChar w:fldCharType="end"/>
          </w:r>
        </w:p>
        <w:p w14:paraId="1D8A345C">
          <w:pPr>
            <w:pStyle w:val="20"/>
            <w:tabs>
              <w:tab w:val="right" w:leader="dot" w:pos="8879"/>
              <w:tab w:val="clear" w:pos="8296"/>
            </w:tabs>
          </w:pPr>
          <w:r>
            <w:fldChar w:fldCharType="begin"/>
          </w:r>
          <w:r>
            <w:instrText xml:space="preserve"> HYPERLINK \l _Toc15886 </w:instrText>
          </w:r>
          <w:r>
            <w:fldChar w:fldCharType="separate"/>
          </w:r>
          <w:r>
            <w:rPr>
              <w:rFonts w:hint="eastAsia" w:ascii="宋体" w:hAnsi="宋体" w:cs="宋体"/>
              <w:bCs/>
              <w:szCs w:val="21"/>
              <w:highlight w:val="none"/>
              <w:lang w:bidi="ar"/>
            </w:rPr>
            <w:t>四、商务要求</w:t>
          </w:r>
          <w:r>
            <w:tab/>
          </w:r>
          <w:r>
            <w:fldChar w:fldCharType="begin"/>
          </w:r>
          <w:r>
            <w:instrText xml:space="preserve"> PAGEREF _Toc15886 \h </w:instrText>
          </w:r>
          <w:r>
            <w:fldChar w:fldCharType="separate"/>
          </w:r>
          <w:r>
            <w:t>13</w:t>
          </w:r>
          <w:r>
            <w:fldChar w:fldCharType="end"/>
          </w:r>
          <w:r>
            <w:fldChar w:fldCharType="end"/>
          </w:r>
        </w:p>
        <w:p w14:paraId="4A13C35B">
          <w:pPr>
            <w:pStyle w:val="18"/>
            <w:tabs>
              <w:tab w:val="right" w:leader="dot" w:pos="8879"/>
            </w:tabs>
          </w:pPr>
          <w:r>
            <w:fldChar w:fldCharType="begin"/>
          </w:r>
          <w:r>
            <w:instrText xml:space="preserve"> HYPERLINK \l _Toc27254 </w:instrText>
          </w:r>
          <w:r>
            <w:fldChar w:fldCharType="separate"/>
          </w:r>
          <w:r>
            <w:rPr>
              <w:rFonts w:hint="eastAsia"/>
              <w:szCs w:val="28"/>
              <w:highlight w:val="none"/>
            </w:rPr>
            <w:t>第四章  评审办法</w:t>
          </w:r>
          <w:r>
            <w:tab/>
          </w:r>
          <w:r>
            <w:fldChar w:fldCharType="begin"/>
          </w:r>
          <w:r>
            <w:instrText xml:space="preserve"> PAGEREF _Toc27254 \h </w:instrText>
          </w:r>
          <w:r>
            <w:fldChar w:fldCharType="separate"/>
          </w:r>
          <w:r>
            <w:t>15</w:t>
          </w:r>
          <w:r>
            <w:fldChar w:fldCharType="end"/>
          </w:r>
          <w:r>
            <w:fldChar w:fldCharType="end"/>
          </w:r>
        </w:p>
        <w:p w14:paraId="57256887">
          <w:pPr>
            <w:pStyle w:val="20"/>
            <w:tabs>
              <w:tab w:val="right" w:leader="dot" w:pos="8879"/>
              <w:tab w:val="clear" w:pos="8296"/>
            </w:tabs>
          </w:pPr>
          <w:r>
            <w:fldChar w:fldCharType="begin"/>
          </w:r>
          <w:r>
            <w:instrText xml:space="preserve"> HYPERLINK \l _Toc21682 </w:instrText>
          </w:r>
          <w:r>
            <w:fldChar w:fldCharType="separate"/>
          </w:r>
          <w:r>
            <w:rPr>
              <w:rFonts w:hint="eastAsia" w:ascii="宋体" w:hAnsi="宋体"/>
              <w:highlight w:val="none"/>
            </w:rPr>
            <w:t>第一节  评审程序和评审方法</w:t>
          </w:r>
          <w:r>
            <w:tab/>
          </w:r>
          <w:r>
            <w:fldChar w:fldCharType="begin"/>
          </w:r>
          <w:r>
            <w:instrText xml:space="preserve"> PAGEREF _Toc21682 \h </w:instrText>
          </w:r>
          <w:r>
            <w:fldChar w:fldCharType="separate"/>
          </w:r>
          <w:r>
            <w:t>15</w:t>
          </w:r>
          <w:r>
            <w:fldChar w:fldCharType="end"/>
          </w:r>
          <w:r>
            <w:fldChar w:fldCharType="end"/>
          </w:r>
        </w:p>
        <w:p w14:paraId="291D3067">
          <w:pPr>
            <w:pStyle w:val="20"/>
            <w:tabs>
              <w:tab w:val="right" w:leader="dot" w:pos="8879"/>
              <w:tab w:val="clear" w:pos="8296"/>
            </w:tabs>
          </w:pPr>
          <w:r>
            <w:fldChar w:fldCharType="begin"/>
          </w:r>
          <w:r>
            <w:instrText xml:space="preserve"> HYPERLINK \l _Toc26128 </w:instrText>
          </w:r>
          <w:r>
            <w:fldChar w:fldCharType="separate"/>
          </w:r>
          <w:r>
            <w:rPr>
              <w:rFonts w:hint="eastAsia" w:ascii="宋体" w:hAnsi="宋体"/>
              <w:highlight w:val="none"/>
            </w:rPr>
            <w:t>第二节  评审标准</w:t>
          </w:r>
          <w:r>
            <w:tab/>
          </w:r>
          <w:r>
            <w:fldChar w:fldCharType="begin"/>
          </w:r>
          <w:r>
            <w:instrText xml:space="preserve"> PAGEREF _Toc26128 \h </w:instrText>
          </w:r>
          <w:r>
            <w:fldChar w:fldCharType="separate"/>
          </w:r>
          <w:r>
            <w:t>18</w:t>
          </w:r>
          <w:r>
            <w:fldChar w:fldCharType="end"/>
          </w:r>
          <w:r>
            <w:fldChar w:fldCharType="end"/>
          </w:r>
        </w:p>
        <w:p w14:paraId="3CD8CA63">
          <w:pPr>
            <w:pStyle w:val="18"/>
            <w:tabs>
              <w:tab w:val="right" w:leader="dot" w:pos="8879"/>
            </w:tabs>
          </w:pPr>
          <w:r>
            <w:fldChar w:fldCharType="begin"/>
          </w:r>
          <w:r>
            <w:instrText xml:space="preserve"> HYPERLINK \l _Toc9844 </w:instrText>
          </w:r>
          <w:r>
            <w:fldChar w:fldCharType="separate"/>
          </w:r>
          <w:r>
            <w:rPr>
              <w:rFonts w:hint="eastAsia"/>
              <w:szCs w:val="28"/>
              <w:highlight w:val="none"/>
            </w:rPr>
            <w:t>第五章 响应文件格式</w:t>
          </w:r>
          <w:r>
            <w:tab/>
          </w:r>
          <w:r>
            <w:fldChar w:fldCharType="begin"/>
          </w:r>
          <w:r>
            <w:instrText xml:space="preserve"> PAGEREF _Toc9844 \h </w:instrText>
          </w:r>
          <w:r>
            <w:fldChar w:fldCharType="separate"/>
          </w:r>
          <w:r>
            <w:t>20</w:t>
          </w:r>
          <w:r>
            <w:fldChar w:fldCharType="end"/>
          </w:r>
          <w:r>
            <w:fldChar w:fldCharType="end"/>
          </w:r>
        </w:p>
        <w:p w14:paraId="66B51AEE">
          <w:pPr>
            <w:pStyle w:val="20"/>
            <w:tabs>
              <w:tab w:val="right" w:leader="dot" w:pos="8879"/>
              <w:tab w:val="clear" w:pos="8296"/>
            </w:tabs>
          </w:pPr>
          <w:r>
            <w:fldChar w:fldCharType="begin"/>
          </w:r>
          <w:r>
            <w:instrText xml:space="preserve"> HYPERLINK \l _Toc6595 </w:instrText>
          </w:r>
          <w:r>
            <w:fldChar w:fldCharType="separate"/>
          </w:r>
          <w:r>
            <w:rPr>
              <w:rFonts w:hint="eastAsia" w:ascii="宋体" w:hAnsi="宋体"/>
              <w:bCs/>
              <w:szCs w:val="36"/>
              <w:highlight w:val="none"/>
            </w:rPr>
            <w:t>目录</w:t>
          </w:r>
          <w:r>
            <w:tab/>
          </w:r>
          <w:r>
            <w:fldChar w:fldCharType="begin"/>
          </w:r>
          <w:r>
            <w:instrText xml:space="preserve"> PAGEREF _Toc6595 \h </w:instrText>
          </w:r>
          <w:r>
            <w:fldChar w:fldCharType="separate"/>
          </w:r>
          <w:r>
            <w:t>22</w:t>
          </w:r>
          <w:r>
            <w:fldChar w:fldCharType="end"/>
          </w:r>
          <w:r>
            <w:fldChar w:fldCharType="end"/>
          </w:r>
        </w:p>
        <w:p w14:paraId="6793ED8F">
          <w:pPr>
            <w:pStyle w:val="20"/>
            <w:tabs>
              <w:tab w:val="right" w:leader="dot" w:pos="8879"/>
              <w:tab w:val="clear" w:pos="8296"/>
            </w:tabs>
          </w:pPr>
          <w:r>
            <w:fldChar w:fldCharType="begin"/>
          </w:r>
          <w:r>
            <w:instrText xml:space="preserve"> HYPERLINK \l _Toc11407 </w:instrText>
          </w:r>
          <w:r>
            <w:fldChar w:fldCharType="separate"/>
          </w:r>
          <w:r>
            <w:rPr>
              <w:rFonts w:hint="eastAsia" w:ascii="黑体" w:hAnsi="黑体" w:eastAsia="黑体" w:cs="黑体"/>
              <w:szCs w:val="36"/>
              <w:highlight w:val="none"/>
            </w:rPr>
            <w:t>一、投标函</w:t>
          </w:r>
          <w:r>
            <w:tab/>
          </w:r>
          <w:r>
            <w:fldChar w:fldCharType="begin"/>
          </w:r>
          <w:r>
            <w:instrText xml:space="preserve"> PAGEREF _Toc11407 \h </w:instrText>
          </w:r>
          <w:r>
            <w:fldChar w:fldCharType="separate"/>
          </w:r>
          <w:r>
            <w:t>23</w:t>
          </w:r>
          <w:r>
            <w:fldChar w:fldCharType="end"/>
          </w:r>
          <w:r>
            <w:fldChar w:fldCharType="end"/>
          </w:r>
        </w:p>
        <w:p w14:paraId="0B220351">
          <w:pPr>
            <w:pStyle w:val="20"/>
            <w:tabs>
              <w:tab w:val="right" w:leader="dot" w:pos="8879"/>
              <w:tab w:val="clear" w:pos="8296"/>
            </w:tabs>
          </w:pPr>
          <w:r>
            <w:fldChar w:fldCharType="begin"/>
          </w:r>
          <w:r>
            <w:instrText xml:space="preserve"> HYPERLINK \l _Toc20335 </w:instrText>
          </w:r>
          <w:r>
            <w:fldChar w:fldCharType="separate"/>
          </w:r>
          <w:r>
            <w:rPr>
              <w:rFonts w:hint="eastAsia" w:ascii="黑体" w:hAnsi="黑体" w:eastAsia="黑体" w:cs="黑体"/>
              <w:szCs w:val="36"/>
              <w:highlight w:val="none"/>
            </w:rPr>
            <w:t>二、法定代表人身份证明</w:t>
          </w:r>
          <w:r>
            <w:tab/>
          </w:r>
          <w:r>
            <w:fldChar w:fldCharType="begin"/>
          </w:r>
          <w:r>
            <w:instrText xml:space="preserve"> PAGEREF _Toc20335 \h </w:instrText>
          </w:r>
          <w:r>
            <w:fldChar w:fldCharType="separate"/>
          </w:r>
          <w:r>
            <w:t>24</w:t>
          </w:r>
          <w:r>
            <w:fldChar w:fldCharType="end"/>
          </w:r>
          <w:r>
            <w:fldChar w:fldCharType="end"/>
          </w:r>
        </w:p>
        <w:p w14:paraId="693574BA">
          <w:pPr>
            <w:pStyle w:val="20"/>
            <w:tabs>
              <w:tab w:val="right" w:leader="dot" w:pos="8879"/>
              <w:tab w:val="clear" w:pos="8296"/>
            </w:tabs>
          </w:pPr>
          <w:r>
            <w:fldChar w:fldCharType="begin"/>
          </w:r>
          <w:r>
            <w:instrText xml:space="preserve"> HYPERLINK \l _Toc12470 </w:instrText>
          </w:r>
          <w:r>
            <w:fldChar w:fldCharType="separate"/>
          </w:r>
          <w:r>
            <w:rPr>
              <w:rFonts w:hint="eastAsia" w:ascii="黑体" w:hAnsi="黑体" w:eastAsia="黑体" w:cs="黑体"/>
              <w:szCs w:val="36"/>
              <w:highlight w:val="none"/>
            </w:rPr>
            <w:t>二、授权委托书</w:t>
          </w:r>
          <w:r>
            <w:tab/>
          </w:r>
          <w:r>
            <w:fldChar w:fldCharType="begin"/>
          </w:r>
          <w:r>
            <w:instrText xml:space="preserve"> PAGEREF _Toc12470 \h </w:instrText>
          </w:r>
          <w:r>
            <w:fldChar w:fldCharType="separate"/>
          </w:r>
          <w:r>
            <w:t>25</w:t>
          </w:r>
          <w:r>
            <w:fldChar w:fldCharType="end"/>
          </w:r>
          <w:r>
            <w:fldChar w:fldCharType="end"/>
          </w:r>
        </w:p>
        <w:p w14:paraId="1906DC61">
          <w:pPr>
            <w:pStyle w:val="20"/>
            <w:tabs>
              <w:tab w:val="right" w:leader="dot" w:pos="8879"/>
              <w:tab w:val="clear" w:pos="8296"/>
            </w:tabs>
          </w:pPr>
          <w:r>
            <w:fldChar w:fldCharType="begin"/>
          </w:r>
          <w:r>
            <w:instrText xml:space="preserve"> HYPERLINK \l _Toc23582 </w:instrText>
          </w:r>
          <w:r>
            <w:fldChar w:fldCharType="separate"/>
          </w:r>
          <w:r>
            <w:rPr>
              <w:rFonts w:hint="eastAsia" w:ascii="黑体" w:hAnsi="黑体" w:eastAsia="黑体" w:cs="黑体"/>
              <w:szCs w:val="36"/>
            </w:rPr>
            <w:t>三、</w:t>
          </w:r>
          <w:r>
            <w:rPr>
              <w:rFonts w:ascii="黑体" w:hAnsi="黑体" w:eastAsia="黑体" w:cs="黑体"/>
              <w:szCs w:val="36"/>
            </w:rPr>
            <w:t>联合体协议书</w:t>
          </w:r>
          <w:r>
            <w:rPr>
              <w:rFonts w:hint="eastAsia" w:ascii="黑体" w:hAnsi="黑体" w:eastAsia="黑体" w:cs="黑体"/>
              <w:szCs w:val="36"/>
            </w:rPr>
            <w:t>（</w:t>
          </w:r>
          <w:r>
            <w:rPr>
              <w:rFonts w:hint="eastAsia" w:ascii="黑体" w:hAnsi="黑体" w:eastAsia="黑体" w:cs="黑体"/>
              <w:szCs w:val="36"/>
              <w:lang w:eastAsia="zh-CN"/>
            </w:rPr>
            <w:t>如有</w:t>
          </w:r>
          <w:r>
            <w:rPr>
              <w:rFonts w:hint="eastAsia" w:ascii="黑体" w:hAnsi="黑体" w:eastAsia="黑体" w:cs="黑体"/>
              <w:szCs w:val="36"/>
            </w:rPr>
            <w:t>）</w:t>
          </w:r>
          <w:r>
            <w:tab/>
          </w:r>
          <w:r>
            <w:fldChar w:fldCharType="begin"/>
          </w:r>
          <w:r>
            <w:instrText xml:space="preserve"> PAGEREF _Toc23582 \h </w:instrText>
          </w:r>
          <w:r>
            <w:fldChar w:fldCharType="separate"/>
          </w:r>
          <w:r>
            <w:t>26</w:t>
          </w:r>
          <w:r>
            <w:fldChar w:fldCharType="end"/>
          </w:r>
          <w:r>
            <w:fldChar w:fldCharType="end"/>
          </w:r>
        </w:p>
        <w:p w14:paraId="3884BA49">
          <w:pPr>
            <w:pStyle w:val="20"/>
            <w:tabs>
              <w:tab w:val="right" w:leader="dot" w:pos="8879"/>
              <w:tab w:val="clear" w:pos="8296"/>
            </w:tabs>
          </w:pPr>
          <w:r>
            <w:fldChar w:fldCharType="begin"/>
          </w:r>
          <w:r>
            <w:instrText xml:space="preserve"> HYPERLINK \l _Toc9567 </w:instrText>
          </w:r>
          <w:r>
            <w:fldChar w:fldCharType="separate"/>
          </w:r>
          <w:r>
            <w:rPr>
              <w:rFonts w:hint="eastAsia" w:ascii="黑体" w:hAnsi="黑体" w:eastAsia="黑体" w:cs="黑体"/>
              <w:szCs w:val="36"/>
              <w:highlight w:val="none"/>
              <w:lang w:eastAsia="zh-CN"/>
            </w:rPr>
            <w:t>四</w:t>
          </w:r>
          <w:r>
            <w:rPr>
              <w:rFonts w:hint="eastAsia" w:ascii="黑体" w:hAnsi="黑体" w:eastAsia="黑体" w:cs="黑体"/>
              <w:szCs w:val="36"/>
              <w:highlight w:val="none"/>
            </w:rPr>
            <w:t>、报价清单</w:t>
          </w:r>
          <w:r>
            <w:tab/>
          </w:r>
          <w:r>
            <w:fldChar w:fldCharType="begin"/>
          </w:r>
          <w:r>
            <w:instrText xml:space="preserve"> PAGEREF _Toc9567 \h </w:instrText>
          </w:r>
          <w:r>
            <w:fldChar w:fldCharType="separate"/>
          </w:r>
          <w:r>
            <w:t>27</w:t>
          </w:r>
          <w:r>
            <w:fldChar w:fldCharType="end"/>
          </w:r>
          <w:r>
            <w:fldChar w:fldCharType="end"/>
          </w:r>
        </w:p>
        <w:p w14:paraId="05D79593">
          <w:pPr>
            <w:pStyle w:val="20"/>
            <w:tabs>
              <w:tab w:val="right" w:leader="dot" w:pos="8879"/>
              <w:tab w:val="clear" w:pos="8296"/>
            </w:tabs>
          </w:pPr>
          <w:r>
            <w:fldChar w:fldCharType="begin"/>
          </w:r>
          <w:r>
            <w:instrText xml:space="preserve"> HYPERLINK \l _Toc31645 </w:instrText>
          </w:r>
          <w:r>
            <w:fldChar w:fldCharType="separate"/>
          </w:r>
          <w:r>
            <w:rPr>
              <w:rFonts w:hint="eastAsia" w:ascii="黑体" w:hAnsi="黑体" w:eastAsia="黑体" w:cs="黑体"/>
              <w:szCs w:val="36"/>
              <w:highlight w:val="none"/>
              <w:lang w:eastAsia="zh-CN"/>
            </w:rPr>
            <w:t>五</w:t>
          </w:r>
          <w:r>
            <w:rPr>
              <w:rFonts w:hint="eastAsia" w:ascii="黑体" w:hAnsi="黑体" w:eastAsia="黑体" w:cs="黑体"/>
              <w:szCs w:val="36"/>
              <w:highlight w:val="none"/>
            </w:rPr>
            <w:t>、资格审查资料</w:t>
          </w:r>
          <w:r>
            <w:tab/>
          </w:r>
          <w:r>
            <w:fldChar w:fldCharType="begin"/>
          </w:r>
          <w:r>
            <w:instrText xml:space="preserve"> PAGEREF _Toc31645 \h </w:instrText>
          </w:r>
          <w:r>
            <w:fldChar w:fldCharType="separate"/>
          </w:r>
          <w:r>
            <w:t>29</w:t>
          </w:r>
          <w:r>
            <w:fldChar w:fldCharType="end"/>
          </w:r>
          <w:r>
            <w:fldChar w:fldCharType="end"/>
          </w:r>
        </w:p>
        <w:p w14:paraId="766C2D1D">
          <w:pPr>
            <w:pStyle w:val="20"/>
            <w:tabs>
              <w:tab w:val="right" w:leader="dot" w:pos="8879"/>
              <w:tab w:val="clear" w:pos="8296"/>
            </w:tabs>
          </w:pPr>
          <w:r>
            <w:fldChar w:fldCharType="begin"/>
          </w:r>
          <w:r>
            <w:instrText xml:space="preserve"> HYPERLINK \l _Toc25999 </w:instrText>
          </w:r>
          <w:r>
            <w:fldChar w:fldCharType="separate"/>
          </w:r>
          <w:r>
            <w:rPr>
              <w:rFonts w:hint="eastAsia" w:ascii="黑体" w:hAnsi="黑体" w:eastAsia="黑体" w:cs="黑体"/>
              <w:szCs w:val="36"/>
              <w:highlight w:val="none"/>
              <w:lang w:eastAsia="zh-CN"/>
            </w:rPr>
            <w:t>六</w:t>
          </w:r>
          <w:r>
            <w:rPr>
              <w:rFonts w:hint="eastAsia" w:ascii="黑体" w:hAnsi="黑体" w:eastAsia="黑体" w:cs="黑体"/>
              <w:szCs w:val="36"/>
              <w:highlight w:val="none"/>
            </w:rPr>
            <w:t>、</w:t>
          </w:r>
          <w:r>
            <w:rPr>
              <w:rFonts w:hint="eastAsia" w:ascii="黑体" w:hAnsi="黑体" w:eastAsia="黑体" w:cs="黑体"/>
              <w:szCs w:val="36"/>
              <w:highlight w:val="none"/>
              <w:lang w:eastAsia="zh-CN"/>
            </w:rPr>
            <w:t>调查与评价</w:t>
          </w:r>
          <w:r>
            <w:rPr>
              <w:rFonts w:hint="eastAsia" w:ascii="黑体" w:hAnsi="黑体" w:eastAsia="黑体" w:cs="黑体"/>
              <w:szCs w:val="36"/>
              <w:highlight w:val="none"/>
            </w:rPr>
            <w:t>方案</w:t>
          </w:r>
          <w:r>
            <w:tab/>
          </w:r>
          <w:r>
            <w:fldChar w:fldCharType="begin"/>
          </w:r>
          <w:r>
            <w:instrText xml:space="preserve"> PAGEREF _Toc25999 \h </w:instrText>
          </w:r>
          <w:r>
            <w:fldChar w:fldCharType="separate"/>
          </w:r>
          <w:r>
            <w:t>34</w:t>
          </w:r>
          <w:r>
            <w:fldChar w:fldCharType="end"/>
          </w:r>
          <w:r>
            <w:fldChar w:fldCharType="end"/>
          </w:r>
        </w:p>
        <w:p w14:paraId="191DF88B">
          <w:pPr>
            <w:pStyle w:val="20"/>
            <w:tabs>
              <w:tab w:val="right" w:leader="dot" w:pos="8879"/>
              <w:tab w:val="clear" w:pos="8296"/>
            </w:tabs>
          </w:pPr>
          <w:r>
            <w:fldChar w:fldCharType="begin"/>
          </w:r>
          <w:r>
            <w:instrText xml:space="preserve"> HYPERLINK \l _Toc6562 </w:instrText>
          </w:r>
          <w:r>
            <w:fldChar w:fldCharType="separate"/>
          </w:r>
          <w:r>
            <w:rPr>
              <w:rFonts w:hint="eastAsia" w:ascii="黑体" w:hAnsi="黑体" w:eastAsia="黑体" w:cs="黑体"/>
              <w:szCs w:val="36"/>
              <w:highlight w:val="none"/>
              <w:lang w:eastAsia="zh-CN"/>
            </w:rPr>
            <w:t>七</w:t>
          </w:r>
          <w:r>
            <w:rPr>
              <w:rFonts w:hint="eastAsia" w:ascii="黑体" w:hAnsi="黑体" w:eastAsia="黑体" w:cs="黑体"/>
              <w:szCs w:val="36"/>
              <w:highlight w:val="none"/>
            </w:rPr>
            <w:t>、其他资料</w:t>
          </w:r>
          <w:r>
            <w:tab/>
          </w:r>
          <w:r>
            <w:fldChar w:fldCharType="begin"/>
          </w:r>
          <w:r>
            <w:instrText xml:space="preserve"> PAGEREF _Toc6562 \h </w:instrText>
          </w:r>
          <w:r>
            <w:fldChar w:fldCharType="separate"/>
          </w:r>
          <w:r>
            <w:t>35</w:t>
          </w:r>
          <w:r>
            <w:fldChar w:fldCharType="end"/>
          </w:r>
          <w:r>
            <w:fldChar w:fldCharType="end"/>
          </w:r>
        </w:p>
        <w:p w14:paraId="6BE31168">
          <w:pPr>
            <w:pStyle w:val="18"/>
            <w:tabs>
              <w:tab w:val="right" w:leader="dot" w:pos="8879"/>
            </w:tabs>
          </w:pPr>
          <w:r>
            <w:fldChar w:fldCharType="begin"/>
          </w:r>
          <w:r>
            <w:instrText xml:space="preserve"> HYPERLINK \l _Toc16353 </w:instrText>
          </w:r>
          <w:r>
            <w:fldChar w:fldCharType="separate"/>
          </w:r>
          <w:r>
            <w:rPr>
              <w:rFonts w:hint="eastAsia"/>
              <w:highlight w:val="none"/>
            </w:rPr>
            <w:t>第六章 合同条款</w:t>
          </w:r>
          <w:r>
            <w:tab/>
          </w:r>
          <w:r>
            <w:fldChar w:fldCharType="begin"/>
          </w:r>
          <w:r>
            <w:instrText xml:space="preserve"> PAGEREF _Toc16353 \h </w:instrText>
          </w:r>
          <w:r>
            <w:fldChar w:fldCharType="separate"/>
          </w:r>
          <w:r>
            <w:t>36</w:t>
          </w:r>
          <w:r>
            <w:fldChar w:fldCharType="end"/>
          </w:r>
          <w:r>
            <w:fldChar w:fldCharType="end"/>
          </w:r>
        </w:p>
        <w:p w14:paraId="50B82D9A">
          <w:pPr>
            <w:pStyle w:val="20"/>
            <w:tabs>
              <w:tab w:val="right" w:leader="dot" w:pos="8879"/>
              <w:tab w:val="clear" w:pos="8296"/>
            </w:tabs>
          </w:pPr>
          <w:r>
            <w:fldChar w:fldCharType="begin"/>
          </w:r>
          <w:r>
            <w:instrText xml:space="preserve"> HYPERLINK \l _Toc32046 </w:instrText>
          </w:r>
          <w:r>
            <w:fldChar w:fldCharType="separate"/>
          </w:r>
          <w:r>
            <w:rPr>
              <w:rFonts w:hint="eastAsia" w:ascii="黑体" w:hAnsi="宋体" w:eastAsia="黑体"/>
              <w:szCs w:val="32"/>
            </w:rPr>
            <w:t>合同协议书</w:t>
          </w:r>
          <w:r>
            <w:tab/>
          </w:r>
          <w:r>
            <w:fldChar w:fldCharType="begin"/>
          </w:r>
          <w:r>
            <w:instrText xml:space="preserve"> PAGEREF _Toc32046 \h </w:instrText>
          </w:r>
          <w:r>
            <w:fldChar w:fldCharType="separate"/>
          </w:r>
          <w:r>
            <w:t>37</w:t>
          </w:r>
          <w:r>
            <w:fldChar w:fldCharType="end"/>
          </w:r>
          <w:r>
            <w:fldChar w:fldCharType="end"/>
          </w:r>
        </w:p>
        <w:p w14:paraId="5695344E">
          <w:pPr>
            <w:pStyle w:val="20"/>
            <w:tabs>
              <w:tab w:val="right" w:leader="dot" w:pos="8879"/>
              <w:tab w:val="clear" w:pos="8296"/>
            </w:tabs>
          </w:pPr>
          <w:r>
            <w:fldChar w:fldCharType="begin"/>
          </w:r>
          <w:r>
            <w:instrText xml:space="preserve"> HYPERLINK \l _Toc3800 </w:instrText>
          </w:r>
          <w:r>
            <w:fldChar w:fldCharType="separate"/>
          </w:r>
          <w:r>
            <w:rPr>
              <w:rFonts w:hint="eastAsia" w:ascii="宋体" w:hAnsi="宋体" w:eastAsia="宋体" w:cs="宋体"/>
              <w:szCs w:val="24"/>
              <w:lang w:eastAsia="zh-CN"/>
            </w:rPr>
            <w:t>附件</w:t>
          </w:r>
          <w:r>
            <w:rPr>
              <w:rFonts w:hint="eastAsia" w:ascii="宋体" w:hAnsi="宋体" w:eastAsia="宋体" w:cs="宋体"/>
              <w:szCs w:val="24"/>
              <w:lang w:val="en-US" w:eastAsia="zh-CN"/>
            </w:rPr>
            <w:t xml:space="preserve"> </w:t>
          </w:r>
          <w:r>
            <w:rPr>
              <w:rFonts w:hint="eastAsia" w:ascii="宋体" w:hAnsi="宋体" w:eastAsia="宋体" w:cs="宋体"/>
              <w:szCs w:val="24"/>
            </w:rPr>
            <w:t>廉政合同</w:t>
          </w:r>
          <w:r>
            <w:tab/>
          </w:r>
          <w:r>
            <w:fldChar w:fldCharType="begin"/>
          </w:r>
          <w:r>
            <w:instrText xml:space="preserve"> PAGEREF _Toc3800 \h </w:instrText>
          </w:r>
          <w:r>
            <w:fldChar w:fldCharType="separate"/>
          </w:r>
          <w:r>
            <w:t>46</w:t>
          </w:r>
          <w:r>
            <w:fldChar w:fldCharType="end"/>
          </w:r>
          <w:r>
            <w:fldChar w:fldCharType="end"/>
          </w:r>
        </w:p>
        <w:p w14:paraId="02FD6BB1">
          <w:pPr>
            <w:spacing w:line="400" w:lineRule="exact"/>
            <w:rPr>
              <w:rFonts w:ascii="宋体" w:hAnsi="宋体"/>
              <w:color w:val="auto"/>
              <w:szCs w:val="32"/>
              <w:highlight w:val="none"/>
            </w:rPr>
          </w:pPr>
          <w:r>
            <w:fldChar w:fldCharType="end"/>
          </w:r>
        </w:p>
      </w:sdtContent>
    </w:sdt>
    <w:p w14:paraId="138E17D0">
      <w:pPr>
        <w:spacing w:line="400" w:lineRule="exact"/>
        <w:rPr>
          <w:rFonts w:ascii="宋体" w:hAnsi="宋体"/>
          <w:color w:val="auto"/>
          <w:szCs w:val="32"/>
          <w:highlight w:val="none"/>
        </w:rPr>
      </w:pPr>
    </w:p>
    <w:p w14:paraId="7407658C">
      <w:pPr>
        <w:spacing w:line="400" w:lineRule="exact"/>
        <w:rPr>
          <w:rFonts w:ascii="宋体" w:hAnsi="宋体"/>
          <w:b/>
          <w:color w:val="auto"/>
          <w:sz w:val="32"/>
          <w:szCs w:val="32"/>
          <w:highlight w:val="none"/>
        </w:rPr>
      </w:pPr>
    </w:p>
    <w:p w14:paraId="5FD8F8D7">
      <w:pPr>
        <w:spacing w:line="400" w:lineRule="exact"/>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7EE74ED9">
      <w:pPr>
        <w:pStyle w:val="2"/>
        <w:spacing w:before="0" w:after="0" w:line="360" w:lineRule="auto"/>
        <w:jc w:val="center"/>
        <w:rPr>
          <w:color w:val="auto"/>
          <w:sz w:val="28"/>
          <w:szCs w:val="28"/>
          <w:highlight w:val="none"/>
        </w:rPr>
      </w:pPr>
      <w:bookmarkStart w:id="1" w:name="_Toc25608"/>
      <w:bookmarkStart w:id="2" w:name="_Toc27769"/>
      <w:bookmarkStart w:id="3" w:name="_Toc27074"/>
      <w:bookmarkStart w:id="4" w:name="_Toc24940"/>
      <w:bookmarkStart w:id="5" w:name="_Toc8362"/>
      <w:bookmarkStart w:id="6" w:name="_Toc12191"/>
      <w:bookmarkStart w:id="7" w:name="_Toc29459"/>
      <w:bookmarkStart w:id="8" w:name="_Toc6645"/>
      <w:bookmarkStart w:id="9" w:name="_Toc20493"/>
      <w:bookmarkStart w:id="10" w:name="_Toc21624"/>
      <w:bookmarkStart w:id="11" w:name="_Toc4332"/>
      <w:bookmarkStart w:id="12" w:name="_Toc31467"/>
      <w:bookmarkStart w:id="13" w:name="_Toc5437"/>
      <w:bookmarkStart w:id="14" w:name="_Toc5793"/>
      <w:r>
        <w:rPr>
          <w:rFonts w:hint="eastAsia"/>
          <w:color w:val="auto"/>
          <w:sz w:val="28"/>
          <w:szCs w:val="28"/>
          <w:highlight w:val="none"/>
        </w:rPr>
        <w:t>第一章 采购</w:t>
      </w:r>
      <w:bookmarkEnd w:id="1"/>
      <w:bookmarkEnd w:id="2"/>
      <w:bookmarkEnd w:id="3"/>
      <w:r>
        <w:rPr>
          <w:rFonts w:hint="eastAsia"/>
          <w:color w:val="auto"/>
          <w:sz w:val="28"/>
          <w:szCs w:val="28"/>
          <w:highlight w:val="none"/>
        </w:rPr>
        <w:t>公告</w:t>
      </w:r>
      <w:bookmarkEnd w:id="4"/>
      <w:bookmarkEnd w:id="5"/>
      <w:bookmarkEnd w:id="6"/>
      <w:bookmarkEnd w:id="7"/>
      <w:bookmarkEnd w:id="8"/>
      <w:bookmarkEnd w:id="9"/>
      <w:bookmarkEnd w:id="10"/>
      <w:bookmarkEnd w:id="11"/>
      <w:bookmarkEnd w:id="12"/>
      <w:bookmarkEnd w:id="13"/>
      <w:bookmarkEnd w:id="14"/>
    </w:p>
    <w:p w14:paraId="5C7C3E83">
      <w:pPr>
        <w:spacing w:line="360" w:lineRule="auto"/>
        <w:ind w:firstLine="354" w:firstLineChars="147"/>
        <w:rPr>
          <w:rFonts w:ascii="黑体" w:hAnsi="黑体" w:eastAsia="黑体"/>
          <w:b/>
          <w:color w:val="auto"/>
          <w:sz w:val="24"/>
          <w:highlight w:val="none"/>
        </w:rPr>
      </w:pPr>
      <w:bookmarkStart w:id="15" w:name="_Toc35393798"/>
      <w:bookmarkStart w:id="16" w:name="_Toc28359012"/>
      <w:bookmarkStart w:id="17" w:name="_Toc35393629"/>
      <w:bookmarkStart w:id="18" w:name="_Hlk37430271"/>
      <w:bookmarkStart w:id="19" w:name="_Toc28359089"/>
      <w:bookmarkStart w:id="20" w:name="_Toc71365905"/>
      <w:bookmarkStart w:id="21" w:name="_Toc44229878"/>
    </w:p>
    <w:bookmarkEnd w:id="15"/>
    <w:bookmarkEnd w:id="16"/>
    <w:bookmarkEnd w:id="17"/>
    <w:bookmarkEnd w:id="18"/>
    <w:bookmarkEnd w:id="19"/>
    <w:bookmarkEnd w:id="20"/>
    <w:bookmarkEnd w:id="21"/>
    <w:p w14:paraId="6BC8BEB5">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一、项目基本情况</w:t>
      </w:r>
    </w:p>
    <w:p w14:paraId="6DA939BB">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1.采购项目名称：钦州港20万吨级进港航道一期工程秋季海洋生态和水文动力环境现状调查与评价服务</w:t>
      </w:r>
    </w:p>
    <w:p w14:paraId="4DC36C8C">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2.项目地点：</w:t>
      </w:r>
      <w:r>
        <w:rPr>
          <w:rFonts w:hint="eastAsia" w:ascii="宋体" w:hAnsi="宋体" w:cs="宋体"/>
          <w:bCs/>
          <w:color w:val="auto"/>
          <w:sz w:val="21"/>
          <w:szCs w:val="21"/>
          <w:highlight w:val="none"/>
          <w:lang w:eastAsia="zh-CN"/>
        </w:rPr>
        <w:t>钦州港</w:t>
      </w:r>
    </w:p>
    <w:p w14:paraId="133F3696">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3.项目概况：</w:t>
      </w:r>
      <w:bookmarkStart w:id="22" w:name="OLE_LINK5"/>
    </w:p>
    <w:bookmarkEnd w:id="22"/>
    <w:p w14:paraId="69A8EEBC">
      <w:pPr>
        <w:spacing w:line="360" w:lineRule="auto"/>
        <w:ind w:firstLine="420" w:firstLineChars="200"/>
        <w:jc w:val="left"/>
        <w:rPr>
          <w:rFonts w:hint="eastAsia" w:ascii="宋体" w:hAnsi="宋体" w:cs="宋体"/>
          <w:bCs/>
          <w:color w:val="auto"/>
          <w:sz w:val="21"/>
          <w:szCs w:val="21"/>
          <w:highlight w:val="none"/>
        </w:rPr>
      </w:pPr>
      <w:r>
        <w:rPr>
          <w:rFonts w:hint="eastAsia" w:ascii="宋体" w:hAnsi="宋体" w:cs="宋体"/>
          <w:bCs/>
          <w:color w:val="auto"/>
          <w:szCs w:val="21"/>
          <w:highlight w:val="none"/>
        </w:rPr>
        <w:t>开展</w:t>
      </w:r>
      <w:r>
        <w:rPr>
          <w:rFonts w:hint="eastAsia" w:ascii="宋体" w:hAnsi="宋体" w:cs="宋体"/>
          <w:bCs/>
          <w:color w:val="auto"/>
          <w:sz w:val="21"/>
          <w:szCs w:val="21"/>
          <w:highlight w:val="none"/>
          <w:lang w:eastAsia="zh-CN"/>
        </w:rPr>
        <w:t>钦州港20万吨级进港航道一期工程</w:t>
      </w:r>
      <w:r>
        <w:rPr>
          <w:rFonts w:hint="eastAsia" w:ascii="宋体" w:hAnsi="宋体" w:cs="宋体"/>
          <w:bCs/>
          <w:color w:val="auto"/>
          <w:szCs w:val="21"/>
          <w:highlight w:val="none"/>
        </w:rPr>
        <w:t>2026年秋季海洋生态和水文动力环境现状调查，编制《钦州港20万吨级进港航道一期工程海洋生态环境调查分析评价报告（秋季）》和《钦州港20万吨级进港航道一期工程海洋水文动力现状调查分析评价报告（秋季）》。</w:t>
      </w:r>
    </w:p>
    <w:p w14:paraId="1A2D988C">
      <w:pPr>
        <w:spacing w:line="360" w:lineRule="auto"/>
        <w:ind w:firstLine="420" w:firstLineChars="200"/>
        <w:jc w:val="left"/>
        <w:rPr>
          <w:rFonts w:ascii="仿宋_GB2312" w:hAnsi="仿宋" w:eastAsia="仿宋_GB2312" w:cs="宋体"/>
          <w:bCs/>
          <w:color w:val="auto"/>
          <w:kern w:val="0"/>
          <w:sz w:val="21"/>
          <w:szCs w:val="21"/>
          <w:highlight w:val="none"/>
        </w:rPr>
      </w:pPr>
      <w:r>
        <w:rPr>
          <w:rFonts w:hint="eastAsia" w:ascii="宋体" w:hAnsi="宋体" w:cs="宋体"/>
          <w:bCs/>
          <w:color w:val="auto"/>
          <w:sz w:val="21"/>
          <w:szCs w:val="21"/>
          <w:highlight w:val="none"/>
        </w:rPr>
        <w:t>4.采购最高限价：</w:t>
      </w:r>
      <w:r>
        <w:rPr>
          <w:rFonts w:hint="eastAsia" w:ascii="宋体" w:hAnsi="宋体" w:cs="宋体"/>
          <w:bCs/>
          <w:color w:val="auto"/>
          <w:sz w:val="21"/>
          <w:szCs w:val="21"/>
          <w:highlight w:val="none"/>
          <w:lang w:val="en-US" w:eastAsia="zh-CN"/>
        </w:rPr>
        <w:t>95</w:t>
      </w:r>
      <w:r>
        <w:rPr>
          <w:rFonts w:hint="eastAsia" w:ascii="宋体" w:hAnsi="宋体" w:cs="宋体"/>
          <w:bCs/>
          <w:color w:val="auto"/>
          <w:sz w:val="21"/>
          <w:szCs w:val="21"/>
          <w:highlight w:val="none"/>
        </w:rPr>
        <w:t>万元，报价超过</w:t>
      </w:r>
      <w:r>
        <w:rPr>
          <w:rFonts w:hint="eastAsia" w:ascii="宋体" w:hAnsi="宋体" w:cs="宋体"/>
          <w:bCs/>
          <w:color w:val="auto"/>
          <w:sz w:val="21"/>
          <w:szCs w:val="21"/>
          <w:highlight w:val="none"/>
          <w:lang w:eastAsia="zh-CN"/>
        </w:rPr>
        <w:t>最高限价</w:t>
      </w:r>
      <w:r>
        <w:rPr>
          <w:rFonts w:hint="eastAsia" w:ascii="宋体" w:hAnsi="宋体" w:cs="宋体"/>
          <w:bCs/>
          <w:color w:val="auto"/>
          <w:sz w:val="21"/>
          <w:szCs w:val="21"/>
          <w:highlight w:val="none"/>
        </w:rPr>
        <w:t>的响应文件为无效。</w:t>
      </w:r>
    </w:p>
    <w:p w14:paraId="35694049">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cs="宋体"/>
          <w:bCs/>
          <w:color w:val="auto"/>
          <w:sz w:val="21"/>
          <w:szCs w:val="21"/>
          <w:highlight w:val="none"/>
        </w:rPr>
        <w:t>.采购方式：自行采购。</w:t>
      </w:r>
    </w:p>
    <w:p w14:paraId="5BC2BAB2">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6</w:t>
      </w:r>
      <w:r>
        <w:rPr>
          <w:rFonts w:hint="eastAsia" w:ascii="宋体" w:hAnsi="宋体" w:cs="宋体"/>
          <w:bCs/>
          <w:color w:val="auto"/>
          <w:sz w:val="21"/>
          <w:szCs w:val="21"/>
          <w:highlight w:val="none"/>
        </w:rPr>
        <w:t xml:space="preserve">.采购需求： </w:t>
      </w:r>
    </w:p>
    <w:tbl>
      <w:tblPr>
        <w:tblStyle w:val="2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57" w:type="dxa"/>
          <w:left w:w="108" w:type="dxa"/>
          <w:bottom w:w="57" w:type="dxa"/>
          <w:right w:w="108" w:type="dxa"/>
        </w:tblCellMar>
      </w:tblPr>
      <w:tblGrid>
        <w:gridCol w:w="776"/>
        <w:gridCol w:w="1746"/>
        <w:gridCol w:w="849"/>
        <w:gridCol w:w="5384"/>
      </w:tblGrid>
      <w:tr w14:paraId="4A0E0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787FAD46">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7476B381">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标的名称</w:t>
            </w:r>
          </w:p>
        </w:tc>
        <w:tc>
          <w:tcPr>
            <w:tcW w:w="849" w:type="dxa"/>
            <w:tcBorders>
              <w:top w:val="single" w:color="auto" w:sz="4" w:space="0"/>
              <w:left w:val="single" w:color="auto" w:sz="4" w:space="0"/>
              <w:bottom w:val="single" w:color="auto" w:sz="4" w:space="0"/>
              <w:right w:val="single" w:color="auto" w:sz="4" w:space="0"/>
            </w:tcBorders>
            <w:vAlign w:val="center"/>
          </w:tcPr>
          <w:p w14:paraId="064C3ACF">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数量及</w:t>
            </w:r>
          </w:p>
          <w:p w14:paraId="2046C785">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5384" w:type="dxa"/>
            <w:tcBorders>
              <w:top w:val="single" w:color="auto" w:sz="4" w:space="0"/>
              <w:left w:val="single" w:color="auto" w:sz="4" w:space="0"/>
              <w:bottom w:val="single" w:color="auto" w:sz="4" w:space="0"/>
              <w:right w:val="single" w:color="auto" w:sz="4" w:space="0"/>
            </w:tcBorders>
            <w:vAlign w:val="center"/>
          </w:tcPr>
          <w:p w14:paraId="054D5668">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简要服务要求或者技术需求</w:t>
            </w:r>
          </w:p>
        </w:tc>
      </w:tr>
      <w:tr w14:paraId="4EFA5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0699683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0843B70F">
            <w:pPr>
              <w:spacing w:line="360" w:lineRule="auto"/>
              <w:ind w:firstLine="420" w:firstLineChars="200"/>
              <w:rPr>
                <w:rFonts w:ascii="宋体" w:hAnsi="宋体"/>
                <w:color w:val="auto"/>
                <w:sz w:val="21"/>
                <w:szCs w:val="21"/>
                <w:highlight w:val="none"/>
              </w:rPr>
            </w:pPr>
            <w:r>
              <w:rPr>
                <w:rFonts w:hint="eastAsia" w:ascii="宋体" w:hAnsi="宋体" w:cs="宋体"/>
                <w:bCs/>
                <w:color w:val="auto"/>
                <w:sz w:val="21"/>
                <w:szCs w:val="21"/>
                <w:highlight w:val="none"/>
              </w:rPr>
              <w:t>钦州港20万吨级进港航道一期工程秋季海洋生态和水文动力环境现状调查与评价服务</w:t>
            </w:r>
          </w:p>
        </w:tc>
        <w:tc>
          <w:tcPr>
            <w:tcW w:w="849" w:type="dxa"/>
            <w:tcBorders>
              <w:top w:val="single" w:color="auto" w:sz="4" w:space="0"/>
              <w:left w:val="single" w:color="auto" w:sz="4" w:space="0"/>
              <w:bottom w:val="single" w:color="auto" w:sz="4" w:space="0"/>
              <w:right w:val="single" w:color="auto" w:sz="4" w:space="0"/>
            </w:tcBorders>
            <w:vAlign w:val="center"/>
          </w:tcPr>
          <w:p w14:paraId="66D2F492">
            <w:pPr>
              <w:keepNext/>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1项</w:t>
            </w:r>
          </w:p>
        </w:tc>
        <w:tc>
          <w:tcPr>
            <w:tcW w:w="5384" w:type="dxa"/>
            <w:tcBorders>
              <w:top w:val="single" w:color="auto" w:sz="4" w:space="0"/>
              <w:left w:val="single" w:color="auto" w:sz="4" w:space="0"/>
              <w:bottom w:val="single" w:color="auto" w:sz="4" w:space="0"/>
              <w:right w:val="single" w:color="auto" w:sz="4" w:space="0"/>
            </w:tcBorders>
            <w:vAlign w:val="center"/>
          </w:tcPr>
          <w:p w14:paraId="314C0392">
            <w:pPr>
              <w:pStyle w:val="6"/>
              <w:ind w:firstLine="420" w:firstLineChars="200"/>
              <w:rPr>
                <w:rFonts w:hint="default"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开展钦州港20万吨级进港航道一期工程2026年秋季海洋生态和水文动力环境现状调查，编制《钦州港20万吨级进港航道一期工程海洋生态环境调查分析评价报告（秋季）》和《钦州港20万吨级进港航道一期工程海洋水文动力现状调查分析评价报告（秋季）》。</w:t>
            </w:r>
          </w:p>
          <w:p w14:paraId="67B26BCF">
            <w:pPr>
              <w:pStyle w:val="6"/>
              <w:ind w:firstLine="420" w:firstLineChars="200"/>
              <w:rPr>
                <w:color w:val="auto"/>
                <w:sz w:val="21"/>
                <w:szCs w:val="21"/>
                <w:highlight w:val="none"/>
              </w:rPr>
            </w:pPr>
            <w:r>
              <w:rPr>
                <w:rFonts w:hint="eastAsia"/>
                <w:b w:val="0"/>
                <w:bCs w:val="0"/>
                <w:color w:val="auto"/>
                <w:sz w:val="21"/>
                <w:szCs w:val="21"/>
                <w:highlight w:val="none"/>
              </w:rPr>
              <w:t>详见</w:t>
            </w:r>
            <w:r>
              <w:rPr>
                <w:rFonts w:hint="eastAsia"/>
                <w:b w:val="0"/>
                <w:bCs w:val="0"/>
                <w:color w:val="auto"/>
                <w:sz w:val="21"/>
                <w:szCs w:val="21"/>
                <w:highlight w:val="none"/>
                <w:lang w:eastAsia="zh-CN"/>
              </w:rPr>
              <w:t>采购文件第三章</w:t>
            </w:r>
            <w:r>
              <w:rPr>
                <w:rFonts w:hint="eastAsia"/>
                <w:b w:val="0"/>
                <w:bCs w:val="0"/>
                <w:color w:val="auto"/>
                <w:sz w:val="21"/>
                <w:szCs w:val="21"/>
                <w:highlight w:val="none"/>
              </w:rPr>
              <w:t>采购需求</w:t>
            </w:r>
            <w:r>
              <w:rPr>
                <w:rFonts w:hint="eastAsia" w:ascii="宋体" w:hAnsi="宋体"/>
                <w:b w:val="0"/>
                <w:bCs w:val="0"/>
                <w:color w:val="auto"/>
                <w:sz w:val="21"/>
                <w:szCs w:val="21"/>
                <w:highlight w:val="none"/>
              </w:rPr>
              <w:t>。</w:t>
            </w:r>
          </w:p>
        </w:tc>
      </w:tr>
    </w:tbl>
    <w:p w14:paraId="475C4B6F">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7</w:t>
      </w:r>
      <w:r>
        <w:rPr>
          <w:rFonts w:hint="eastAsia" w:ascii="宋体" w:hAnsi="宋体" w:cs="宋体"/>
          <w:bCs/>
          <w:color w:val="auto"/>
          <w:sz w:val="21"/>
          <w:szCs w:val="21"/>
          <w:highlight w:val="none"/>
        </w:rPr>
        <w:t>.合同履行期限：</w:t>
      </w:r>
    </w:p>
    <w:p w14:paraId="72308102">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工期：</w:t>
      </w:r>
      <w:r>
        <w:rPr>
          <w:rFonts w:hint="eastAsia" w:ascii="宋体" w:hAnsi="宋体" w:cs="宋体"/>
          <w:bCs/>
          <w:color w:val="auto"/>
          <w:sz w:val="21"/>
          <w:szCs w:val="21"/>
          <w:highlight w:val="none"/>
          <w:lang w:val="en-US" w:eastAsia="zh-CN"/>
        </w:rPr>
        <w:t>100日历天</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具体如下：</w:t>
      </w:r>
    </w:p>
    <w:p w14:paraId="0E2103D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lang w:eastAsia="zh-CN"/>
        </w:rPr>
        <w:t>合同签订后</w:t>
      </w:r>
      <w:r>
        <w:rPr>
          <w:rFonts w:hint="eastAsia" w:ascii="宋体" w:hAnsi="宋体" w:cs="宋体"/>
          <w:bCs/>
          <w:color w:val="auto"/>
          <w:szCs w:val="21"/>
          <w:highlight w:val="none"/>
        </w:rPr>
        <w:t>60天内，完成2026年秋季海洋生态和水文动力环境现状调查；</w:t>
      </w:r>
    </w:p>
    <w:p w14:paraId="4E30D1E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szCs w:val="21"/>
          <w:highlight w:val="none"/>
          <w:lang w:eastAsia="zh-CN"/>
        </w:rPr>
        <w:t>合同签订后</w:t>
      </w:r>
      <w:r>
        <w:rPr>
          <w:rFonts w:hint="eastAsia" w:ascii="宋体" w:hAnsi="宋体" w:cs="宋体"/>
          <w:bCs/>
          <w:color w:val="auto"/>
          <w:szCs w:val="21"/>
          <w:highlight w:val="none"/>
        </w:rPr>
        <w:t>90天内，完成《钦州港20万吨级进港航道一期工程海洋生态环境调查分析评价报告（秋季）》和《钦州港20万吨级进港航道一期工程海洋水文动力现状调查分析评价报告（秋季）》编制；</w:t>
      </w:r>
    </w:p>
    <w:p w14:paraId="244A350F">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Cs w:val="21"/>
          <w:highlight w:val="none"/>
        </w:rPr>
        <w:t>（3）技术成果通过验收后，10天内提交最终成果。</w:t>
      </w:r>
    </w:p>
    <w:p w14:paraId="7DA62F44">
      <w:pPr>
        <w:spacing w:line="360" w:lineRule="auto"/>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eastAsia="zh-CN"/>
        </w:rPr>
        <w:t>成果验收时间另行计算，不计入总工期。</w:t>
      </w:r>
    </w:p>
    <w:p w14:paraId="5F624F58">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val="en-US" w:eastAsia="zh-CN"/>
        </w:rPr>
        <w:t>8</w:t>
      </w:r>
      <w:r>
        <w:rPr>
          <w:rFonts w:hint="eastAsia" w:ascii="宋体" w:hAnsi="宋体" w:cs="宋体"/>
          <w:bCs/>
          <w:color w:val="auto"/>
          <w:sz w:val="21"/>
          <w:szCs w:val="21"/>
          <w:highlight w:val="none"/>
        </w:rPr>
        <w:t>.本次采购接受联合体投标。联合体参加投标时，供应商应提供相应的联合体协议，联合体成员不超过2家。</w:t>
      </w:r>
    </w:p>
    <w:p w14:paraId="581AE62C">
      <w:pPr>
        <w:spacing w:line="360" w:lineRule="auto"/>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9.本次采购不允许分包。</w:t>
      </w:r>
    </w:p>
    <w:p w14:paraId="1305A220">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二、供应商的资格条件</w:t>
      </w:r>
    </w:p>
    <w:p w14:paraId="48187933">
      <w:pPr>
        <w:spacing w:line="360" w:lineRule="auto"/>
        <w:ind w:firstLine="420" w:firstLineChars="200"/>
        <w:rPr>
          <w:rFonts w:ascii="宋体" w:hAnsi="宋体" w:cs="宋体"/>
          <w:bCs/>
          <w:color w:val="auto"/>
          <w:sz w:val="21"/>
          <w:szCs w:val="21"/>
          <w:highlight w:val="none"/>
        </w:rPr>
      </w:pPr>
      <w:r>
        <w:rPr>
          <w:rFonts w:hint="eastAsia" w:ascii="宋体" w:hAnsi="宋体" w:cs="宋体"/>
          <w:color w:val="auto"/>
          <w:sz w:val="21"/>
          <w:szCs w:val="21"/>
          <w:highlight w:val="none"/>
          <w:lang w:bidi="ar"/>
        </w:rPr>
        <w:t>1.具备国内独立法人资格。</w:t>
      </w:r>
    </w:p>
    <w:p w14:paraId="37A11A1B">
      <w:pPr>
        <w:spacing w:line="360" w:lineRule="auto"/>
        <w:ind w:firstLine="420" w:firstLineChars="200"/>
        <w:rPr>
          <w:rFonts w:ascii="宋体" w:hAnsi="宋体" w:cs="宋体"/>
          <w:color w:val="auto"/>
          <w:sz w:val="21"/>
          <w:szCs w:val="21"/>
          <w:highlight w:val="none"/>
          <w:lang w:bidi="ar"/>
        </w:rPr>
      </w:pPr>
      <w:r>
        <w:rPr>
          <w:rFonts w:ascii="宋体" w:hAnsi="宋体" w:cs="宋体"/>
          <w:color w:val="auto"/>
          <w:sz w:val="21"/>
          <w:szCs w:val="21"/>
          <w:highlight w:val="none"/>
          <w:lang w:bidi="ar"/>
        </w:rPr>
        <w:t>2</w:t>
      </w:r>
      <w:r>
        <w:rPr>
          <w:rFonts w:hint="eastAsia" w:ascii="宋体" w:hAnsi="宋体" w:cs="宋体"/>
          <w:color w:val="auto"/>
          <w:sz w:val="21"/>
          <w:szCs w:val="21"/>
          <w:highlight w:val="none"/>
          <w:lang w:bidi="ar"/>
        </w:rPr>
        <w:t>.业绩要求：</w:t>
      </w:r>
      <w:r>
        <w:rPr>
          <w:rFonts w:hint="eastAsia" w:ascii="宋体" w:hAnsi="宋体" w:cs="宋体"/>
          <w:bCs/>
          <w:color w:val="auto"/>
          <w:sz w:val="21"/>
          <w:szCs w:val="21"/>
          <w:highlight w:val="none"/>
        </w:rPr>
        <w:t>自</w:t>
      </w:r>
      <w:r>
        <w:rPr>
          <w:rFonts w:hint="eastAsia" w:ascii="宋体" w:hAnsi="宋体" w:cs="宋体"/>
          <w:bCs/>
          <w:color w:val="auto"/>
          <w:sz w:val="21"/>
          <w:szCs w:val="21"/>
          <w:highlight w:val="none"/>
          <w:lang w:eastAsia="zh-CN"/>
        </w:rPr>
        <w:t>2021年1月</w:t>
      </w:r>
      <w:r>
        <w:rPr>
          <w:rFonts w:hint="eastAsia" w:ascii="宋体" w:hAnsi="宋体" w:cs="宋体"/>
          <w:bCs/>
          <w:color w:val="auto"/>
          <w:sz w:val="21"/>
          <w:szCs w:val="21"/>
          <w:highlight w:val="none"/>
        </w:rPr>
        <w:t>1日起至投标截止时间前，</w:t>
      </w:r>
      <w:r>
        <w:rPr>
          <w:rFonts w:hint="eastAsia" w:ascii="宋体" w:hAnsi="宋体" w:cs="宋体"/>
          <w:bCs/>
          <w:color w:val="auto"/>
          <w:sz w:val="21"/>
          <w:szCs w:val="21"/>
          <w:highlight w:val="none"/>
          <w:lang w:eastAsia="zh-CN"/>
        </w:rPr>
        <w:t>供应商</w:t>
      </w:r>
      <w:r>
        <w:rPr>
          <w:rFonts w:hint="eastAsia" w:ascii="宋体" w:hAnsi="宋体" w:cs="宋体"/>
          <w:bCs/>
          <w:color w:val="auto"/>
          <w:sz w:val="21"/>
          <w:szCs w:val="21"/>
          <w:highlight w:val="none"/>
        </w:rPr>
        <w:t>有</w:t>
      </w:r>
      <w:r>
        <w:rPr>
          <w:rFonts w:ascii="宋体" w:hAnsi="宋体" w:cs="宋体"/>
          <w:bCs/>
          <w:color w:val="auto"/>
          <w:sz w:val="21"/>
          <w:szCs w:val="21"/>
          <w:highlight w:val="none"/>
        </w:rPr>
        <w:t>1</w:t>
      </w:r>
      <w:r>
        <w:rPr>
          <w:rFonts w:hint="eastAsia" w:ascii="宋体" w:hAnsi="宋体" w:cs="宋体"/>
          <w:bCs/>
          <w:color w:val="auto"/>
          <w:sz w:val="21"/>
          <w:szCs w:val="21"/>
          <w:highlight w:val="none"/>
        </w:rPr>
        <w:t>个沿海</w:t>
      </w:r>
      <w:r>
        <w:rPr>
          <w:rFonts w:hint="eastAsia" w:ascii="宋体" w:hAnsi="宋体" w:cs="宋体"/>
          <w:bCs/>
          <w:color w:val="auto"/>
          <w:sz w:val="21"/>
          <w:szCs w:val="21"/>
          <w:highlight w:val="none"/>
          <w:lang w:eastAsia="zh-CN"/>
        </w:rPr>
        <w:t>水运</w:t>
      </w:r>
      <w:r>
        <w:rPr>
          <w:rFonts w:hint="eastAsia" w:ascii="宋体" w:hAnsi="宋体" w:cs="宋体"/>
          <w:bCs/>
          <w:color w:val="auto"/>
          <w:sz w:val="21"/>
          <w:szCs w:val="21"/>
          <w:highlight w:val="none"/>
        </w:rPr>
        <w:t>工程（码头、航道或锚地</w:t>
      </w:r>
      <w:r>
        <w:rPr>
          <w:rFonts w:hint="eastAsia" w:ascii="宋体" w:hAnsi="宋体" w:cs="宋体"/>
          <w:bCs/>
          <w:color w:val="auto"/>
          <w:sz w:val="21"/>
          <w:szCs w:val="21"/>
          <w:highlight w:val="none"/>
          <w:lang w:eastAsia="zh-CN"/>
        </w:rPr>
        <w:t>工程等</w:t>
      </w:r>
      <w:r>
        <w:rPr>
          <w:rFonts w:hint="eastAsia" w:ascii="宋体" w:hAnsi="宋体" w:cs="宋体"/>
          <w:bCs/>
          <w:color w:val="auto"/>
          <w:sz w:val="21"/>
          <w:szCs w:val="21"/>
          <w:highlight w:val="none"/>
        </w:rPr>
        <w:t>）环境影响报告书编制业绩（以</w:t>
      </w:r>
      <w:r>
        <w:rPr>
          <w:rFonts w:hint="eastAsia" w:ascii="宋体" w:hAnsi="宋体" w:cs="宋体"/>
          <w:bCs/>
          <w:color w:val="auto"/>
          <w:sz w:val="21"/>
          <w:szCs w:val="21"/>
          <w:highlight w:val="none"/>
          <w:lang w:eastAsia="zh-CN"/>
        </w:rPr>
        <w:t>报告批复</w:t>
      </w:r>
      <w:r>
        <w:rPr>
          <w:rFonts w:hint="eastAsia" w:ascii="宋体" w:hAnsi="宋体" w:cs="宋体"/>
          <w:bCs/>
          <w:color w:val="auto"/>
          <w:sz w:val="21"/>
          <w:szCs w:val="21"/>
          <w:highlight w:val="none"/>
        </w:rPr>
        <w:t>时间为准，提供合同、《编制单位和编制人员情况表》和环评批复复印件）。</w:t>
      </w:r>
    </w:p>
    <w:p w14:paraId="5D3559DF">
      <w:pPr>
        <w:spacing w:line="360" w:lineRule="auto"/>
        <w:ind w:firstLine="420" w:firstLineChars="200"/>
        <w:rPr>
          <w:rFonts w:ascii="宋体" w:hAnsi="宋体" w:cs="宋体"/>
          <w:color w:val="auto"/>
          <w:sz w:val="21"/>
          <w:szCs w:val="21"/>
          <w:highlight w:val="none"/>
          <w:lang w:bidi="ar"/>
        </w:rPr>
      </w:pPr>
      <w:r>
        <w:rPr>
          <w:rFonts w:hint="eastAsia" w:ascii="宋体" w:hAnsi="宋体" w:cs="宋体"/>
          <w:bCs/>
          <w:color w:val="auto"/>
          <w:sz w:val="21"/>
          <w:szCs w:val="21"/>
          <w:highlight w:val="none"/>
          <w:lang w:val="en-US" w:eastAsia="zh-CN"/>
        </w:rPr>
        <w:t>3.人员配备要求：</w:t>
      </w:r>
      <w:r>
        <w:rPr>
          <w:rFonts w:hint="eastAsia" w:ascii="宋体" w:hAnsi="宋体" w:cs="宋体"/>
          <w:bCs/>
          <w:color w:val="auto"/>
          <w:sz w:val="21"/>
          <w:szCs w:val="21"/>
          <w:highlight w:val="none"/>
        </w:rPr>
        <w:t>自</w:t>
      </w:r>
      <w:r>
        <w:rPr>
          <w:rFonts w:hint="eastAsia" w:ascii="宋体" w:hAnsi="宋体" w:cs="宋体"/>
          <w:bCs/>
          <w:color w:val="auto"/>
          <w:sz w:val="21"/>
          <w:szCs w:val="21"/>
          <w:highlight w:val="none"/>
          <w:lang w:eastAsia="zh-CN"/>
        </w:rPr>
        <w:t>2021年1月</w:t>
      </w:r>
      <w:r>
        <w:rPr>
          <w:rFonts w:hint="eastAsia" w:ascii="宋体" w:hAnsi="宋体" w:cs="宋体"/>
          <w:bCs/>
          <w:color w:val="auto"/>
          <w:sz w:val="21"/>
          <w:szCs w:val="21"/>
          <w:highlight w:val="none"/>
        </w:rPr>
        <w:t>1日起至投标截止时间前，</w:t>
      </w:r>
      <w:r>
        <w:rPr>
          <w:rFonts w:hint="eastAsia" w:ascii="宋体" w:hAnsi="宋体" w:cs="宋体"/>
          <w:bCs/>
          <w:color w:val="auto"/>
          <w:sz w:val="21"/>
          <w:szCs w:val="21"/>
          <w:highlight w:val="none"/>
          <w:lang w:eastAsia="zh-CN"/>
        </w:rPr>
        <w:t>项目负责人</w:t>
      </w:r>
      <w:r>
        <w:rPr>
          <w:rFonts w:hint="eastAsia" w:ascii="宋体" w:hAnsi="宋体" w:cs="宋体"/>
          <w:bCs/>
          <w:color w:val="auto"/>
          <w:sz w:val="21"/>
          <w:szCs w:val="21"/>
          <w:highlight w:val="none"/>
        </w:rPr>
        <w:t>有</w:t>
      </w:r>
      <w:r>
        <w:rPr>
          <w:rFonts w:ascii="宋体" w:hAnsi="宋体" w:cs="宋体"/>
          <w:bCs/>
          <w:color w:val="auto"/>
          <w:sz w:val="21"/>
          <w:szCs w:val="21"/>
          <w:highlight w:val="none"/>
        </w:rPr>
        <w:t>1</w:t>
      </w:r>
      <w:r>
        <w:rPr>
          <w:rFonts w:hint="eastAsia" w:ascii="宋体" w:hAnsi="宋体" w:cs="宋体"/>
          <w:bCs/>
          <w:color w:val="auto"/>
          <w:sz w:val="21"/>
          <w:szCs w:val="21"/>
          <w:highlight w:val="none"/>
        </w:rPr>
        <w:t>个</w:t>
      </w:r>
      <w:r>
        <w:rPr>
          <w:rFonts w:hint="eastAsia" w:ascii="宋体" w:hAnsi="宋体" w:cs="宋体"/>
          <w:bCs/>
          <w:color w:val="auto"/>
          <w:sz w:val="21"/>
          <w:szCs w:val="21"/>
          <w:highlight w:val="none"/>
          <w:lang w:eastAsia="zh-CN"/>
        </w:rPr>
        <w:t>主持完成</w:t>
      </w:r>
      <w:r>
        <w:rPr>
          <w:rFonts w:hint="eastAsia" w:ascii="宋体" w:hAnsi="宋体" w:cs="宋体"/>
          <w:bCs/>
          <w:color w:val="auto"/>
          <w:sz w:val="21"/>
          <w:szCs w:val="21"/>
          <w:highlight w:val="none"/>
        </w:rPr>
        <w:t>沿海</w:t>
      </w:r>
      <w:r>
        <w:rPr>
          <w:rFonts w:hint="eastAsia" w:ascii="宋体" w:hAnsi="宋体" w:cs="宋体"/>
          <w:bCs/>
          <w:color w:val="auto"/>
          <w:sz w:val="21"/>
          <w:szCs w:val="21"/>
          <w:highlight w:val="none"/>
          <w:lang w:eastAsia="zh-CN"/>
        </w:rPr>
        <w:t>水运</w:t>
      </w:r>
      <w:r>
        <w:rPr>
          <w:rFonts w:hint="eastAsia" w:ascii="宋体" w:hAnsi="宋体" w:cs="宋体"/>
          <w:bCs/>
          <w:color w:val="auto"/>
          <w:sz w:val="21"/>
          <w:szCs w:val="21"/>
          <w:highlight w:val="none"/>
        </w:rPr>
        <w:t>工程（码头、航道或锚地</w:t>
      </w:r>
      <w:r>
        <w:rPr>
          <w:rFonts w:hint="eastAsia" w:ascii="宋体" w:hAnsi="宋体" w:cs="宋体"/>
          <w:bCs/>
          <w:color w:val="auto"/>
          <w:sz w:val="21"/>
          <w:szCs w:val="21"/>
          <w:highlight w:val="none"/>
          <w:lang w:eastAsia="zh-CN"/>
        </w:rPr>
        <w:t>工程等</w:t>
      </w:r>
      <w:r>
        <w:rPr>
          <w:rFonts w:hint="eastAsia" w:ascii="宋体" w:hAnsi="宋体" w:cs="宋体"/>
          <w:bCs/>
          <w:color w:val="auto"/>
          <w:sz w:val="21"/>
          <w:szCs w:val="21"/>
          <w:highlight w:val="none"/>
        </w:rPr>
        <w:t>）环境影响报告书编制业绩（以</w:t>
      </w:r>
      <w:r>
        <w:rPr>
          <w:rFonts w:hint="eastAsia" w:ascii="宋体" w:hAnsi="宋体" w:cs="宋体"/>
          <w:bCs/>
          <w:color w:val="auto"/>
          <w:sz w:val="21"/>
          <w:szCs w:val="21"/>
          <w:highlight w:val="none"/>
          <w:lang w:eastAsia="zh-CN"/>
        </w:rPr>
        <w:t>报告批复</w:t>
      </w:r>
      <w:r>
        <w:rPr>
          <w:rFonts w:hint="eastAsia" w:ascii="宋体" w:hAnsi="宋体" w:cs="宋体"/>
          <w:bCs/>
          <w:color w:val="auto"/>
          <w:sz w:val="21"/>
          <w:szCs w:val="21"/>
          <w:highlight w:val="none"/>
        </w:rPr>
        <w:t>时间为准，提供合同、《编制单位和编制人员情况表》和环评批复复印件）。</w:t>
      </w:r>
    </w:p>
    <w:p w14:paraId="57ED7B2C">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4</w:t>
      </w:r>
      <w:r>
        <w:rPr>
          <w:rFonts w:hint="eastAsia" w:ascii="宋体" w:hAnsi="宋体" w:cs="宋体"/>
          <w:color w:val="auto"/>
          <w:sz w:val="21"/>
          <w:szCs w:val="21"/>
          <w:highlight w:val="none"/>
          <w:lang w:bidi="ar"/>
        </w:rPr>
        <w:t>.供应商参加本次采购活动前三年内，在经营活动中没有重大违法记录（重大违法记录，是指供应商因违法经营受到刑事处罚或者责令停产停业、吊销许可证或者执照等行政处罚）。由供应商提供书面声明。</w:t>
      </w:r>
    </w:p>
    <w:p w14:paraId="40E77A25">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5</w:t>
      </w:r>
      <w:r>
        <w:rPr>
          <w:rFonts w:hint="eastAsia" w:ascii="宋体" w:hAnsi="宋体" w:cs="宋体"/>
          <w:color w:val="auto"/>
          <w:sz w:val="21"/>
          <w:szCs w:val="21"/>
          <w:highlight w:val="none"/>
          <w:lang w:bidi="ar"/>
        </w:rPr>
        <w:t>.在“信用中国”网站(www.creditchina.gov.cn)、中国政府采购网(www.ccgp.gov.cn)等渠道未被列入失信被执行人、重大税收违法案件当事人名单、政府采购严重违法失信行为记录名单。由供应商提供</w:t>
      </w:r>
      <w:r>
        <w:rPr>
          <w:rFonts w:hint="eastAsia" w:ascii="宋体" w:hAnsi="宋体" w:cs="宋体"/>
          <w:color w:val="auto"/>
          <w:sz w:val="21"/>
          <w:szCs w:val="21"/>
          <w:highlight w:val="none"/>
          <w:lang w:eastAsia="zh-CN" w:bidi="ar"/>
        </w:rPr>
        <w:t>有关网站查询结果</w:t>
      </w:r>
      <w:r>
        <w:rPr>
          <w:rFonts w:hint="eastAsia" w:ascii="宋体" w:hAnsi="宋体" w:cs="宋体"/>
          <w:color w:val="auto"/>
          <w:sz w:val="21"/>
          <w:szCs w:val="21"/>
          <w:highlight w:val="none"/>
          <w:lang w:bidi="ar"/>
        </w:rPr>
        <w:t>。</w:t>
      </w:r>
    </w:p>
    <w:p w14:paraId="628BFC21">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三、获取采购文件</w:t>
      </w:r>
    </w:p>
    <w:p w14:paraId="6B04FD0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1.获取时间：自采购公告发布之日起，至响应文件递交截止时间</w:t>
      </w:r>
      <w:r>
        <w:rPr>
          <w:rFonts w:ascii="宋体" w:hAnsi="宋体" w:cs="宋体"/>
          <w:color w:val="auto"/>
          <w:sz w:val="21"/>
          <w:szCs w:val="21"/>
          <w:highlight w:val="none"/>
          <w:lang w:bidi="ar"/>
        </w:rPr>
        <w:t>。</w:t>
      </w:r>
    </w:p>
    <w:p w14:paraId="506DA505">
      <w:pPr>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2.获取地点：广西壮族自治区水运发展中心网站(http://www.gxghj.cn/)</w:t>
      </w:r>
      <w:r>
        <w:rPr>
          <w:rFonts w:hint="eastAsia" w:ascii="宋体" w:hAnsi="宋体" w:cs="宋体"/>
          <w:color w:val="auto"/>
          <w:sz w:val="21"/>
          <w:szCs w:val="21"/>
          <w:highlight w:val="none"/>
          <w:lang w:eastAsia="zh-CN" w:bidi="ar"/>
        </w:rPr>
        <w:t>。</w:t>
      </w:r>
    </w:p>
    <w:p w14:paraId="410342B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3.获取方式：网上下载。本项目不提供纸质文件，潜在供应商登录</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网站</w:t>
      </w:r>
      <w:r>
        <w:rPr>
          <w:rFonts w:ascii="宋体" w:hAnsi="宋体" w:cs="宋体"/>
          <w:color w:val="auto"/>
          <w:sz w:val="21"/>
          <w:szCs w:val="21"/>
          <w:highlight w:val="none"/>
          <w:lang w:bidi="ar"/>
        </w:rPr>
        <w:t>-进入“通知公告”应用，点击采购公告获取采购文件（采购方案）。</w:t>
      </w:r>
    </w:p>
    <w:p w14:paraId="6543276C">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四、响应文件递交</w:t>
      </w:r>
    </w:p>
    <w:p w14:paraId="54F98CD3">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1.响应文件形式及份数：纸质文件，一正一副共两份文件。</w:t>
      </w:r>
    </w:p>
    <w:p w14:paraId="1C2E7257">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2.响应文件递交地址：南宁市青秀区百花岭路6号</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425室。</w:t>
      </w:r>
    </w:p>
    <w:p w14:paraId="6D1B6036">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3.响应文件递交截止时间：</w:t>
      </w:r>
      <w:r>
        <w:rPr>
          <w:rFonts w:ascii="宋体" w:hAnsi="宋体" w:cs="宋体"/>
          <w:color w:val="auto"/>
          <w:sz w:val="21"/>
          <w:szCs w:val="21"/>
          <w:highlight w:val="none"/>
          <w:lang w:bidi="ar"/>
        </w:rPr>
        <w:t>202</w:t>
      </w:r>
      <w:r>
        <w:rPr>
          <w:rFonts w:hint="eastAsia" w:ascii="宋体" w:hAnsi="宋体" w:cs="宋体"/>
          <w:color w:val="auto"/>
          <w:sz w:val="21"/>
          <w:szCs w:val="21"/>
          <w:highlight w:val="none"/>
          <w:lang w:bidi="ar"/>
        </w:rPr>
        <w:t>6</w:t>
      </w:r>
      <w:r>
        <w:rPr>
          <w:rFonts w:ascii="宋体" w:hAnsi="宋体" w:cs="宋体"/>
          <w:color w:val="auto"/>
          <w:sz w:val="21"/>
          <w:szCs w:val="21"/>
          <w:highlight w:val="none"/>
          <w:lang w:bidi="ar"/>
        </w:rPr>
        <w:t>年</w:t>
      </w:r>
      <w:r>
        <w:rPr>
          <w:rFonts w:hint="eastAsia" w:ascii="宋体" w:hAnsi="宋体" w:cs="宋体"/>
          <w:color w:val="auto"/>
          <w:sz w:val="21"/>
          <w:szCs w:val="21"/>
          <w:highlight w:val="none"/>
          <w:lang w:val="en-US" w:eastAsia="zh-CN" w:bidi="ar"/>
        </w:rPr>
        <w:t>9</w:t>
      </w:r>
      <w:r>
        <w:rPr>
          <w:rFonts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4</w:t>
      </w:r>
      <w:r>
        <w:rPr>
          <w:rFonts w:ascii="宋体" w:hAnsi="宋体" w:cs="宋体"/>
          <w:color w:val="auto"/>
          <w:sz w:val="21"/>
          <w:szCs w:val="21"/>
          <w:highlight w:val="none"/>
          <w:lang w:bidi="ar"/>
        </w:rPr>
        <w:t>日1</w:t>
      </w:r>
      <w:r>
        <w:rPr>
          <w:rFonts w:hint="eastAsia" w:ascii="宋体" w:hAnsi="宋体" w:cs="宋体"/>
          <w:color w:val="auto"/>
          <w:sz w:val="21"/>
          <w:szCs w:val="21"/>
          <w:highlight w:val="none"/>
          <w:lang w:bidi="ar"/>
        </w:rPr>
        <w:t>0</w:t>
      </w:r>
      <w:r>
        <w:rPr>
          <w:rFonts w:ascii="宋体" w:hAnsi="宋体" w:cs="宋体"/>
          <w:color w:val="auto"/>
          <w:sz w:val="21"/>
          <w:szCs w:val="21"/>
          <w:highlight w:val="none"/>
          <w:lang w:bidi="ar"/>
        </w:rPr>
        <w:t>时00分</w:t>
      </w:r>
      <w:r>
        <w:rPr>
          <w:rFonts w:hint="eastAsia" w:ascii="宋体" w:hAnsi="宋体" w:cs="宋体"/>
          <w:color w:val="auto"/>
          <w:sz w:val="21"/>
          <w:szCs w:val="21"/>
          <w:highlight w:val="none"/>
          <w:lang w:bidi="ar"/>
        </w:rPr>
        <w:t>。</w:t>
      </w:r>
    </w:p>
    <w:p w14:paraId="0F83328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bidi="ar"/>
        </w:rPr>
        <w:t>至响应文件截止时间时，投标供应商不足三家的，另行发布延期公告；发布延期公告后，如投标供应商仍不足三家的，在已递交响应文件的供应商中按照评审规则评选。</w:t>
      </w:r>
    </w:p>
    <w:p w14:paraId="2AE5155A">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bidi="ar"/>
        </w:rPr>
        <w:t>响应文件</w:t>
      </w:r>
      <w:r>
        <w:rPr>
          <w:rFonts w:ascii="宋体" w:hAnsi="宋体" w:cs="宋体"/>
          <w:color w:val="auto"/>
          <w:sz w:val="21"/>
          <w:szCs w:val="21"/>
          <w:highlight w:val="none"/>
        </w:rPr>
        <w:t>必须密封，否则</w:t>
      </w:r>
      <w:r>
        <w:rPr>
          <w:rFonts w:hint="eastAsia" w:ascii="宋体" w:hAnsi="宋体" w:cs="宋体"/>
          <w:color w:val="auto"/>
          <w:sz w:val="21"/>
          <w:szCs w:val="21"/>
          <w:highlight w:val="none"/>
        </w:rPr>
        <w:t>采购人予以拒收</w:t>
      </w:r>
      <w:r>
        <w:rPr>
          <w:rFonts w:ascii="宋体" w:hAnsi="宋体" w:cs="宋体"/>
          <w:color w:val="auto"/>
          <w:sz w:val="21"/>
          <w:szCs w:val="21"/>
          <w:highlight w:val="none"/>
        </w:rPr>
        <w:t>。</w:t>
      </w:r>
    </w:p>
    <w:p w14:paraId="38B5F9CA">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 xml:space="preserve">五、响应文件开启与评审 </w:t>
      </w:r>
    </w:p>
    <w:p w14:paraId="02DCF28E">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1.时间：</w:t>
      </w:r>
      <w:r>
        <w:rPr>
          <w:rFonts w:hint="eastAsia" w:ascii="宋体" w:hAnsi="宋体" w:cs="宋体"/>
          <w:color w:val="auto"/>
          <w:sz w:val="21"/>
          <w:szCs w:val="21"/>
          <w:highlight w:val="none"/>
        </w:rPr>
        <w:t>响应文件递交截止后的5个工作日内完成</w:t>
      </w:r>
    </w:p>
    <w:p w14:paraId="6C9FCD9C">
      <w:pPr>
        <w:spacing w:line="360" w:lineRule="auto"/>
        <w:ind w:firstLine="420" w:firstLineChars="200"/>
        <w:rPr>
          <w:rFonts w:hint="eastAsia" w:ascii="宋体" w:hAnsi="宋体" w:eastAsia="宋体" w:cs="宋体"/>
          <w:color w:val="auto"/>
          <w:sz w:val="21"/>
          <w:szCs w:val="21"/>
          <w:highlight w:val="none"/>
          <w:lang w:eastAsia="zh-CN" w:bidi="ar"/>
        </w:rPr>
      </w:pPr>
      <w:r>
        <w:rPr>
          <w:rFonts w:ascii="宋体" w:hAnsi="宋体" w:cs="宋体"/>
          <w:color w:val="auto"/>
          <w:sz w:val="21"/>
          <w:szCs w:val="21"/>
          <w:highlight w:val="none"/>
        </w:rPr>
        <w:t>2.地点：</w:t>
      </w:r>
      <w:r>
        <w:rPr>
          <w:rFonts w:hint="eastAsia" w:ascii="宋体" w:hAnsi="宋体" w:cs="宋体"/>
          <w:color w:val="auto"/>
          <w:sz w:val="21"/>
          <w:szCs w:val="21"/>
          <w:highlight w:val="none"/>
          <w:lang w:eastAsia="zh-CN" w:bidi="ar"/>
        </w:rPr>
        <w:t>广西壮族自治区水运发展中心</w:t>
      </w:r>
    </w:p>
    <w:p w14:paraId="59B95D8E">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3.不邀请供应商参加响应文件开启。</w:t>
      </w:r>
    </w:p>
    <w:p w14:paraId="5FE6BD03">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六、联系</w:t>
      </w:r>
      <w:r>
        <w:rPr>
          <w:rFonts w:ascii="黑体" w:hAnsi="黑体" w:eastAsia="黑体"/>
          <w:b/>
          <w:color w:val="auto"/>
          <w:sz w:val="21"/>
          <w:szCs w:val="21"/>
          <w:highlight w:val="none"/>
        </w:rPr>
        <w:t>方式</w:t>
      </w:r>
    </w:p>
    <w:p w14:paraId="546F92BE">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联系人：苏工 联系电话：0771-2841511。</w:t>
      </w:r>
    </w:p>
    <w:p w14:paraId="2347C43E">
      <w:pPr>
        <w:spacing w:line="360" w:lineRule="auto"/>
        <w:ind w:firstLine="310" w:firstLineChars="147"/>
        <w:rPr>
          <w:rFonts w:ascii="黑体" w:hAnsi="黑体" w:eastAsia="黑体"/>
          <w:b/>
          <w:color w:val="auto"/>
          <w:sz w:val="21"/>
          <w:szCs w:val="21"/>
          <w:highlight w:val="none"/>
        </w:rPr>
      </w:pPr>
    </w:p>
    <w:p w14:paraId="60EE3B3C">
      <w:pPr>
        <w:spacing w:line="360" w:lineRule="auto"/>
        <w:ind w:firstLine="310" w:firstLineChars="147"/>
        <w:rPr>
          <w:rFonts w:ascii="黑体" w:hAnsi="黑体" w:eastAsia="黑体"/>
          <w:b/>
          <w:color w:val="auto"/>
          <w:sz w:val="21"/>
          <w:szCs w:val="21"/>
          <w:highlight w:val="none"/>
        </w:rPr>
      </w:pPr>
    </w:p>
    <w:p w14:paraId="585AA13B">
      <w:pPr>
        <w:widowControl/>
        <w:spacing w:line="360" w:lineRule="auto"/>
        <w:ind w:firstLine="2100" w:firstLineChars="1000"/>
        <w:jc w:val="right"/>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采购人：</w:t>
      </w:r>
      <w:r>
        <w:rPr>
          <w:rFonts w:hint="eastAsia" w:ascii="宋体" w:hAnsi="宋体" w:cs="宋体"/>
          <w:color w:val="auto"/>
          <w:sz w:val="21"/>
          <w:szCs w:val="21"/>
          <w:highlight w:val="none"/>
          <w:lang w:eastAsia="zh-CN" w:bidi="ar"/>
        </w:rPr>
        <w:t>广西壮族自治区水运发展中心</w:t>
      </w:r>
    </w:p>
    <w:p w14:paraId="79A6A0C9">
      <w:pPr>
        <w:spacing w:line="360" w:lineRule="auto"/>
        <w:ind w:firstLine="420" w:firstLineChars="200"/>
        <w:jc w:val="right"/>
        <w:rPr>
          <w:rFonts w:ascii="宋体" w:hAnsi="宋体"/>
          <w:b/>
          <w:bCs/>
          <w:color w:val="auto"/>
          <w:sz w:val="32"/>
          <w:szCs w:val="32"/>
          <w:highlight w:val="none"/>
        </w:rPr>
      </w:pPr>
      <w:r>
        <w:rPr>
          <w:rFonts w:hint="eastAsia" w:ascii="宋体" w:hAnsi="宋体" w:cs="宋体"/>
          <w:color w:val="auto"/>
          <w:sz w:val="21"/>
          <w:szCs w:val="21"/>
          <w:highlight w:val="none"/>
          <w:lang w:bidi="ar"/>
        </w:rPr>
        <w:t xml:space="preserve">                            2026年</w:t>
      </w:r>
      <w:r>
        <w:rPr>
          <w:rFonts w:hint="eastAsia" w:ascii="宋体" w:hAnsi="宋体" w:cs="宋体"/>
          <w:color w:val="auto"/>
          <w:sz w:val="21"/>
          <w:szCs w:val="21"/>
          <w:highlight w:val="none"/>
          <w:lang w:val="en-US" w:eastAsia="zh-CN" w:bidi="ar"/>
        </w:rPr>
        <w:t>8</w:t>
      </w:r>
      <w:r>
        <w:rPr>
          <w:rFonts w:hint="eastAsia"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26</w:t>
      </w:r>
      <w:r>
        <w:rPr>
          <w:rFonts w:hint="eastAsia" w:ascii="宋体" w:hAnsi="宋体" w:cs="宋体"/>
          <w:color w:val="auto"/>
          <w:sz w:val="21"/>
          <w:szCs w:val="21"/>
          <w:highlight w:val="none"/>
          <w:lang w:bidi="ar"/>
        </w:rPr>
        <w:t>日</w:t>
      </w:r>
    </w:p>
    <w:p w14:paraId="12ED6FA2">
      <w:pPr>
        <w:pStyle w:val="2"/>
        <w:spacing w:before="0" w:after="0" w:line="460" w:lineRule="exact"/>
        <w:jc w:val="center"/>
        <w:rPr>
          <w:color w:val="auto"/>
          <w:sz w:val="28"/>
          <w:szCs w:val="28"/>
          <w:highlight w:val="none"/>
        </w:rPr>
      </w:pPr>
      <w:r>
        <w:rPr>
          <w:rFonts w:hint="eastAsia"/>
          <w:color w:val="auto"/>
          <w:highlight w:val="none"/>
        </w:rPr>
        <w:br w:type="page"/>
      </w:r>
      <w:bookmarkStart w:id="23" w:name="_Toc1345"/>
      <w:bookmarkStart w:id="24" w:name="_Toc18967"/>
      <w:bookmarkStart w:id="25" w:name="_Toc16740"/>
      <w:bookmarkStart w:id="26" w:name="_Toc3780"/>
      <w:bookmarkStart w:id="27" w:name="_Toc14481"/>
      <w:bookmarkStart w:id="28" w:name="_Toc1323"/>
      <w:bookmarkStart w:id="29" w:name="_Toc15557"/>
      <w:bookmarkStart w:id="30" w:name="_Toc2024"/>
      <w:bookmarkStart w:id="31" w:name="_Toc31261"/>
      <w:bookmarkStart w:id="32" w:name="_Toc22711"/>
      <w:bookmarkStart w:id="33" w:name="_Toc12041"/>
      <w:bookmarkStart w:id="34" w:name="_Toc173"/>
      <w:bookmarkStart w:id="35" w:name="_Toc6811"/>
      <w:bookmarkStart w:id="36" w:name="_Toc796"/>
      <w:r>
        <w:rPr>
          <w:rFonts w:hint="eastAsia"/>
          <w:color w:val="auto"/>
          <w:sz w:val="28"/>
          <w:szCs w:val="28"/>
          <w:highlight w:val="none"/>
        </w:rPr>
        <w:t>第二章 供应商须知</w:t>
      </w:r>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6738722A">
      <w:pPr>
        <w:spacing w:line="400" w:lineRule="exact"/>
        <w:jc w:val="center"/>
        <w:rPr>
          <w:rFonts w:ascii="宋体" w:hAnsi="宋体"/>
          <w:b/>
          <w:color w:val="auto"/>
          <w:sz w:val="32"/>
          <w:szCs w:val="32"/>
          <w:highlight w:val="none"/>
        </w:rPr>
      </w:pPr>
    </w:p>
    <w:p w14:paraId="12BCFD6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一、本次采购采用总价包干，</w:t>
      </w:r>
      <w:r>
        <w:rPr>
          <w:rFonts w:hint="eastAsia" w:ascii="宋体" w:hAnsi="宋体" w:cs="宋体"/>
          <w:color w:val="auto"/>
          <w:sz w:val="24"/>
          <w:highlight w:val="none"/>
          <w:lang w:eastAsia="zh-CN" w:bidi="ar"/>
        </w:rPr>
        <w:t>投标报价</w:t>
      </w:r>
      <w:r>
        <w:rPr>
          <w:rFonts w:hint="eastAsia" w:ascii="宋体" w:hAnsi="宋体" w:cs="宋体"/>
          <w:color w:val="auto"/>
          <w:sz w:val="24"/>
          <w:highlight w:val="none"/>
          <w:lang w:bidi="ar"/>
        </w:rPr>
        <w:t>包含为完成</w:t>
      </w:r>
      <w:r>
        <w:rPr>
          <w:rFonts w:hint="eastAsia" w:ascii="宋体" w:hAnsi="宋体" w:cs="宋体"/>
          <w:color w:val="auto"/>
          <w:sz w:val="24"/>
          <w:highlight w:val="none"/>
          <w:u w:val="single"/>
          <w:lang w:val="en-US" w:eastAsia="zh-CN" w:bidi="ar"/>
        </w:rPr>
        <w:t xml:space="preserve"> 钦州港20万吨级进港航道一期工程秋季海洋生态和水文动力环境现状调查与评价服务 </w:t>
      </w:r>
      <w:r>
        <w:rPr>
          <w:rFonts w:hint="eastAsia" w:ascii="宋体" w:hAnsi="宋体" w:cs="宋体"/>
          <w:color w:val="auto"/>
          <w:sz w:val="24"/>
          <w:highlight w:val="none"/>
          <w:lang w:bidi="ar"/>
        </w:rPr>
        <w:t>项目的全部工作以及</w:t>
      </w:r>
      <w:r>
        <w:rPr>
          <w:rFonts w:hint="eastAsia" w:ascii="宋体" w:hAnsi="宋体" w:cs="宋体"/>
          <w:color w:val="auto"/>
          <w:sz w:val="24"/>
          <w:highlight w:val="none"/>
          <w:lang w:eastAsia="zh-CN" w:bidi="ar"/>
        </w:rPr>
        <w:t>全过程</w:t>
      </w:r>
      <w:r>
        <w:rPr>
          <w:rFonts w:hint="eastAsia" w:ascii="宋体" w:hAnsi="宋体" w:cs="宋体"/>
          <w:color w:val="auto"/>
          <w:sz w:val="24"/>
          <w:highlight w:val="none"/>
          <w:lang w:bidi="ar"/>
        </w:rPr>
        <w:t>可能发生的各种费用，</w:t>
      </w:r>
      <w:r>
        <w:rPr>
          <w:rFonts w:hint="eastAsia" w:ascii="宋体" w:hAnsi="宋体" w:cs="宋体"/>
          <w:sz w:val="24"/>
          <w:lang w:bidi="ar"/>
        </w:rPr>
        <w:t>包含但不限于从前期踏勘、资料收集、报告编制费、现场管理费、会议、专家咨询费、调研差旅费、管理费、文印费、设备耗材费、税费及合同包含的所有风险、责任及措施等费用</w:t>
      </w:r>
      <w:r>
        <w:rPr>
          <w:rFonts w:hint="eastAsia" w:ascii="宋体" w:hAnsi="宋体" w:cs="宋体"/>
          <w:color w:val="auto"/>
          <w:sz w:val="24"/>
          <w:highlight w:val="none"/>
          <w:lang w:bidi="ar"/>
        </w:rPr>
        <w:t>。本项目合同总价在合同执行过程中是固定的，不因情况变化而调整。</w:t>
      </w:r>
    </w:p>
    <w:p w14:paraId="0BDCB630">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二、投标报价为一次报价，此次报价即最终报价，不再就价格问题另行协商。</w:t>
      </w:r>
    </w:p>
    <w:p w14:paraId="4FFAAC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三、投标报价不能超过采购公告规定的最高限价，超过最高限价作投标无效处理。</w:t>
      </w:r>
    </w:p>
    <w:p w14:paraId="1BD7D74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四、报价应为含税价格，并且能够提供增值税发票。</w:t>
      </w:r>
    </w:p>
    <w:p w14:paraId="585AEF06">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五、供应商如需现场考察，可自行前往，费用自理。</w:t>
      </w:r>
    </w:p>
    <w:p w14:paraId="1CD332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六、供应商应针对本项目的特殊性和项目所在地的地理、人文、环境进行综合的评估，谨慎报价，合理安排各项工作。</w:t>
      </w:r>
    </w:p>
    <w:p w14:paraId="26563613">
      <w:pPr>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七、响应文件应于采购公告规定的响应文件递交截止时间前递交，密封邮寄或亲自递交到采购公告指定的响应文件递交地点，逾期送达的，采购人将予以拒收。</w:t>
      </w:r>
    </w:p>
    <w:p w14:paraId="48014872">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八、响应文件应按第五章响应文件格式要求编制。响应文件正本壹份、副本壹份。</w:t>
      </w:r>
    </w:p>
    <w:p w14:paraId="23134C23">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九、本项目</w:t>
      </w:r>
      <w:r>
        <w:rPr>
          <w:rFonts w:hint="eastAsia" w:ascii="宋体" w:hAnsi="宋体" w:cs="宋体"/>
          <w:color w:val="auto"/>
          <w:sz w:val="24"/>
          <w:highlight w:val="none"/>
          <w:lang w:eastAsia="zh-CN" w:bidi="ar"/>
        </w:rPr>
        <w:t>不</w:t>
      </w:r>
      <w:r>
        <w:rPr>
          <w:rFonts w:hint="eastAsia" w:ascii="宋体" w:hAnsi="宋体" w:cs="宋体"/>
          <w:color w:val="auto"/>
          <w:sz w:val="24"/>
          <w:highlight w:val="none"/>
          <w:lang w:bidi="ar"/>
        </w:rPr>
        <w:t>允许分包。</w:t>
      </w:r>
    </w:p>
    <w:p w14:paraId="5872A47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十、投标有效期为</w:t>
      </w:r>
      <w:r>
        <w:rPr>
          <w:rFonts w:ascii="宋体" w:hAnsi="宋体" w:cs="宋体"/>
          <w:color w:val="auto"/>
          <w:sz w:val="24"/>
          <w:highlight w:val="none"/>
          <w:lang w:bidi="ar"/>
        </w:rPr>
        <w:t>60</w:t>
      </w:r>
      <w:r>
        <w:rPr>
          <w:rFonts w:hint="eastAsia" w:ascii="宋体" w:hAnsi="宋体" w:cs="宋体"/>
          <w:color w:val="auto"/>
          <w:sz w:val="24"/>
          <w:highlight w:val="none"/>
          <w:lang w:bidi="ar"/>
        </w:rPr>
        <w:t>日历天。</w:t>
      </w:r>
    </w:p>
    <w:p w14:paraId="399ABD3E">
      <w:pPr>
        <w:spacing w:line="360" w:lineRule="auto"/>
        <w:ind w:firstLine="480" w:firstLineChars="200"/>
        <w:rPr>
          <w:rFonts w:ascii="宋体" w:hAnsi="宋体" w:cs="宋体"/>
          <w:color w:val="auto"/>
          <w:sz w:val="24"/>
          <w:highlight w:val="none"/>
          <w:lang w:bidi="ar"/>
        </w:rPr>
      </w:pPr>
    </w:p>
    <w:p w14:paraId="19259358">
      <w:pPr>
        <w:pStyle w:val="10"/>
        <w:rPr>
          <w:rFonts w:ascii="宋体"/>
          <w:bCs/>
          <w:color w:val="auto"/>
          <w:kern w:val="0"/>
          <w:szCs w:val="21"/>
          <w:highlight w:val="none"/>
        </w:rPr>
      </w:pPr>
    </w:p>
    <w:p w14:paraId="474B4D8D">
      <w:pPr>
        <w:pStyle w:val="10"/>
        <w:rPr>
          <w:rFonts w:ascii="宋体"/>
          <w:bCs/>
          <w:color w:val="auto"/>
          <w:kern w:val="0"/>
          <w:szCs w:val="21"/>
          <w:highlight w:val="none"/>
        </w:rPr>
      </w:pPr>
    </w:p>
    <w:p w14:paraId="2330C8D1">
      <w:pPr>
        <w:pStyle w:val="14"/>
        <w:spacing w:line="360" w:lineRule="auto"/>
        <w:ind w:firstLine="643" w:firstLineChars="200"/>
        <w:textAlignment w:val="center"/>
        <w:rPr>
          <w:rFonts w:hAnsi="宋体" w:cs="宋体"/>
          <w:color w:val="auto"/>
          <w:kern w:val="2"/>
          <w:sz w:val="21"/>
          <w:highlight w:val="none"/>
        </w:rPr>
      </w:pPr>
      <w:r>
        <w:rPr>
          <w:rFonts w:hAnsi="宋体"/>
          <w:b/>
          <w:color w:val="auto"/>
          <w:sz w:val="32"/>
          <w:szCs w:val="32"/>
          <w:highlight w:val="none"/>
        </w:rPr>
        <w:br w:type="page"/>
      </w:r>
    </w:p>
    <w:p w14:paraId="468DC33C">
      <w:pPr>
        <w:pStyle w:val="2"/>
        <w:spacing w:before="0" w:after="0" w:line="360" w:lineRule="auto"/>
        <w:jc w:val="center"/>
        <w:rPr>
          <w:color w:val="auto"/>
          <w:sz w:val="28"/>
          <w:szCs w:val="28"/>
          <w:highlight w:val="none"/>
        </w:rPr>
      </w:pPr>
      <w:bookmarkStart w:id="37" w:name="_Toc31960"/>
      <w:bookmarkStart w:id="38" w:name="_Toc32517"/>
      <w:bookmarkStart w:id="39" w:name="_Toc22466"/>
      <w:bookmarkStart w:id="40" w:name="_Toc1143"/>
      <w:bookmarkStart w:id="41" w:name="_Toc29660"/>
      <w:bookmarkStart w:id="42" w:name="_Toc24391"/>
      <w:bookmarkStart w:id="43" w:name="_Toc14696"/>
      <w:bookmarkStart w:id="44" w:name="_Toc14791"/>
      <w:bookmarkStart w:id="45" w:name="_Toc1475"/>
      <w:bookmarkStart w:id="46" w:name="_Toc6699"/>
      <w:bookmarkStart w:id="47" w:name="_Toc20395"/>
      <w:bookmarkStart w:id="48" w:name="_Toc18037"/>
      <w:bookmarkStart w:id="49" w:name="_Toc2534"/>
      <w:bookmarkStart w:id="50" w:name="_Toc8174"/>
      <w:r>
        <w:rPr>
          <w:rFonts w:hint="eastAsia"/>
          <w:color w:val="auto"/>
          <w:sz w:val="28"/>
          <w:szCs w:val="28"/>
          <w:highlight w:val="none"/>
        </w:rPr>
        <w:t>第三章 采购需求</w:t>
      </w:r>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41A02338">
      <w:pPr>
        <w:widowControl/>
        <w:spacing w:line="360" w:lineRule="auto"/>
        <w:ind w:firstLine="422" w:firstLineChars="200"/>
        <w:rPr>
          <w:rFonts w:hint="eastAsia" w:ascii="宋体" w:hAnsi="宋体" w:cs="宋体"/>
          <w:b/>
          <w:bCs/>
          <w:color w:val="auto"/>
          <w:sz w:val="21"/>
          <w:szCs w:val="21"/>
          <w:highlight w:val="none"/>
          <w:lang w:bidi="ar"/>
        </w:rPr>
      </w:pPr>
    </w:p>
    <w:p w14:paraId="363B7EF9">
      <w:pPr>
        <w:widowControl/>
        <w:spacing w:line="360" w:lineRule="auto"/>
        <w:ind w:firstLine="422" w:firstLineChars="200"/>
        <w:outlineLvl w:val="1"/>
        <w:rPr>
          <w:rFonts w:ascii="宋体" w:hAnsi="宋体" w:cs="宋体"/>
          <w:b/>
          <w:bCs/>
          <w:color w:val="auto"/>
          <w:sz w:val="21"/>
          <w:szCs w:val="21"/>
          <w:highlight w:val="none"/>
          <w:lang w:bidi="ar"/>
        </w:rPr>
      </w:pPr>
      <w:bookmarkStart w:id="51" w:name="_Toc7438"/>
      <w:bookmarkStart w:id="52" w:name="_Toc29313"/>
      <w:bookmarkStart w:id="53" w:name="_Toc5107"/>
      <w:bookmarkStart w:id="54" w:name="_Toc15273"/>
      <w:r>
        <w:rPr>
          <w:rFonts w:hint="eastAsia" w:ascii="宋体" w:hAnsi="宋体" w:cs="宋体"/>
          <w:b/>
          <w:bCs/>
          <w:color w:val="auto"/>
          <w:sz w:val="21"/>
          <w:szCs w:val="21"/>
          <w:highlight w:val="none"/>
          <w:lang w:bidi="ar"/>
        </w:rPr>
        <w:t>一、项目概况</w:t>
      </w:r>
      <w:bookmarkEnd w:id="51"/>
      <w:bookmarkEnd w:id="52"/>
      <w:bookmarkEnd w:id="53"/>
      <w:bookmarkEnd w:id="54"/>
    </w:p>
    <w:p w14:paraId="7AD6DAB4">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钦州港20万吨级进港航道一期工程位于钦州湾海域，</w:t>
      </w:r>
      <w:r>
        <w:rPr>
          <w:rFonts w:hint="eastAsia" w:ascii="宋体" w:hAnsi="宋体" w:cs="宋体"/>
          <w:bCs/>
          <w:color w:val="auto"/>
          <w:sz w:val="21"/>
          <w:szCs w:val="21"/>
          <w:highlight w:val="none"/>
          <w:lang w:eastAsia="zh-CN"/>
        </w:rPr>
        <w:t>建设</w:t>
      </w:r>
      <w:r>
        <w:rPr>
          <w:rFonts w:hint="eastAsia" w:ascii="宋体" w:hAnsi="宋体" w:cs="宋体"/>
          <w:bCs/>
          <w:color w:val="auto"/>
          <w:sz w:val="21"/>
          <w:szCs w:val="21"/>
          <w:highlight w:val="none"/>
        </w:rPr>
        <w:t>20万吨级</w:t>
      </w:r>
      <w:r>
        <w:rPr>
          <w:rFonts w:hint="eastAsia" w:ascii="宋体" w:hAnsi="宋体" w:cs="宋体"/>
          <w:bCs/>
          <w:color w:val="auto"/>
          <w:sz w:val="21"/>
          <w:szCs w:val="21"/>
          <w:highlight w:val="none"/>
          <w:lang w:eastAsia="zh-CN"/>
        </w:rPr>
        <w:t>单向航道</w:t>
      </w:r>
      <w:r>
        <w:rPr>
          <w:rFonts w:hint="eastAsia" w:ascii="宋体" w:hAnsi="宋体" w:cs="宋体"/>
          <w:bCs/>
          <w:color w:val="auto"/>
          <w:sz w:val="21"/>
          <w:szCs w:val="21"/>
          <w:highlight w:val="none"/>
          <w:lang w:val="en-US" w:eastAsia="zh-CN"/>
        </w:rPr>
        <w:t>34.14</w:t>
      </w:r>
      <w:r>
        <w:rPr>
          <w:rFonts w:hint="eastAsia" w:ascii="宋体" w:hAnsi="宋体" w:cs="宋体"/>
          <w:bCs/>
          <w:color w:val="auto"/>
          <w:sz w:val="21"/>
          <w:szCs w:val="21"/>
          <w:highlight w:val="none"/>
        </w:rPr>
        <w:t>公里，其中穿越北部湾二长棘鲷长毛对虾国家级水产种质资源保护区</w:t>
      </w:r>
      <w:r>
        <w:rPr>
          <w:rFonts w:hint="eastAsia" w:ascii="宋体" w:hAnsi="宋体" w:cs="宋体"/>
          <w:bCs/>
          <w:color w:val="auto"/>
          <w:sz w:val="21"/>
          <w:szCs w:val="21"/>
          <w:highlight w:val="none"/>
          <w:lang w:eastAsia="zh-CN"/>
        </w:rPr>
        <w:t>约</w:t>
      </w:r>
      <w:r>
        <w:rPr>
          <w:rFonts w:hint="eastAsia" w:ascii="宋体" w:hAnsi="宋体" w:cs="宋体"/>
          <w:bCs/>
          <w:color w:val="auto"/>
          <w:sz w:val="21"/>
          <w:szCs w:val="21"/>
          <w:highlight w:val="none"/>
          <w:lang w:val="en-US" w:eastAsia="zh-CN"/>
        </w:rPr>
        <w:t>17公里</w:t>
      </w:r>
      <w:r>
        <w:rPr>
          <w:rFonts w:hint="eastAsia" w:ascii="宋体" w:hAnsi="宋体" w:cs="宋体"/>
          <w:bCs/>
          <w:color w:val="auto"/>
          <w:sz w:val="21"/>
          <w:szCs w:val="21"/>
          <w:highlight w:val="none"/>
        </w:rPr>
        <w:t>，计划2027年6月开工建设。</w:t>
      </w:r>
    </w:p>
    <w:p w14:paraId="15E913BE">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eastAsia="zh-CN"/>
        </w:rPr>
        <w:t>本项目</w:t>
      </w:r>
      <w:r>
        <w:rPr>
          <w:rFonts w:hint="eastAsia" w:ascii="宋体" w:hAnsi="宋体" w:cs="宋体"/>
          <w:bCs/>
          <w:color w:val="auto"/>
          <w:sz w:val="21"/>
          <w:szCs w:val="21"/>
          <w:highlight w:val="none"/>
        </w:rPr>
        <w:t>开展钦州港20万吨级进港航道一期工程2026年秋季海洋生态和水文动力环境现状调查，并基于现状调查结果编制海洋生态环境调查分析评价报告海洋水文动力现状调查分析评价报告</w:t>
      </w:r>
      <w:r>
        <w:rPr>
          <w:rFonts w:hint="eastAsia" w:ascii="宋体" w:hAnsi="宋体" w:cs="宋体"/>
          <w:bCs/>
          <w:color w:val="auto"/>
          <w:sz w:val="21"/>
          <w:szCs w:val="21"/>
          <w:highlight w:val="none"/>
          <w:lang w:eastAsia="zh-CN"/>
        </w:rPr>
        <w:t>，为编制环境影响评价、海域使用论证及有关专题报告编制提供基础数据</w:t>
      </w:r>
      <w:r>
        <w:rPr>
          <w:rFonts w:hint="eastAsia" w:ascii="宋体" w:hAnsi="宋体" w:cs="宋体"/>
          <w:bCs/>
          <w:color w:val="auto"/>
          <w:sz w:val="21"/>
          <w:szCs w:val="21"/>
          <w:highlight w:val="none"/>
        </w:rPr>
        <w:t>。</w:t>
      </w:r>
    </w:p>
    <w:p w14:paraId="535FF123">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采购预算金额：95万元。</w:t>
      </w:r>
    </w:p>
    <w:p w14:paraId="252E7E50">
      <w:pPr>
        <w:spacing w:line="360" w:lineRule="auto"/>
        <w:ind w:firstLine="422" w:firstLineChars="200"/>
        <w:outlineLvl w:val="1"/>
        <w:rPr>
          <w:rFonts w:ascii="宋体" w:hAnsi="宋体" w:cs="宋体"/>
          <w:b/>
          <w:bCs/>
          <w:color w:val="auto"/>
          <w:sz w:val="21"/>
          <w:szCs w:val="21"/>
          <w:highlight w:val="none"/>
          <w:lang w:bidi="ar"/>
        </w:rPr>
      </w:pPr>
      <w:bookmarkStart w:id="55" w:name="_Toc24930"/>
      <w:bookmarkStart w:id="56" w:name="_Toc23534"/>
      <w:bookmarkStart w:id="57" w:name="_Toc14280"/>
      <w:bookmarkStart w:id="58" w:name="_Toc20215"/>
      <w:r>
        <w:rPr>
          <w:rFonts w:hint="eastAsia" w:ascii="宋体" w:hAnsi="宋体" w:cs="宋体"/>
          <w:b/>
          <w:bCs/>
          <w:color w:val="auto"/>
          <w:sz w:val="21"/>
          <w:szCs w:val="21"/>
          <w:highlight w:val="none"/>
          <w:lang w:bidi="ar"/>
        </w:rPr>
        <w:t>二、采购内容</w:t>
      </w:r>
      <w:bookmarkEnd w:id="55"/>
      <w:bookmarkEnd w:id="56"/>
      <w:bookmarkEnd w:id="57"/>
      <w:bookmarkEnd w:id="58"/>
    </w:p>
    <w:p w14:paraId="152F368F">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钦州港20万吨级进港航道一期工程秋季海洋生态和水文动力环境现状调查与评价服务。根据</w:t>
      </w:r>
      <w:r>
        <w:rPr>
          <w:rFonts w:hint="eastAsia" w:ascii="宋体" w:hAnsi="宋体" w:cs="宋体"/>
          <w:color w:val="auto"/>
          <w:sz w:val="21"/>
          <w:szCs w:val="21"/>
          <w:highlight w:val="none"/>
          <w:lang w:eastAsia="zh-CN" w:bidi="ar"/>
        </w:rPr>
        <w:t>有关法律法规、标准规范，以及</w:t>
      </w:r>
      <w:r>
        <w:rPr>
          <w:rFonts w:hint="eastAsia" w:ascii="宋体" w:hAnsi="宋体" w:cs="宋体"/>
          <w:color w:val="auto"/>
          <w:sz w:val="21"/>
          <w:szCs w:val="21"/>
          <w:highlight w:val="none"/>
          <w:lang w:bidi="ar"/>
        </w:rPr>
        <w:t>钦州港20万吨级进港航道一期工程</w:t>
      </w:r>
      <w:r>
        <w:rPr>
          <w:rFonts w:hint="eastAsia" w:ascii="宋体" w:hAnsi="宋体" w:cs="宋体"/>
          <w:color w:val="auto"/>
          <w:sz w:val="21"/>
          <w:szCs w:val="21"/>
          <w:highlight w:val="none"/>
          <w:lang w:eastAsia="zh-CN" w:bidi="ar"/>
        </w:rPr>
        <w:t>建设</w:t>
      </w:r>
      <w:r>
        <w:rPr>
          <w:rFonts w:hint="eastAsia" w:ascii="宋体" w:hAnsi="宋体" w:cs="宋体"/>
          <w:color w:val="auto"/>
          <w:sz w:val="21"/>
          <w:szCs w:val="21"/>
          <w:highlight w:val="none"/>
          <w:lang w:bidi="ar"/>
        </w:rPr>
        <w:t>方案，开展2026年秋季海洋生态和水文动力环境现状调查，编制《钦州港20万吨级进港航道一期工程海洋生态环境调查分析评价报告（秋季）》和《钦州港20万吨级进港航道一期工程海洋水文动力现状调查分析评价报告（秋季）》。</w:t>
      </w:r>
    </w:p>
    <w:p w14:paraId="443A297C">
      <w:pPr>
        <w:widowControl/>
        <w:spacing w:line="360" w:lineRule="auto"/>
        <w:ind w:firstLine="422" w:firstLineChars="200"/>
        <w:outlineLvl w:val="1"/>
        <w:rPr>
          <w:rFonts w:ascii="宋体" w:hAnsi="宋体" w:cs="宋体"/>
          <w:b/>
          <w:bCs/>
          <w:color w:val="auto"/>
          <w:sz w:val="21"/>
          <w:szCs w:val="21"/>
          <w:highlight w:val="none"/>
          <w:lang w:bidi="ar"/>
        </w:rPr>
      </w:pPr>
      <w:bookmarkStart w:id="59" w:name="_Toc28698"/>
      <w:bookmarkStart w:id="60" w:name="_Toc3523"/>
      <w:bookmarkStart w:id="61" w:name="_Toc4323"/>
      <w:bookmarkStart w:id="62" w:name="_Toc19145"/>
      <w:r>
        <w:rPr>
          <w:rFonts w:hint="eastAsia" w:ascii="宋体" w:hAnsi="宋体" w:cs="宋体"/>
          <w:b/>
          <w:bCs/>
          <w:color w:val="auto"/>
          <w:sz w:val="21"/>
          <w:szCs w:val="21"/>
          <w:highlight w:val="none"/>
          <w:lang w:bidi="ar"/>
        </w:rPr>
        <w:t>三、技术要求</w:t>
      </w:r>
      <w:bookmarkEnd w:id="59"/>
      <w:bookmarkEnd w:id="60"/>
      <w:bookmarkEnd w:id="61"/>
      <w:bookmarkEnd w:id="62"/>
    </w:p>
    <w:p w14:paraId="76F1DC1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（一）技术标准</w:t>
      </w:r>
    </w:p>
    <w:p w14:paraId="7986AB82">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执行</w:t>
      </w:r>
      <w:bookmarkStart w:id="63" w:name="OLE_LINK11"/>
      <w:r>
        <w:rPr>
          <w:rFonts w:hint="eastAsia" w:ascii="宋体" w:hAnsi="宋体" w:cs="宋体"/>
          <w:color w:val="auto"/>
          <w:sz w:val="21"/>
          <w:szCs w:val="21"/>
          <w:highlight w:val="none"/>
          <w:lang w:bidi="ar"/>
        </w:rPr>
        <w:t>国家和行业现行相关的技术标准、规范和规程</w:t>
      </w:r>
      <w:bookmarkEnd w:id="63"/>
      <w:r>
        <w:rPr>
          <w:rFonts w:hint="eastAsia" w:ascii="宋体" w:hAnsi="宋体" w:cs="宋体"/>
          <w:color w:val="auto"/>
          <w:sz w:val="21"/>
          <w:szCs w:val="21"/>
          <w:highlight w:val="none"/>
          <w:lang w:bidi="ar"/>
        </w:rPr>
        <w:t>。在项目实施过程中，如国家或有关部门颁布了新的技术标准，则供应商应采用新的标准。</w:t>
      </w:r>
    </w:p>
    <w:p w14:paraId="16FC9F02">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Cs w:val="21"/>
          <w:highlight w:val="none"/>
          <w:lang w:bidi="ar"/>
        </w:rPr>
        <w:t>技术标准书目索引（包括但不限于）：</w:t>
      </w:r>
    </w:p>
    <w:p w14:paraId="0596FFFF">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1.《环境影响评价技术导则 海洋生态环境》（HJ1409-2025）；</w:t>
      </w:r>
    </w:p>
    <w:p w14:paraId="35E55690">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2.《海域使用论证技术导则》（GB/T42361-2023）；</w:t>
      </w:r>
    </w:p>
    <w:p w14:paraId="149693D1">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3.《建设项目对国家级水产种质资源保护区（海水）影响专题论证报告编制指南（试行）》；</w:t>
      </w:r>
    </w:p>
    <w:p w14:paraId="036CB10F">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4.《海洋调查规范》（GB/T 12763-2007）；</w:t>
      </w:r>
    </w:p>
    <w:p w14:paraId="23AED76F">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5.《海洋监测规范》（GB 17378-2007）；</w:t>
      </w:r>
    </w:p>
    <w:p w14:paraId="3A3A0A80">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6.《近岸海域环境监测技术规范》（HJ442-2020）；</w:t>
      </w:r>
    </w:p>
    <w:p w14:paraId="2F197400">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7.《建设项目对海洋生物资源影响评价技术规程》（SC/T 9110-2007）等。</w:t>
      </w:r>
    </w:p>
    <w:p w14:paraId="325F43A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（二）质量要求</w:t>
      </w:r>
    </w:p>
    <w:p w14:paraId="42841439">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现状调查与分析评价报告技术成果须满足工程对北部湾二长棘鲷长毛对虾国家级水产种质资源保护区影响专题论证报告、环境影响报告书和海域使用论证等涉海专题报告编制和报批技术要求。成果通过专家评审</w:t>
      </w:r>
      <w:r>
        <w:rPr>
          <w:rFonts w:hint="eastAsia" w:ascii="宋体" w:hAnsi="宋体" w:cs="宋体"/>
          <w:color w:val="auto"/>
          <w:sz w:val="21"/>
          <w:szCs w:val="21"/>
          <w:highlight w:val="none"/>
          <w:lang w:eastAsia="zh-CN" w:bidi="ar"/>
        </w:rPr>
        <w:t>、</w:t>
      </w:r>
      <w:r>
        <w:rPr>
          <w:rFonts w:hint="eastAsia" w:ascii="宋体" w:hAnsi="宋体" w:cs="宋体"/>
          <w:color w:val="auto"/>
          <w:sz w:val="21"/>
          <w:szCs w:val="21"/>
          <w:highlight w:val="none"/>
          <w:lang w:bidi="ar"/>
        </w:rPr>
        <w:t>验收合格。</w:t>
      </w:r>
    </w:p>
    <w:p w14:paraId="4072E6D0">
      <w:pPr>
        <w:adjustRightInd/>
        <w:spacing w:before="0" w:beforeLines="0" w:after="0" w:afterLines="0" w:line="360" w:lineRule="auto"/>
        <w:ind w:firstLine="422" w:firstLineChars="200"/>
        <w:outlineLvl w:val="2"/>
        <w:rPr>
          <w:rFonts w:hint="eastAsia" w:ascii="宋体" w:hAnsi="宋体" w:eastAsia="宋体" w:cs="宋体"/>
          <w:b/>
          <w:bCs/>
          <w:color w:val="auto"/>
          <w:sz w:val="21"/>
          <w:szCs w:val="21"/>
          <w14:ligatures w14:val="none"/>
        </w:rPr>
      </w:pPr>
      <w:r>
        <w:rPr>
          <w:rFonts w:hint="eastAsia" w:ascii="宋体" w:hAnsi="宋体" w:eastAsia="宋体" w:cs="宋体"/>
          <w:b/>
          <w:bCs/>
          <w:color w:val="auto"/>
          <w:sz w:val="21"/>
          <w:szCs w:val="21"/>
          <w:lang w:eastAsia="zh-CN"/>
          <w14:ligatures w14:val="none"/>
        </w:rPr>
        <w:t>（三）</w:t>
      </w:r>
      <w:r>
        <w:rPr>
          <w:rFonts w:hint="eastAsia" w:ascii="宋体" w:hAnsi="宋体" w:eastAsia="宋体" w:cs="宋体"/>
          <w:b/>
          <w:bCs/>
          <w:color w:val="auto"/>
          <w:sz w:val="21"/>
          <w:szCs w:val="21"/>
          <w14:ligatures w14:val="none"/>
        </w:rPr>
        <w:t>海洋生态环境现状调查方案</w:t>
      </w:r>
    </w:p>
    <w:p w14:paraId="130D7E20">
      <w:pPr>
        <w:spacing w:before="0" w:beforeLines="0" w:after="0" w:afterLines="0" w:line="360" w:lineRule="auto"/>
        <w:ind w:firstLine="422" w:firstLineChars="200"/>
        <w:rPr>
          <w:rFonts w:hint="eastAsia" w:ascii="宋体" w:hAnsi="宋体" w:eastAsia="宋体" w:cs="宋体"/>
          <w:b/>
          <w:bCs/>
          <w:color w:val="auto"/>
          <w:sz w:val="21"/>
          <w:szCs w:val="21"/>
          <w14:ligatures w14:val="none"/>
        </w:rPr>
      </w:pPr>
      <w:r>
        <w:rPr>
          <w:rFonts w:hint="eastAsia" w:ascii="宋体" w:hAnsi="宋体" w:eastAsia="宋体" w:cs="宋体"/>
          <w:b/>
          <w:bCs/>
          <w:color w:val="auto"/>
          <w:sz w:val="21"/>
          <w:szCs w:val="21"/>
          <w:lang w:eastAsia="zh-CN"/>
          <w14:ligatures w14:val="none"/>
        </w:rPr>
        <w:t>1</w:t>
      </w:r>
      <w:r>
        <w:rPr>
          <w:rFonts w:hint="eastAsia" w:ascii="宋体" w:hAnsi="宋体" w:eastAsia="宋体" w:cs="宋体"/>
          <w:b/>
          <w:bCs/>
          <w:color w:val="auto"/>
          <w:sz w:val="21"/>
          <w:szCs w:val="21"/>
          <w:lang w:val="en-US" w:eastAsia="zh-CN"/>
          <w14:ligatures w14:val="none"/>
        </w:rPr>
        <w:t>.</w:t>
      </w:r>
      <w:r>
        <w:rPr>
          <w:rFonts w:hint="eastAsia" w:ascii="宋体" w:hAnsi="宋体" w:eastAsia="宋体" w:cs="宋体"/>
          <w:b/>
          <w:bCs/>
          <w:color w:val="auto"/>
          <w:sz w:val="21"/>
          <w:szCs w:val="21"/>
          <w14:ligatures w14:val="none"/>
        </w:rPr>
        <w:t>调查站位</w:t>
      </w:r>
    </w:p>
    <w:p w14:paraId="249958DE">
      <w:pPr>
        <w:spacing w:before="0" w:beforeLines="0" w:after="0" w:afterLines="0" w:line="360" w:lineRule="auto"/>
        <w:ind w:firstLine="420" w:firstLineChars="200"/>
        <w:rPr>
          <w:rFonts w:hint="eastAsia" w:ascii="宋体" w:hAnsi="宋体" w:eastAsia="宋体" w:cs="宋体"/>
          <w:color w:val="auto"/>
          <w:sz w:val="21"/>
          <w:szCs w:val="21"/>
          <w14:ligatures w14:val="none"/>
        </w:rPr>
      </w:pPr>
      <w:r>
        <w:rPr>
          <w:rFonts w:hint="eastAsia" w:ascii="宋体" w:hAnsi="宋体" w:eastAsia="宋体" w:cs="宋体"/>
          <w:color w:val="auto"/>
          <w:sz w:val="21"/>
          <w:szCs w:val="21"/>
          <w14:ligatures w14:val="none"/>
        </w:rPr>
        <w:t>共布设海水水质调查站位</w:t>
      </w:r>
      <w:r>
        <w:rPr>
          <w:rFonts w:hint="eastAsia" w:ascii="宋体" w:hAnsi="宋体" w:eastAsia="宋体" w:cs="宋体"/>
          <w:color w:val="auto"/>
          <w:sz w:val="21"/>
          <w:szCs w:val="21"/>
          <w:lang w:val="en-US" w:eastAsia="zh-CN"/>
          <w14:ligatures w14:val="none"/>
        </w:rPr>
        <w:t>29</w:t>
      </w:r>
      <w:r>
        <w:rPr>
          <w:rFonts w:hint="eastAsia" w:ascii="宋体" w:hAnsi="宋体" w:eastAsia="宋体" w:cs="宋体"/>
          <w:color w:val="auto"/>
          <w:sz w:val="21"/>
          <w:szCs w:val="21"/>
          <w14:ligatures w14:val="none"/>
        </w:rPr>
        <w:t>个，其中选取</w:t>
      </w:r>
      <w:r>
        <w:rPr>
          <w:rFonts w:hint="eastAsia" w:ascii="宋体" w:hAnsi="宋体" w:eastAsia="宋体" w:cs="宋体"/>
          <w:color w:val="auto"/>
          <w:sz w:val="21"/>
          <w:szCs w:val="21"/>
          <w:lang w:val="en-US" w:eastAsia="zh-CN"/>
          <w14:ligatures w14:val="none"/>
        </w:rPr>
        <w:t>16</w:t>
      </w:r>
      <w:r>
        <w:rPr>
          <w:rFonts w:hint="eastAsia" w:ascii="宋体" w:hAnsi="宋体" w:eastAsia="宋体" w:cs="宋体"/>
          <w:color w:val="auto"/>
          <w:sz w:val="21"/>
          <w:szCs w:val="21"/>
          <w14:ligatures w14:val="none"/>
        </w:rPr>
        <w:t>个站位开展海洋沉积物调查，</w:t>
      </w:r>
      <w:r>
        <w:rPr>
          <w:rFonts w:hint="eastAsia" w:ascii="宋体" w:hAnsi="宋体" w:eastAsia="宋体" w:cs="宋体"/>
          <w:color w:val="auto"/>
          <w:sz w:val="21"/>
          <w:szCs w:val="21"/>
          <w:lang w:val="en-US" w:eastAsia="zh-CN"/>
          <w14:ligatures w14:val="none"/>
        </w:rPr>
        <w:t>18</w:t>
      </w:r>
      <w:r>
        <w:rPr>
          <w:rFonts w:hint="eastAsia" w:ascii="宋体" w:hAnsi="宋体" w:eastAsia="宋体" w:cs="宋体"/>
          <w:color w:val="auto"/>
          <w:sz w:val="21"/>
          <w:szCs w:val="21"/>
          <w14:ligatures w14:val="none"/>
        </w:rPr>
        <w:t>个站位开展海洋生态和渔业资源拖网调查（含生物体质量调查），</w:t>
      </w:r>
      <w:r>
        <w:rPr>
          <w:rFonts w:hint="eastAsia" w:ascii="宋体" w:hAnsi="宋体" w:eastAsia="宋体" w:cs="宋体"/>
          <w:color w:val="auto"/>
          <w:sz w:val="21"/>
          <w:szCs w:val="21"/>
          <w:lang w:val="en-US" w:eastAsia="zh-CN"/>
          <w14:ligatures w14:val="none"/>
        </w:rPr>
        <w:t>29</w:t>
      </w:r>
      <w:r>
        <w:rPr>
          <w:rFonts w:hint="eastAsia" w:ascii="宋体" w:hAnsi="宋体" w:eastAsia="宋体" w:cs="宋体"/>
          <w:color w:val="auto"/>
          <w:sz w:val="21"/>
          <w:szCs w:val="21"/>
          <w14:ligatures w14:val="none"/>
        </w:rPr>
        <w:t>个站位开展表层沉积物粒度调查</w:t>
      </w:r>
      <w:r>
        <w:rPr>
          <w:rFonts w:hint="eastAsia" w:ascii="宋体" w:hAnsi="宋体" w:eastAsia="宋体" w:cs="宋体"/>
          <w:color w:val="auto"/>
          <w:sz w:val="21"/>
          <w:szCs w:val="21"/>
          <w:lang w:eastAsia="zh-CN"/>
          <w14:ligatures w14:val="none"/>
        </w:rPr>
        <w:t>，</w:t>
      </w:r>
      <w:r>
        <w:rPr>
          <w:rFonts w:hint="eastAsia" w:ascii="宋体" w:hAnsi="宋体" w:eastAsia="宋体" w:cs="宋体"/>
          <w:color w:val="auto"/>
          <w:sz w:val="21"/>
          <w:szCs w:val="21"/>
          <w:lang w:val="en-US" w:eastAsia="zh-CN"/>
          <w14:ligatures w14:val="none"/>
        </w:rPr>
        <w:t>3个站位开展疏浚物理化性质调查</w:t>
      </w:r>
      <w:r>
        <w:rPr>
          <w:rFonts w:hint="eastAsia" w:ascii="宋体" w:hAnsi="宋体" w:eastAsia="宋体" w:cs="宋体"/>
          <w:color w:val="auto"/>
          <w:sz w:val="21"/>
          <w:szCs w:val="21"/>
          <w14:ligatures w14:val="none"/>
        </w:rPr>
        <w:t>。布设</w:t>
      </w:r>
      <w:r>
        <w:rPr>
          <w:rFonts w:hint="eastAsia" w:ascii="宋体" w:hAnsi="宋体" w:eastAsia="宋体" w:cs="宋体"/>
          <w:color w:val="auto"/>
          <w:sz w:val="21"/>
          <w:szCs w:val="21"/>
          <w:lang w:val="en-US" w:eastAsia="zh-CN"/>
          <w14:ligatures w14:val="none"/>
        </w:rPr>
        <w:t>5</w:t>
      </w:r>
      <w:r>
        <w:rPr>
          <w:rFonts w:hint="eastAsia" w:ascii="宋体" w:hAnsi="宋体" w:eastAsia="宋体" w:cs="宋体"/>
          <w:color w:val="auto"/>
          <w:sz w:val="21"/>
          <w:szCs w:val="21"/>
          <w14:ligatures w14:val="none"/>
        </w:rPr>
        <w:t>条潮间带生物调查断面，并开展潮间带沉积物调查。</w:t>
      </w:r>
      <w:bookmarkStart w:id="64" w:name="_Hlk203901666"/>
      <w:r>
        <w:rPr>
          <w:rFonts w:hint="eastAsia" w:ascii="宋体" w:hAnsi="宋体" w:eastAsia="宋体" w:cs="宋体"/>
          <w:color w:val="auto"/>
          <w:sz w:val="21"/>
          <w:szCs w:val="21"/>
          <w14:ligatures w14:val="none"/>
        </w:rPr>
        <w:t>调查站位见表</w:t>
      </w:r>
      <w:r>
        <w:rPr>
          <w:rFonts w:hint="eastAsia" w:ascii="宋体" w:hAnsi="宋体" w:eastAsia="宋体" w:cs="宋体"/>
          <w:color w:val="auto"/>
          <w:sz w:val="21"/>
          <w:szCs w:val="21"/>
          <w:lang w:val="en-US" w:eastAsia="zh-CN"/>
          <w14:ligatures w14:val="none"/>
        </w:rPr>
        <w:t>2</w:t>
      </w:r>
      <w:r>
        <w:rPr>
          <w:rFonts w:hint="eastAsia" w:ascii="宋体" w:hAnsi="宋体" w:eastAsia="宋体" w:cs="宋体"/>
          <w:color w:val="auto"/>
          <w:sz w:val="21"/>
          <w:szCs w:val="21"/>
          <w14:ligatures w14:val="none"/>
        </w:rPr>
        <w:t>和图1。</w:t>
      </w:r>
    </w:p>
    <w:p w14:paraId="4C144B70">
      <w:pPr>
        <w:spacing w:before="0" w:beforeLines="0" w:after="0" w:afterLines="0" w:line="360" w:lineRule="auto"/>
        <w:ind w:firstLine="422" w:firstLineChars="200"/>
        <w:rPr>
          <w:rFonts w:hint="eastAsia" w:ascii="宋体" w:hAnsi="宋体" w:eastAsia="宋体" w:cs="宋体"/>
          <w:b/>
          <w:bCs/>
          <w:color w:val="auto"/>
          <w:sz w:val="21"/>
          <w:szCs w:val="21"/>
          <w14:ligatures w14:val="none"/>
        </w:rPr>
      </w:pPr>
      <w:r>
        <w:rPr>
          <w:rFonts w:hint="eastAsia" w:ascii="宋体" w:hAnsi="宋体" w:eastAsia="宋体" w:cs="宋体"/>
          <w:b/>
          <w:bCs/>
          <w:color w:val="auto"/>
          <w:sz w:val="21"/>
          <w:szCs w:val="21"/>
          <w:lang w:eastAsia="zh-CN"/>
          <w14:ligatures w14:val="none"/>
        </w:rPr>
        <w:t>2</w:t>
      </w:r>
      <w:r>
        <w:rPr>
          <w:rFonts w:hint="eastAsia" w:ascii="宋体" w:hAnsi="宋体" w:eastAsia="宋体" w:cs="宋体"/>
          <w:b/>
          <w:bCs/>
          <w:color w:val="auto"/>
          <w:sz w:val="21"/>
          <w:szCs w:val="21"/>
          <w:lang w:val="en-US" w:eastAsia="zh-CN"/>
          <w14:ligatures w14:val="none"/>
        </w:rPr>
        <w:t>.</w:t>
      </w:r>
      <w:r>
        <w:rPr>
          <w:rFonts w:hint="eastAsia" w:ascii="宋体" w:hAnsi="宋体" w:eastAsia="宋体" w:cs="宋体"/>
          <w:b/>
          <w:bCs/>
          <w:color w:val="auto"/>
          <w:sz w:val="21"/>
          <w:szCs w:val="21"/>
          <w14:ligatures w14:val="none"/>
        </w:rPr>
        <w:t>调查时间</w:t>
      </w:r>
    </w:p>
    <w:p w14:paraId="39E8F91C">
      <w:pPr>
        <w:spacing w:before="0" w:beforeLines="0" w:after="0" w:afterLines="0" w:line="360" w:lineRule="auto"/>
        <w:ind w:firstLine="420" w:firstLineChars="200"/>
        <w:rPr>
          <w:rFonts w:hint="eastAsia" w:ascii="宋体" w:hAnsi="宋体" w:eastAsia="宋体" w:cs="宋体"/>
          <w:color w:val="auto"/>
          <w:sz w:val="21"/>
          <w:szCs w:val="21"/>
          <w14:ligatures w14:val="none"/>
        </w:rPr>
      </w:pPr>
      <w:r>
        <w:rPr>
          <w:rFonts w:hint="eastAsia" w:ascii="宋体" w:hAnsi="宋体" w:eastAsia="宋体" w:cs="宋体"/>
          <w:color w:val="auto"/>
          <w:sz w:val="21"/>
          <w:szCs w:val="21"/>
          <w14:ligatures w14:val="none"/>
        </w:rPr>
        <w:t>海水水质、海洋生态和渔业资源（含生物体质量调查）、潮间带生物开展秋季调查。</w:t>
      </w:r>
    </w:p>
    <w:p w14:paraId="187BBA39">
      <w:pPr>
        <w:spacing w:before="0" w:beforeLines="0" w:after="0" w:afterLines="0" w:line="360" w:lineRule="auto"/>
        <w:ind w:firstLine="420" w:firstLineChars="200"/>
        <w:rPr>
          <w:rFonts w:hint="eastAsia" w:ascii="宋体" w:hAnsi="宋体" w:eastAsia="宋体" w:cs="宋体"/>
          <w:color w:val="auto"/>
          <w:sz w:val="21"/>
          <w:szCs w:val="21"/>
          <w14:ligatures w14:val="none"/>
        </w:rPr>
      </w:pPr>
      <w:r>
        <w:rPr>
          <w:rFonts w:hint="eastAsia" w:ascii="宋体" w:hAnsi="宋体" w:eastAsia="宋体" w:cs="宋体"/>
          <w:color w:val="auto"/>
          <w:sz w:val="21"/>
          <w:szCs w:val="21"/>
          <w14:ligatures w14:val="none"/>
        </w:rPr>
        <w:t>海洋沉积物（含潮间带沉积物）、表层沉积物粒度、疏浚物理化性质开展秋季调查。</w:t>
      </w:r>
    </w:p>
    <w:p w14:paraId="79D925DF">
      <w:pPr>
        <w:spacing w:before="0" w:beforeLines="0" w:after="0" w:afterLines="0" w:line="360" w:lineRule="auto"/>
        <w:ind w:firstLine="422" w:firstLineChars="200"/>
        <w:rPr>
          <w:rFonts w:hint="eastAsia" w:ascii="宋体" w:hAnsi="宋体" w:eastAsia="宋体" w:cs="宋体"/>
          <w:b/>
          <w:bCs/>
          <w:color w:val="auto"/>
          <w:sz w:val="21"/>
          <w:szCs w:val="21"/>
          <w14:ligatures w14:val="none"/>
        </w:rPr>
      </w:pPr>
      <w:r>
        <w:rPr>
          <w:rFonts w:hint="eastAsia" w:ascii="宋体" w:hAnsi="宋体" w:eastAsia="宋体" w:cs="宋体"/>
          <w:b/>
          <w:bCs/>
          <w:color w:val="auto"/>
          <w:sz w:val="21"/>
          <w:szCs w:val="21"/>
          <w:lang w:eastAsia="zh-CN"/>
          <w14:ligatures w14:val="none"/>
        </w:rPr>
        <w:t>3</w:t>
      </w:r>
      <w:r>
        <w:rPr>
          <w:rFonts w:hint="eastAsia" w:ascii="宋体" w:hAnsi="宋体" w:eastAsia="宋体" w:cs="宋体"/>
          <w:b/>
          <w:bCs/>
          <w:color w:val="auto"/>
          <w:sz w:val="21"/>
          <w:szCs w:val="21"/>
          <w:lang w:val="en-US" w:eastAsia="zh-CN"/>
          <w14:ligatures w14:val="none"/>
        </w:rPr>
        <w:t>.</w:t>
      </w:r>
      <w:r>
        <w:rPr>
          <w:rFonts w:hint="eastAsia" w:ascii="宋体" w:hAnsi="宋体" w:eastAsia="宋体" w:cs="宋体"/>
          <w:b/>
          <w:bCs/>
          <w:color w:val="auto"/>
          <w:sz w:val="21"/>
          <w:szCs w:val="21"/>
          <w14:ligatures w14:val="none"/>
        </w:rPr>
        <w:t>调查项目</w:t>
      </w:r>
    </w:p>
    <w:p w14:paraId="120F7154">
      <w:pPr>
        <w:spacing w:before="0" w:beforeLines="0" w:after="0" w:afterLines="0" w:line="360" w:lineRule="auto"/>
        <w:ind w:firstLine="422" w:firstLineChars="200"/>
        <w:rPr>
          <w:rFonts w:hint="eastAsia" w:ascii="宋体" w:hAnsi="宋体" w:eastAsia="宋体" w:cs="宋体"/>
          <w:b/>
          <w:bCs/>
          <w:color w:val="auto"/>
          <w:sz w:val="21"/>
          <w:szCs w:val="21"/>
          <w14:ligatures w14:val="none"/>
        </w:rPr>
      </w:pPr>
      <w:r>
        <w:rPr>
          <w:rFonts w:hint="eastAsia" w:ascii="宋体" w:hAnsi="宋体" w:eastAsia="宋体" w:cs="宋体"/>
          <w:b/>
          <w:bCs/>
          <w:color w:val="auto"/>
          <w:sz w:val="21"/>
          <w:szCs w:val="21"/>
          <w:lang w:eastAsia="zh-CN"/>
          <w14:ligatures w14:val="none"/>
        </w:rPr>
        <w:t>（</w:t>
      </w:r>
      <w:r>
        <w:rPr>
          <w:rFonts w:hint="eastAsia" w:ascii="宋体" w:hAnsi="宋体" w:eastAsia="宋体" w:cs="宋体"/>
          <w:b/>
          <w:bCs/>
          <w:color w:val="auto"/>
          <w:sz w:val="21"/>
          <w:szCs w:val="21"/>
          <w:lang w:val="en-US" w:eastAsia="zh-CN"/>
          <w14:ligatures w14:val="none"/>
        </w:rPr>
        <w:t>1</w:t>
      </w:r>
      <w:r>
        <w:rPr>
          <w:rFonts w:hint="eastAsia" w:ascii="宋体" w:hAnsi="宋体" w:eastAsia="宋体" w:cs="宋体"/>
          <w:b/>
          <w:bCs/>
          <w:color w:val="auto"/>
          <w:sz w:val="21"/>
          <w:szCs w:val="21"/>
          <w:lang w:eastAsia="zh-CN"/>
          <w14:ligatures w14:val="none"/>
        </w:rPr>
        <w:t>）</w:t>
      </w:r>
      <w:r>
        <w:rPr>
          <w:rFonts w:hint="eastAsia" w:ascii="宋体" w:hAnsi="宋体" w:eastAsia="宋体" w:cs="宋体"/>
          <w:b/>
          <w:bCs/>
          <w:color w:val="auto"/>
          <w:sz w:val="21"/>
          <w:szCs w:val="21"/>
          <w14:ligatures w14:val="none"/>
        </w:rPr>
        <w:t>海水水质</w:t>
      </w:r>
    </w:p>
    <w:p w14:paraId="7DF42C80">
      <w:pPr>
        <w:autoSpaceDE/>
        <w:autoSpaceDN/>
        <w:spacing w:before="0" w:beforeLines="0" w:after="0" w:afterLines="0" w:line="360" w:lineRule="auto"/>
        <w:ind w:firstLine="420" w:firstLineChars="200"/>
        <w:rPr>
          <w:rFonts w:hint="eastAsia" w:ascii="宋体" w:hAnsi="宋体" w:eastAsia="宋体" w:cs="宋体"/>
          <w:color w:val="auto"/>
          <w:sz w:val="21"/>
          <w:szCs w:val="21"/>
          <w14:ligatures w14:val="none"/>
        </w:rPr>
      </w:pPr>
      <w:r>
        <w:rPr>
          <w:rFonts w:hint="eastAsia" w:ascii="宋体" w:hAnsi="宋体" w:eastAsia="宋体" w:cs="宋体"/>
          <w:color w:val="auto"/>
          <w:sz w:val="21"/>
          <w:szCs w:val="21"/>
          <w14:ligatures w14:val="none"/>
        </w:rPr>
        <w:t>pH、水温、水深、盐度、悬浮物、化学需氧量、溶解氧、无机氮（硝酸盐氮、亚硝酸盐氮、氨氮）、活性磷酸盐、石油类、硫化物、挥发性酚、重金属（铜、铅、镉、汞、锌、总铬、砷）。</w:t>
      </w:r>
    </w:p>
    <w:p w14:paraId="1EF3E59A">
      <w:pPr>
        <w:autoSpaceDE/>
        <w:autoSpaceDN/>
        <w:spacing w:before="0" w:beforeLines="0" w:after="0" w:afterLines="0" w:line="360" w:lineRule="auto"/>
        <w:ind w:firstLine="420" w:firstLineChars="200"/>
        <w:rPr>
          <w:rFonts w:hint="eastAsia" w:ascii="宋体" w:hAnsi="宋体" w:eastAsia="宋体" w:cs="宋体"/>
          <w:color w:val="auto"/>
          <w:sz w:val="21"/>
          <w:szCs w:val="21"/>
          <w14:ligatures w14:val="none"/>
        </w:rPr>
      </w:pPr>
      <w:r>
        <w:rPr>
          <w:rFonts w:hint="eastAsia" w:ascii="宋体" w:hAnsi="宋体" w:eastAsia="宋体" w:cs="宋体"/>
          <w:color w:val="auto"/>
          <w:sz w:val="21"/>
          <w:szCs w:val="21"/>
          <w14:ligatures w14:val="none"/>
        </w:rPr>
        <w:t>石油类采集表层样品，其他因子按照表</w:t>
      </w:r>
      <w:r>
        <w:rPr>
          <w:rFonts w:hint="eastAsia" w:ascii="宋体" w:hAnsi="宋体" w:eastAsia="宋体" w:cs="宋体"/>
          <w:color w:val="auto"/>
          <w:sz w:val="21"/>
          <w:szCs w:val="21"/>
          <w:lang w:val="en-US" w:eastAsia="zh-CN"/>
          <w14:ligatures w14:val="none"/>
        </w:rPr>
        <w:t>1</w:t>
      </w:r>
      <w:r>
        <w:rPr>
          <w:rFonts w:hint="eastAsia" w:ascii="宋体" w:hAnsi="宋体" w:eastAsia="宋体" w:cs="宋体"/>
          <w:color w:val="auto"/>
          <w:sz w:val="21"/>
          <w:szCs w:val="21"/>
          <w14:ligatures w14:val="none"/>
        </w:rPr>
        <w:t>要求采集样品。</w:t>
      </w:r>
    </w:p>
    <w:p w14:paraId="48B22741">
      <w:pPr>
        <w:adjustRightInd/>
        <w:spacing w:before="0" w:beforeLines="0" w:afterLines="0" w:line="360" w:lineRule="auto"/>
        <w:ind w:firstLine="422" w:firstLineChars="200"/>
        <w:jc w:val="left"/>
        <w:rPr>
          <w:rFonts w:hint="eastAsia" w:ascii="宋体" w:hAnsi="宋体" w:eastAsia="宋体" w:cs="宋体"/>
          <w:b/>
          <w:color w:val="auto"/>
          <w:szCs w:val="21"/>
          <w14:ligatures w14:val="none"/>
        </w:rPr>
      </w:pPr>
      <w:r>
        <w:rPr>
          <w:rFonts w:hint="eastAsia" w:ascii="宋体" w:hAnsi="宋体" w:eastAsia="宋体" w:cs="宋体"/>
          <w:b/>
          <w:color w:val="auto"/>
          <w:szCs w:val="21"/>
          <w14:ligatures w14:val="none"/>
        </w:rPr>
        <w:t>表</w:t>
      </w:r>
      <w:r>
        <w:rPr>
          <w:rFonts w:hint="eastAsia" w:ascii="宋体" w:hAnsi="宋体" w:eastAsia="宋体" w:cs="宋体"/>
          <w:b/>
          <w:color w:val="auto"/>
          <w:szCs w:val="21"/>
          <w:lang w:val="en-US" w:eastAsia="zh-CN"/>
          <w14:ligatures w14:val="none"/>
        </w:rPr>
        <w:t>1</w:t>
      </w:r>
      <w:r>
        <w:rPr>
          <w:rFonts w:hint="eastAsia" w:ascii="宋体" w:hAnsi="宋体" w:eastAsia="宋体" w:cs="宋体"/>
          <w:b/>
          <w:color w:val="auto"/>
          <w:szCs w:val="21"/>
          <w14:ligatures w14:val="none"/>
        </w:rPr>
        <w:t xml:space="preserve">                             其他因子采样层次</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935"/>
        <w:gridCol w:w="6237"/>
      </w:tblGrid>
      <w:tr w14:paraId="297ADA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1600" w:type="pct"/>
            <w:vAlign w:val="center"/>
          </w:tcPr>
          <w:p w14:paraId="6A67C49C">
            <w:pPr>
              <w:adjustRightInd/>
              <w:spacing w:beforeLines="0" w:afterLines="0" w:line="240" w:lineRule="auto"/>
              <w:ind w:firstLine="0" w:firstLineChars="0"/>
              <w:jc w:val="center"/>
              <w:rPr>
                <w:rFonts w:hint="eastAsia" w:ascii="宋体" w:hAnsi="宋体" w:eastAsia="宋体" w:cs="宋体"/>
                <w:b/>
                <w:bCs/>
                <w:color w:val="auto"/>
                <w:szCs w:val="21"/>
                <w14:ligatures w14:val="none"/>
              </w:rPr>
            </w:pPr>
            <w:r>
              <w:rPr>
                <w:rFonts w:hint="eastAsia" w:ascii="宋体" w:hAnsi="宋体" w:eastAsia="宋体" w:cs="宋体"/>
                <w:b/>
                <w:bCs/>
                <w:color w:val="auto"/>
                <w:szCs w:val="21"/>
                <w14:ligatures w14:val="none"/>
              </w:rPr>
              <w:t>水深范围（m）</w:t>
            </w:r>
          </w:p>
        </w:tc>
        <w:tc>
          <w:tcPr>
            <w:tcW w:w="3400" w:type="pct"/>
            <w:vAlign w:val="center"/>
          </w:tcPr>
          <w:p w14:paraId="55904EC0">
            <w:pPr>
              <w:adjustRightInd/>
              <w:spacing w:beforeLines="0" w:afterLines="0" w:line="240" w:lineRule="auto"/>
              <w:ind w:firstLine="0" w:firstLineChars="0"/>
              <w:jc w:val="center"/>
              <w:rPr>
                <w:rFonts w:hint="eastAsia" w:ascii="宋体" w:hAnsi="宋体" w:eastAsia="宋体" w:cs="宋体"/>
                <w:b/>
                <w:bCs/>
                <w:color w:val="auto"/>
                <w:szCs w:val="21"/>
                <w14:ligatures w14:val="none"/>
              </w:rPr>
            </w:pPr>
            <w:r>
              <w:rPr>
                <w:rFonts w:hint="eastAsia" w:ascii="宋体" w:hAnsi="宋体" w:eastAsia="宋体" w:cs="宋体"/>
                <w:b/>
                <w:bCs/>
                <w:color w:val="auto"/>
                <w:szCs w:val="21"/>
                <w14:ligatures w14:val="none"/>
              </w:rPr>
              <w:t>层次</w:t>
            </w:r>
          </w:p>
        </w:tc>
      </w:tr>
      <w:tr w14:paraId="7C4CEE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600" w:type="pct"/>
            <w:vAlign w:val="center"/>
          </w:tcPr>
          <w:p w14:paraId="48CB1029">
            <w:pPr>
              <w:adjustRightInd/>
              <w:spacing w:beforeLines="0" w:afterLines="0" w:line="240" w:lineRule="auto"/>
              <w:ind w:firstLine="0" w:firstLineChars="0"/>
              <w:jc w:val="center"/>
              <w:rPr>
                <w:rFonts w:hint="eastAsia" w:ascii="宋体" w:hAnsi="宋体" w:eastAsia="宋体" w:cs="宋体"/>
                <w:color w:val="auto"/>
                <w:szCs w:val="21"/>
                <w14:ligatures w14:val="none"/>
              </w:rPr>
            </w:pPr>
            <w:r>
              <w:rPr>
                <w:rFonts w:hint="eastAsia" w:ascii="宋体" w:hAnsi="宋体" w:eastAsia="宋体" w:cs="宋体"/>
                <w:color w:val="auto"/>
                <w:szCs w:val="21"/>
                <w14:ligatures w14:val="none"/>
              </w:rPr>
              <w:t>≤10</w:t>
            </w:r>
          </w:p>
        </w:tc>
        <w:tc>
          <w:tcPr>
            <w:tcW w:w="3400" w:type="pct"/>
            <w:vAlign w:val="center"/>
          </w:tcPr>
          <w:p w14:paraId="1FFC1F8A">
            <w:pPr>
              <w:adjustRightInd/>
              <w:spacing w:beforeLines="0" w:afterLines="0" w:line="240" w:lineRule="auto"/>
              <w:ind w:firstLine="0" w:firstLineChars="0"/>
              <w:jc w:val="center"/>
              <w:rPr>
                <w:rFonts w:hint="eastAsia" w:ascii="宋体" w:hAnsi="宋体" w:eastAsia="宋体" w:cs="宋体"/>
                <w:color w:val="auto"/>
                <w:szCs w:val="21"/>
                <w14:ligatures w14:val="none"/>
              </w:rPr>
            </w:pPr>
            <w:r>
              <w:rPr>
                <w:rFonts w:hint="eastAsia" w:ascii="宋体" w:hAnsi="宋体" w:eastAsia="宋体" w:cs="宋体"/>
                <w:color w:val="auto"/>
                <w:szCs w:val="21"/>
                <w14:ligatures w14:val="none"/>
              </w:rPr>
              <w:t>表层</w:t>
            </w:r>
          </w:p>
        </w:tc>
      </w:tr>
      <w:tr w14:paraId="5CD6DB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600" w:type="pct"/>
            <w:vAlign w:val="center"/>
          </w:tcPr>
          <w:p w14:paraId="08EA4DC5">
            <w:pPr>
              <w:adjustRightInd/>
              <w:spacing w:beforeLines="0" w:afterLines="0" w:line="240" w:lineRule="auto"/>
              <w:ind w:firstLine="0" w:firstLineChars="0"/>
              <w:jc w:val="center"/>
              <w:rPr>
                <w:rFonts w:hint="eastAsia" w:ascii="宋体" w:hAnsi="宋体" w:eastAsia="宋体" w:cs="宋体"/>
                <w:color w:val="auto"/>
                <w:szCs w:val="21"/>
                <w14:ligatures w14:val="none"/>
              </w:rPr>
            </w:pPr>
            <w:r>
              <w:rPr>
                <w:rFonts w:hint="eastAsia" w:ascii="宋体" w:hAnsi="宋体" w:eastAsia="宋体" w:cs="宋体"/>
                <w:color w:val="auto"/>
                <w:szCs w:val="21"/>
                <w14:ligatures w14:val="none"/>
              </w:rPr>
              <w:t>10~50</w:t>
            </w:r>
          </w:p>
        </w:tc>
        <w:tc>
          <w:tcPr>
            <w:tcW w:w="3400" w:type="pct"/>
            <w:vAlign w:val="center"/>
          </w:tcPr>
          <w:p w14:paraId="24DE40C5">
            <w:pPr>
              <w:adjustRightInd/>
              <w:spacing w:beforeLines="0" w:afterLines="0" w:line="240" w:lineRule="auto"/>
              <w:ind w:firstLine="0" w:firstLineChars="0"/>
              <w:jc w:val="center"/>
              <w:rPr>
                <w:rFonts w:hint="eastAsia" w:ascii="宋体" w:hAnsi="宋体" w:eastAsia="宋体" w:cs="宋体"/>
                <w:color w:val="auto"/>
                <w:szCs w:val="21"/>
                <w14:ligatures w14:val="none"/>
              </w:rPr>
            </w:pPr>
            <w:r>
              <w:rPr>
                <w:rFonts w:hint="eastAsia" w:ascii="宋体" w:hAnsi="宋体" w:eastAsia="宋体" w:cs="宋体"/>
                <w:color w:val="auto"/>
                <w:szCs w:val="21"/>
                <w14:ligatures w14:val="none"/>
              </w:rPr>
              <w:t>表层、底层</w:t>
            </w:r>
          </w:p>
        </w:tc>
      </w:tr>
      <w:tr w14:paraId="621149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600" w:type="pct"/>
            <w:vAlign w:val="center"/>
          </w:tcPr>
          <w:p w14:paraId="3719170A">
            <w:pPr>
              <w:adjustRightInd/>
              <w:spacing w:beforeLines="0" w:afterLines="0" w:line="240" w:lineRule="auto"/>
              <w:ind w:firstLine="0" w:firstLineChars="0"/>
              <w:jc w:val="center"/>
              <w:rPr>
                <w:rFonts w:hint="eastAsia" w:ascii="宋体" w:hAnsi="宋体" w:eastAsia="宋体" w:cs="宋体"/>
                <w:color w:val="auto"/>
                <w:szCs w:val="21"/>
                <w14:ligatures w14:val="none"/>
              </w:rPr>
            </w:pPr>
            <w:r>
              <w:rPr>
                <w:rFonts w:hint="eastAsia" w:ascii="宋体" w:hAnsi="宋体" w:eastAsia="宋体" w:cs="宋体"/>
                <w:color w:val="auto"/>
                <w:szCs w:val="21"/>
                <w14:ligatures w14:val="none"/>
              </w:rPr>
              <w:t>＞50</w:t>
            </w:r>
          </w:p>
        </w:tc>
        <w:tc>
          <w:tcPr>
            <w:tcW w:w="3400" w:type="pct"/>
            <w:vAlign w:val="center"/>
          </w:tcPr>
          <w:p w14:paraId="34B863D3">
            <w:pPr>
              <w:adjustRightInd/>
              <w:spacing w:beforeLines="0" w:afterLines="0" w:line="240" w:lineRule="auto"/>
              <w:ind w:firstLine="0" w:firstLineChars="0"/>
              <w:jc w:val="center"/>
              <w:rPr>
                <w:rFonts w:hint="eastAsia" w:ascii="宋体" w:hAnsi="宋体" w:eastAsia="宋体" w:cs="宋体"/>
                <w:color w:val="auto"/>
                <w:szCs w:val="21"/>
                <w14:ligatures w14:val="none"/>
              </w:rPr>
            </w:pPr>
            <w:r>
              <w:rPr>
                <w:rFonts w:hint="eastAsia" w:ascii="宋体" w:hAnsi="宋体" w:eastAsia="宋体" w:cs="宋体"/>
                <w:color w:val="auto"/>
                <w:szCs w:val="21"/>
                <w14:ligatures w14:val="none"/>
              </w:rPr>
              <w:t>表层、50m层</w:t>
            </w:r>
          </w:p>
        </w:tc>
      </w:tr>
    </w:tbl>
    <w:p w14:paraId="39729F92">
      <w:pPr>
        <w:spacing w:before="0" w:beforeLines="0" w:after="0" w:afterLines="0" w:line="360" w:lineRule="auto"/>
        <w:ind w:firstLine="422" w:firstLineChars="200"/>
        <w:rPr>
          <w:rFonts w:hint="eastAsia" w:ascii="宋体" w:hAnsi="宋体" w:eastAsia="宋体" w:cs="宋体"/>
          <w:b/>
          <w:bCs/>
          <w:color w:val="auto"/>
          <w:sz w:val="21"/>
          <w:szCs w:val="21"/>
          <w14:ligatures w14:val="none"/>
        </w:rPr>
      </w:pPr>
      <w:r>
        <w:rPr>
          <w:rFonts w:hint="eastAsia" w:ascii="宋体" w:hAnsi="宋体" w:eastAsia="宋体" w:cs="宋体"/>
          <w:b/>
          <w:bCs/>
          <w:color w:val="auto"/>
          <w:sz w:val="21"/>
          <w:szCs w:val="21"/>
          <w:lang w:eastAsia="zh-CN"/>
          <w14:ligatures w14:val="none"/>
        </w:rPr>
        <w:t>（</w:t>
      </w:r>
      <w:r>
        <w:rPr>
          <w:rFonts w:hint="eastAsia" w:ascii="宋体" w:hAnsi="宋体" w:eastAsia="宋体" w:cs="宋体"/>
          <w:b/>
          <w:bCs/>
          <w:color w:val="auto"/>
          <w:sz w:val="21"/>
          <w:szCs w:val="21"/>
          <w:lang w:val="en-US" w:eastAsia="zh-CN"/>
          <w14:ligatures w14:val="none"/>
        </w:rPr>
        <w:t>2</w:t>
      </w:r>
      <w:r>
        <w:rPr>
          <w:rFonts w:hint="eastAsia" w:ascii="宋体" w:hAnsi="宋体" w:eastAsia="宋体" w:cs="宋体"/>
          <w:b/>
          <w:bCs/>
          <w:color w:val="auto"/>
          <w:sz w:val="21"/>
          <w:szCs w:val="21"/>
          <w:lang w:eastAsia="zh-CN"/>
          <w14:ligatures w14:val="none"/>
        </w:rPr>
        <w:t>）</w:t>
      </w:r>
      <w:r>
        <w:rPr>
          <w:rFonts w:hint="eastAsia" w:ascii="宋体" w:hAnsi="宋体" w:eastAsia="宋体" w:cs="宋体"/>
          <w:b/>
          <w:bCs/>
          <w:color w:val="auto"/>
          <w:sz w:val="21"/>
          <w:szCs w:val="21"/>
          <w14:ligatures w14:val="none"/>
        </w:rPr>
        <w:t>海洋沉积物和潮间带沉积物</w:t>
      </w:r>
    </w:p>
    <w:p w14:paraId="6D1BACF6">
      <w:pPr>
        <w:spacing w:before="0" w:beforeLines="0" w:after="0" w:afterLines="0" w:line="360" w:lineRule="auto"/>
        <w:ind w:firstLine="420" w:firstLineChars="200"/>
        <w:rPr>
          <w:rFonts w:hint="eastAsia" w:ascii="宋体" w:hAnsi="宋体" w:eastAsia="宋体" w:cs="宋体"/>
          <w:color w:val="auto"/>
          <w:sz w:val="21"/>
          <w:szCs w:val="21"/>
          <w14:ligatures w14:val="none"/>
        </w:rPr>
      </w:pPr>
      <w:r>
        <w:rPr>
          <w:rFonts w:hint="eastAsia" w:ascii="宋体" w:hAnsi="宋体" w:eastAsia="宋体" w:cs="宋体"/>
          <w:color w:val="auto"/>
          <w:sz w:val="21"/>
          <w:szCs w:val="21"/>
          <w14:ligatures w14:val="none"/>
        </w:rPr>
        <w:t>硫化物、石油类、有机碳、汞、铜、铅、镉、锌、铬、砷。</w:t>
      </w:r>
    </w:p>
    <w:p w14:paraId="5B3553CC">
      <w:pPr>
        <w:spacing w:before="0" w:beforeLines="0" w:after="0" w:afterLines="0" w:line="360" w:lineRule="auto"/>
        <w:ind w:firstLine="422" w:firstLineChars="200"/>
        <w:rPr>
          <w:rFonts w:hint="eastAsia" w:ascii="宋体" w:hAnsi="宋体" w:eastAsia="宋体" w:cs="宋体"/>
          <w:b/>
          <w:bCs/>
          <w:color w:val="auto"/>
          <w:sz w:val="21"/>
          <w:szCs w:val="21"/>
          <w14:ligatures w14:val="none"/>
        </w:rPr>
      </w:pPr>
      <w:r>
        <w:rPr>
          <w:rFonts w:hint="eastAsia" w:ascii="宋体" w:hAnsi="宋体" w:eastAsia="宋体" w:cs="宋体"/>
          <w:b/>
          <w:bCs/>
          <w:color w:val="auto"/>
          <w:sz w:val="21"/>
          <w:szCs w:val="21"/>
          <w:lang w:eastAsia="zh-CN"/>
          <w14:ligatures w14:val="none"/>
        </w:rPr>
        <w:t>（</w:t>
      </w:r>
      <w:r>
        <w:rPr>
          <w:rFonts w:hint="eastAsia" w:ascii="宋体" w:hAnsi="宋体" w:eastAsia="宋体" w:cs="宋体"/>
          <w:b/>
          <w:bCs/>
          <w:color w:val="auto"/>
          <w:sz w:val="21"/>
          <w:szCs w:val="21"/>
          <w:lang w:val="en-US" w:eastAsia="zh-CN"/>
          <w14:ligatures w14:val="none"/>
        </w:rPr>
        <w:t>3</w:t>
      </w:r>
      <w:r>
        <w:rPr>
          <w:rFonts w:hint="eastAsia" w:ascii="宋体" w:hAnsi="宋体" w:eastAsia="宋体" w:cs="宋体"/>
          <w:b/>
          <w:bCs/>
          <w:color w:val="auto"/>
          <w:sz w:val="21"/>
          <w:szCs w:val="21"/>
          <w:lang w:eastAsia="zh-CN"/>
          <w14:ligatures w14:val="none"/>
        </w:rPr>
        <w:t>）</w:t>
      </w:r>
      <w:r>
        <w:rPr>
          <w:rFonts w:hint="eastAsia" w:ascii="宋体" w:hAnsi="宋体" w:eastAsia="宋体" w:cs="宋体"/>
          <w:b/>
          <w:bCs/>
          <w:color w:val="auto"/>
          <w:sz w:val="21"/>
          <w:szCs w:val="21"/>
          <w14:ligatures w14:val="none"/>
        </w:rPr>
        <w:t>海洋生态和渔业资源</w:t>
      </w:r>
    </w:p>
    <w:p w14:paraId="39F9A426">
      <w:pPr>
        <w:autoSpaceDE/>
        <w:autoSpaceDN/>
        <w:spacing w:before="0" w:beforeLines="0" w:after="0" w:afterLines="0" w:line="360" w:lineRule="auto"/>
        <w:ind w:firstLine="422" w:firstLineChars="200"/>
        <w:rPr>
          <w:rFonts w:hint="eastAsia" w:ascii="宋体" w:hAnsi="宋体" w:eastAsia="宋体" w:cs="宋体"/>
          <w:b/>
          <w:color w:val="auto"/>
          <w:sz w:val="21"/>
          <w:szCs w:val="21"/>
          <w14:ligatures w14:val="none"/>
        </w:rPr>
      </w:pPr>
      <w:r>
        <w:rPr>
          <w:rFonts w:hint="eastAsia" w:ascii="宋体" w:hAnsi="宋体" w:eastAsia="宋体" w:cs="宋体"/>
          <w:b/>
          <w:color w:val="auto"/>
          <w:sz w:val="21"/>
          <w:szCs w:val="21"/>
          <w14:ligatures w14:val="none"/>
        </w:rPr>
        <w:t>①生物生态</w:t>
      </w:r>
    </w:p>
    <w:p w14:paraId="07D7A226">
      <w:pPr>
        <w:autoSpaceDE/>
        <w:autoSpaceDN/>
        <w:spacing w:before="0" w:beforeLines="0" w:after="0" w:afterLines="0" w:line="360" w:lineRule="auto"/>
        <w:ind w:firstLine="420" w:firstLineChars="200"/>
        <w:rPr>
          <w:rFonts w:hint="eastAsia" w:ascii="宋体" w:hAnsi="宋体" w:eastAsia="宋体" w:cs="宋体"/>
          <w:bCs/>
          <w:color w:val="auto"/>
          <w:sz w:val="21"/>
          <w:szCs w:val="21"/>
          <w14:ligatures w14:val="none"/>
        </w:rPr>
      </w:pPr>
      <w:r>
        <w:rPr>
          <w:rFonts w:hint="eastAsia" w:ascii="宋体" w:hAnsi="宋体" w:eastAsia="宋体" w:cs="宋体"/>
          <w:bCs/>
          <w:color w:val="auto"/>
          <w:sz w:val="21"/>
          <w:szCs w:val="21"/>
          <w14:ligatures w14:val="none"/>
        </w:rPr>
        <w:t>叶绿素a、初级生产力的浓度范围、分布特点；浮游植物、浮游动物、底栖生物、潮间带生物的种类组成、生物量、生物密度、优势种、群落结构特征。</w:t>
      </w:r>
    </w:p>
    <w:p w14:paraId="2A2875AA">
      <w:pPr>
        <w:autoSpaceDE/>
        <w:autoSpaceDN/>
        <w:spacing w:before="0" w:beforeLines="0" w:after="0" w:afterLines="0" w:line="360" w:lineRule="auto"/>
        <w:ind w:firstLine="422" w:firstLineChars="200"/>
        <w:rPr>
          <w:rFonts w:hint="eastAsia" w:ascii="宋体" w:hAnsi="宋体" w:eastAsia="宋体" w:cs="宋体"/>
          <w:b/>
          <w:color w:val="auto"/>
          <w:sz w:val="21"/>
          <w:szCs w:val="21"/>
          <w14:ligatures w14:val="none"/>
        </w:rPr>
      </w:pPr>
      <w:r>
        <w:rPr>
          <w:rFonts w:hint="eastAsia" w:ascii="宋体" w:hAnsi="宋体" w:eastAsia="宋体" w:cs="宋体"/>
          <w:b/>
          <w:color w:val="auto"/>
          <w:sz w:val="21"/>
          <w:szCs w:val="21"/>
          <w14:ligatures w14:val="none"/>
        </w:rPr>
        <w:t>②渔业资源</w:t>
      </w:r>
    </w:p>
    <w:p w14:paraId="00D9FB47">
      <w:pPr>
        <w:autoSpaceDE/>
        <w:autoSpaceDN/>
        <w:spacing w:before="0" w:beforeLines="0" w:after="0" w:afterLines="0" w:line="360" w:lineRule="auto"/>
        <w:ind w:firstLine="420" w:firstLineChars="200"/>
        <w:rPr>
          <w:rFonts w:hint="eastAsia" w:ascii="宋体" w:hAnsi="宋体" w:eastAsia="宋体" w:cs="宋体"/>
          <w:bCs/>
          <w:color w:val="auto"/>
          <w:sz w:val="21"/>
          <w:szCs w:val="21"/>
          <w14:ligatures w14:val="none"/>
        </w:rPr>
      </w:pPr>
      <w:r>
        <w:rPr>
          <w:rFonts w:hint="eastAsia" w:ascii="宋体" w:hAnsi="宋体" w:eastAsia="宋体" w:cs="宋体"/>
          <w:bCs/>
          <w:color w:val="auto"/>
          <w:sz w:val="21"/>
          <w:szCs w:val="21"/>
          <w14:ligatures w14:val="none"/>
        </w:rPr>
        <w:t>鱼卵、仔稚鱼和游泳动物的种类组成、渔获量、成幼体比例、资源密度、优势种、群落特征。其中游泳动物单独统计鱼类、虾类、蟹类、头足类等的种类组成、渔获量和资源密度。</w:t>
      </w:r>
    </w:p>
    <w:p w14:paraId="3CBE20A8">
      <w:pPr>
        <w:spacing w:before="0" w:beforeLines="0" w:after="0" w:afterLines="0" w:line="360" w:lineRule="auto"/>
        <w:ind w:firstLine="422" w:firstLineChars="200"/>
        <w:rPr>
          <w:rFonts w:hint="eastAsia" w:ascii="宋体" w:hAnsi="宋体" w:eastAsia="宋体" w:cs="宋体"/>
          <w:color w:val="auto"/>
          <w:sz w:val="21"/>
          <w:szCs w:val="21"/>
          <w14:ligatures w14:val="none"/>
        </w:rPr>
      </w:pPr>
      <w:r>
        <w:rPr>
          <w:rFonts w:hint="eastAsia" w:ascii="宋体" w:hAnsi="宋体" w:eastAsia="宋体" w:cs="宋体"/>
          <w:b/>
          <w:bCs/>
          <w:color w:val="auto"/>
          <w:sz w:val="21"/>
          <w:szCs w:val="21"/>
          <w:lang w:eastAsia="zh-CN"/>
          <w14:ligatures w14:val="none"/>
        </w:rPr>
        <w:t>（</w:t>
      </w:r>
      <w:r>
        <w:rPr>
          <w:rFonts w:hint="eastAsia" w:ascii="宋体" w:hAnsi="宋体" w:eastAsia="宋体" w:cs="宋体"/>
          <w:b/>
          <w:bCs/>
          <w:color w:val="auto"/>
          <w:sz w:val="21"/>
          <w:szCs w:val="21"/>
          <w:lang w:val="en-US" w:eastAsia="zh-CN"/>
          <w14:ligatures w14:val="none"/>
        </w:rPr>
        <w:t>4</w:t>
      </w:r>
      <w:r>
        <w:rPr>
          <w:rFonts w:hint="eastAsia" w:ascii="宋体" w:hAnsi="宋体" w:eastAsia="宋体" w:cs="宋体"/>
          <w:b/>
          <w:bCs/>
          <w:color w:val="auto"/>
          <w:sz w:val="21"/>
          <w:szCs w:val="21"/>
          <w:lang w:eastAsia="zh-CN"/>
          <w14:ligatures w14:val="none"/>
        </w:rPr>
        <w:t>）</w:t>
      </w:r>
      <w:r>
        <w:rPr>
          <w:rFonts w:hint="eastAsia" w:ascii="宋体" w:hAnsi="宋体" w:eastAsia="宋体" w:cs="宋体"/>
          <w:b/>
          <w:bCs/>
          <w:color w:val="auto"/>
          <w:sz w:val="21"/>
          <w:szCs w:val="21"/>
          <w14:ligatures w14:val="none"/>
        </w:rPr>
        <w:t>海洋生物质量</w:t>
      </w:r>
    </w:p>
    <w:p w14:paraId="4BCD5AE2">
      <w:pPr>
        <w:autoSpaceDE/>
        <w:autoSpaceDN/>
        <w:spacing w:before="0" w:beforeLines="0" w:after="0" w:afterLines="0" w:line="360" w:lineRule="auto"/>
        <w:ind w:firstLine="420" w:firstLineChars="200"/>
        <w:rPr>
          <w:rFonts w:hint="eastAsia" w:ascii="宋体" w:hAnsi="宋体" w:eastAsia="宋体" w:cs="宋体"/>
          <w:bCs/>
          <w:color w:val="auto"/>
          <w:sz w:val="21"/>
          <w:szCs w:val="21"/>
          <w14:ligatures w14:val="none"/>
        </w:rPr>
      </w:pPr>
      <w:r>
        <w:rPr>
          <w:rFonts w:hint="eastAsia" w:ascii="宋体" w:hAnsi="宋体" w:eastAsia="宋体" w:cs="宋体"/>
          <w:bCs/>
          <w:color w:val="auto"/>
          <w:sz w:val="21"/>
          <w:szCs w:val="21"/>
          <w14:ligatures w14:val="none"/>
        </w:rPr>
        <w:t>结合生物生态和渔业资源调查获取生物质量样品，每季度生物样品采集站位不少于3个、样品数量不少于5个、生物类型不少于3类，包括贝类、甲壳类、定居性鱼类、其他软体动物，其中优先选取双壳贝类样品。</w:t>
      </w:r>
    </w:p>
    <w:p w14:paraId="241B0E88">
      <w:pPr>
        <w:autoSpaceDE/>
        <w:autoSpaceDN/>
        <w:spacing w:before="0" w:beforeLines="0" w:after="0" w:afterLines="0" w:line="360" w:lineRule="auto"/>
        <w:ind w:firstLine="420" w:firstLineChars="200"/>
        <w:rPr>
          <w:rFonts w:hint="eastAsia" w:ascii="宋体" w:hAnsi="宋体" w:eastAsia="宋体" w:cs="宋体"/>
          <w:bCs/>
          <w:color w:val="auto"/>
          <w:sz w:val="21"/>
          <w:szCs w:val="21"/>
          <w14:ligatures w14:val="none"/>
        </w:rPr>
      </w:pPr>
      <w:r>
        <w:rPr>
          <w:rFonts w:hint="eastAsia" w:ascii="宋体" w:hAnsi="宋体" w:eastAsia="宋体" w:cs="宋体"/>
          <w:bCs/>
          <w:color w:val="auto"/>
          <w:sz w:val="21"/>
          <w:szCs w:val="21"/>
          <w14:ligatures w14:val="none"/>
        </w:rPr>
        <w:t>调查因子包括石油烃、总汞、铜、铅、锌、铬、镉、砷。</w:t>
      </w:r>
    </w:p>
    <w:p w14:paraId="324153AE">
      <w:pPr>
        <w:autoSpaceDE/>
        <w:autoSpaceDN/>
        <w:spacing w:before="0" w:beforeLines="0" w:after="0" w:afterLines="0" w:line="360" w:lineRule="auto"/>
        <w:ind w:firstLine="422" w:firstLineChars="200"/>
        <w:rPr>
          <w:rFonts w:hint="eastAsia" w:ascii="宋体" w:hAnsi="宋体" w:eastAsia="宋体" w:cs="宋体"/>
          <w:b/>
          <w:color w:val="auto"/>
          <w:sz w:val="21"/>
          <w:szCs w:val="21"/>
          <w14:ligatures w14:val="none"/>
        </w:rPr>
      </w:pPr>
      <w:r>
        <w:rPr>
          <w:rFonts w:hint="eastAsia" w:ascii="宋体" w:hAnsi="宋体" w:eastAsia="宋体" w:cs="宋体"/>
          <w:b/>
          <w:color w:val="auto"/>
          <w:sz w:val="21"/>
          <w:szCs w:val="21"/>
          <w:lang w:eastAsia="zh-CN"/>
          <w14:ligatures w14:val="none"/>
        </w:rPr>
        <w:t>（</w:t>
      </w:r>
      <w:r>
        <w:rPr>
          <w:rFonts w:hint="eastAsia" w:ascii="宋体" w:hAnsi="宋体" w:eastAsia="宋体" w:cs="宋体"/>
          <w:b/>
          <w:color w:val="auto"/>
          <w:sz w:val="21"/>
          <w:szCs w:val="21"/>
          <w:lang w:val="en-US" w:eastAsia="zh-CN"/>
          <w14:ligatures w14:val="none"/>
        </w:rPr>
        <w:t>5</w:t>
      </w:r>
      <w:r>
        <w:rPr>
          <w:rFonts w:hint="eastAsia" w:ascii="宋体" w:hAnsi="宋体" w:eastAsia="宋体" w:cs="宋体"/>
          <w:b/>
          <w:color w:val="auto"/>
          <w:sz w:val="21"/>
          <w:szCs w:val="21"/>
          <w:lang w:eastAsia="zh-CN"/>
          <w14:ligatures w14:val="none"/>
        </w:rPr>
        <w:t>）</w:t>
      </w:r>
      <w:r>
        <w:rPr>
          <w:rFonts w:hint="eastAsia" w:ascii="宋体" w:hAnsi="宋体" w:eastAsia="宋体" w:cs="宋体"/>
          <w:b/>
          <w:color w:val="auto"/>
          <w:sz w:val="21"/>
          <w:szCs w:val="21"/>
          <w14:ligatures w14:val="none"/>
        </w:rPr>
        <w:t>表层沉积物粒度</w:t>
      </w:r>
    </w:p>
    <w:p w14:paraId="2E12A9E0">
      <w:pPr>
        <w:spacing w:before="0" w:beforeLines="0" w:after="0" w:afterLines="0" w:line="360" w:lineRule="auto"/>
        <w:ind w:firstLine="420" w:firstLineChars="200"/>
        <w:rPr>
          <w:rFonts w:hint="eastAsia" w:ascii="宋体" w:hAnsi="宋体" w:eastAsia="宋体" w:cs="宋体"/>
          <w:color w:val="auto"/>
          <w:sz w:val="21"/>
          <w:szCs w:val="21"/>
          <w14:ligatures w14:val="none"/>
        </w:rPr>
      </w:pPr>
      <w:r>
        <w:rPr>
          <w:rFonts w:hint="eastAsia" w:ascii="宋体" w:hAnsi="宋体" w:cs="宋体"/>
          <w:color w:val="auto"/>
          <w:sz w:val="21"/>
          <w:szCs w:val="21"/>
          <w:lang w:val="en-US" w:eastAsia="zh-CN"/>
          <w14:ligatures w14:val="none"/>
        </w:rPr>
        <w:t>29</w:t>
      </w:r>
      <w:r>
        <w:rPr>
          <w:rFonts w:hint="eastAsia" w:ascii="宋体" w:hAnsi="宋体" w:eastAsia="宋体" w:cs="宋体"/>
          <w:color w:val="auto"/>
          <w:sz w:val="21"/>
          <w:szCs w:val="21"/>
          <w14:ligatures w14:val="none"/>
        </w:rPr>
        <w:t>个站位的表层沉积物粒度取样调查，监测因子包括累计百分体积对应粒径、平均粒径、分选系数、偏态、峰态以及沉积物类型命名。</w:t>
      </w:r>
    </w:p>
    <w:p w14:paraId="3354047D">
      <w:pPr>
        <w:autoSpaceDE/>
        <w:autoSpaceDN/>
        <w:spacing w:before="0" w:beforeLines="0" w:after="0" w:afterLines="0" w:line="360" w:lineRule="auto"/>
        <w:ind w:firstLine="422" w:firstLineChars="200"/>
        <w:rPr>
          <w:rFonts w:hint="default" w:ascii="宋体" w:hAnsi="宋体" w:eastAsia="宋体" w:cs="宋体"/>
          <w:b/>
          <w:color w:val="auto"/>
          <w:sz w:val="21"/>
          <w:szCs w:val="21"/>
          <w:lang w:val="en-US" w:eastAsia="zh-CN"/>
          <w14:ligatures w14:val="none"/>
        </w:rPr>
      </w:pPr>
      <w:r>
        <w:rPr>
          <w:rFonts w:hint="eastAsia" w:ascii="宋体" w:hAnsi="宋体" w:cs="宋体"/>
          <w:b/>
          <w:color w:val="auto"/>
          <w:sz w:val="21"/>
          <w:szCs w:val="21"/>
          <w:lang w:val="en-US" w:eastAsia="zh-CN"/>
          <w14:ligatures w14:val="none"/>
        </w:rPr>
        <w:t>（6）疏浚物理化性质</w:t>
      </w:r>
    </w:p>
    <w:p w14:paraId="45CFC327">
      <w:pPr>
        <w:spacing w:before="0" w:beforeLines="0" w:after="0" w:afterLines="0" w:line="360" w:lineRule="auto"/>
        <w:ind w:firstLine="420" w:firstLineChars="200"/>
        <w:rPr>
          <w:rFonts w:hint="eastAsia" w:ascii="宋体" w:hAnsi="宋体" w:eastAsia="宋体" w:cs="宋体"/>
          <w:color w:val="auto"/>
          <w:sz w:val="21"/>
          <w:szCs w:val="21"/>
          <w14:ligatures w14:val="none"/>
        </w:rPr>
      </w:pPr>
      <w:r>
        <w:rPr>
          <w:rFonts w:hint="eastAsia" w:ascii="宋体" w:hAnsi="宋体" w:cs="宋体"/>
          <w:color w:val="auto"/>
          <w:sz w:val="21"/>
          <w:szCs w:val="21"/>
          <w:lang w:val="en-US" w:eastAsia="zh-CN"/>
          <w14:ligatures w14:val="none"/>
        </w:rPr>
        <w:t>3个站位的疏浚物理化性质取样调查；采柱状样，监测因子包含总汞、镉、铅、锌、铜、铬、砷、有机碳、硫化物、石油类、六六六、滴滴涕、多氯联苯、大肠菌群湿重比个数。</w:t>
      </w:r>
    </w:p>
    <w:p w14:paraId="07AC4CD2">
      <w:pPr>
        <w:spacing w:beforeLines="0" w:afterLines="0" w:line="360" w:lineRule="auto"/>
        <w:ind w:firstLine="420" w:firstLineChars="200"/>
        <w:rPr>
          <w:rFonts w:hint="eastAsia" w:ascii="宋体" w:hAnsi="宋体" w:eastAsia="宋体" w:cs="宋体"/>
          <w:color w:val="auto"/>
          <w:sz w:val="21"/>
          <w:szCs w:val="21"/>
          <w14:ligatures w14:val="none"/>
        </w:rPr>
      </w:pPr>
      <w:r>
        <w:rPr>
          <w:rFonts w:hint="eastAsia" w:ascii="宋体" w:hAnsi="宋体" w:eastAsia="宋体" w:cs="宋体"/>
          <w:color w:val="auto"/>
          <w:sz w:val="21"/>
          <w:szCs w:val="21"/>
          <w14:ligatures w14:val="none"/>
        </w:rPr>
        <w:br w:type="page"/>
      </w:r>
    </w:p>
    <w:bookmarkEnd w:id="64"/>
    <w:p w14:paraId="780BDACB">
      <w:pPr>
        <w:autoSpaceDE/>
        <w:autoSpaceDN/>
        <w:spacing w:before="0" w:beforeLines="0" w:afterLines="0" w:line="360" w:lineRule="auto"/>
        <w:ind w:firstLine="422" w:firstLineChars="200"/>
        <w:jc w:val="left"/>
        <w:rPr>
          <w:rFonts w:hint="eastAsia" w:ascii="宋体" w:hAnsi="宋体" w:eastAsia="宋体" w:cs="宋体"/>
          <w:b/>
          <w:bCs/>
          <w:color w:val="auto"/>
          <w:szCs w:val="21"/>
          <w14:ligatures w14:val="none"/>
        </w:rPr>
      </w:pPr>
      <w:r>
        <w:rPr>
          <w:rFonts w:hint="eastAsia" w:ascii="宋体" w:hAnsi="宋体" w:eastAsia="宋体" w:cs="宋体"/>
          <w:b/>
          <w:bCs/>
          <w:color w:val="auto"/>
          <w:szCs w:val="21"/>
          <w14:ligatures w14:val="none"/>
        </w:rPr>
        <w:t>表</w:t>
      </w:r>
      <w:r>
        <w:rPr>
          <w:rFonts w:hint="eastAsia" w:ascii="宋体" w:hAnsi="宋体" w:eastAsia="宋体" w:cs="宋体"/>
          <w:b/>
          <w:bCs/>
          <w:color w:val="auto"/>
          <w:szCs w:val="21"/>
          <w:lang w:val="en-US" w:eastAsia="zh-CN"/>
          <w14:ligatures w14:val="none"/>
        </w:rPr>
        <w:t>2</w:t>
      </w:r>
      <w:r>
        <w:rPr>
          <w:rFonts w:hint="eastAsia" w:ascii="宋体" w:hAnsi="宋体" w:eastAsia="宋体" w:cs="宋体"/>
          <w:b/>
          <w:bCs/>
          <w:color w:val="auto"/>
          <w:szCs w:val="21"/>
          <w14:ligatures w14:val="none"/>
        </w:rPr>
        <w:t xml:space="preserve">                        海洋生态环境调查站位一览表</w:t>
      </w:r>
    </w:p>
    <w:tbl>
      <w:tblPr>
        <w:tblStyle w:val="24"/>
        <w:tblW w:w="499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839"/>
        <w:gridCol w:w="1747"/>
        <w:gridCol w:w="641"/>
        <w:gridCol w:w="728"/>
        <w:gridCol w:w="996"/>
        <w:gridCol w:w="930"/>
        <w:gridCol w:w="645"/>
        <w:gridCol w:w="859"/>
      </w:tblGrid>
      <w:tr w14:paraId="4AFCA9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blHeader/>
        </w:trPr>
        <w:tc>
          <w:tcPr>
            <w:tcW w:w="424" w:type="pct"/>
            <w:vMerge w:val="restart"/>
            <w:vAlign w:val="center"/>
          </w:tcPr>
          <w:p w14:paraId="24368CE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站位编号</w:t>
            </w:r>
          </w:p>
        </w:tc>
        <w:tc>
          <w:tcPr>
            <w:tcW w:w="1957" w:type="pct"/>
            <w:gridSpan w:val="2"/>
            <w:vAlign w:val="center"/>
          </w:tcPr>
          <w:p w14:paraId="34F0B00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坐标</w:t>
            </w:r>
          </w:p>
        </w:tc>
        <w:tc>
          <w:tcPr>
            <w:tcW w:w="2618" w:type="pct"/>
            <w:gridSpan w:val="6"/>
            <w:vAlign w:val="center"/>
          </w:tcPr>
          <w:p w14:paraId="0A8CF2E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调查内容</w:t>
            </w:r>
          </w:p>
        </w:tc>
      </w:tr>
      <w:tr w14:paraId="2B261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blHeader/>
        </w:trPr>
        <w:tc>
          <w:tcPr>
            <w:tcW w:w="424" w:type="pct"/>
            <w:vMerge w:val="continue"/>
            <w:vAlign w:val="center"/>
          </w:tcPr>
          <w:p w14:paraId="1B9D412D">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1003" w:type="pct"/>
            <w:vAlign w:val="center"/>
          </w:tcPr>
          <w:p w14:paraId="4C76D004">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东经</w:t>
            </w:r>
          </w:p>
        </w:tc>
        <w:tc>
          <w:tcPr>
            <w:tcW w:w="953" w:type="pct"/>
            <w:vAlign w:val="center"/>
          </w:tcPr>
          <w:p w14:paraId="4F517B5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北纬</w:t>
            </w:r>
          </w:p>
        </w:tc>
        <w:tc>
          <w:tcPr>
            <w:tcW w:w="349" w:type="pct"/>
            <w:vAlign w:val="center"/>
          </w:tcPr>
          <w:p w14:paraId="02323B2D">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水质</w:t>
            </w:r>
          </w:p>
        </w:tc>
        <w:tc>
          <w:tcPr>
            <w:tcW w:w="397" w:type="pct"/>
            <w:vAlign w:val="center"/>
          </w:tcPr>
          <w:p w14:paraId="7CFEC2E9">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海洋沉积物</w:t>
            </w:r>
          </w:p>
        </w:tc>
        <w:tc>
          <w:tcPr>
            <w:tcW w:w="543" w:type="pct"/>
            <w:vAlign w:val="center"/>
          </w:tcPr>
          <w:p w14:paraId="55B174E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生物生态（含生物体质量）</w:t>
            </w:r>
          </w:p>
        </w:tc>
        <w:tc>
          <w:tcPr>
            <w:tcW w:w="507" w:type="pct"/>
            <w:vAlign w:val="center"/>
          </w:tcPr>
          <w:p w14:paraId="68D7C34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渔业资源拖网（含生物体质量）</w:t>
            </w:r>
          </w:p>
        </w:tc>
        <w:tc>
          <w:tcPr>
            <w:tcW w:w="351" w:type="pct"/>
            <w:vAlign w:val="center"/>
          </w:tcPr>
          <w:p w14:paraId="09F5B04C">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表层沉积物粒度</w:t>
            </w:r>
          </w:p>
        </w:tc>
        <w:tc>
          <w:tcPr>
            <w:tcW w:w="468" w:type="pct"/>
            <w:vAlign w:val="center"/>
          </w:tcPr>
          <w:p w14:paraId="1E30170F">
            <w:pPr>
              <w:widowControl/>
              <w:spacing w:beforeLines="0" w:afterLines="0" w:line="240" w:lineRule="auto"/>
              <w:ind w:firstLine="0" w:firstLineChars="0"/>
              <w:jc w:val="center"/>
              <w:textAlignment w:val="baseline"/>
              <w:rPr>
                <w:rFonts w:hint="default" w:ascii="宋体" w:hAnsi="宋体" w:eastAsia="宋体" w:cs="宋体"/>
                <w:b/>
                <w:bCs/>
                <w:color w:val="auto"/>
                <w:kern w:val="0"/>
                <w:szCs w:val="21"/>
                <w:lang w:val="en-US" w:eastAsia="zh-CN"/>
                <w14:ligatures w14:val="none"/>
              </w:rPr>
            </w:pPr>
            <w:r>
              <w:rPr>
                <w:rFonts w:hint="eastAsia" w:ascii="宋体" w:hAnsi="宋体" w:cs="宋体"/>
                <w:b/>
                <w:bCs/>
                <w:color w:val="auto"/>
                <w:kern w:val="0"/>
                <w:szCs w:val="21"/>
                <w:lang w:val="en-US" w:eastAsia="zh-CN"/>
                <w14:ligatures w14:val="none"/>
              </w:rPr>
              <w:t>疏浚物理化性质</w:t>
            </w:r>
          </w:p>
        </w:tc>
      </w:tr>
      <w:tr w14:paraId="7AB64E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627D1624">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color w:val="auto"/>
                <w:kern w:val="0"/>
                <w:szCs w:val="21"/>
                <w14:ligatures w14:val="none"/>
              </w:rPr>
              <w:t>1#</w:t>
            </w:r>
          </w:p>
        </w:tc>
        <w:tc>
          <w:tcPr>
            <w:tcW w:w="1003" w:type="pct"/>
            <w:vAlign w:val="center"/>
          </w:tcPr>
          <w:p w14:paraId="6FDC7F70">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108°32′36.64″</w:t>
            </w:r>
          </w:p>
        </w:tc>
        <w:tc>
          <w:tcPr>
            <w:tcW w:w="953" w:type="pct"/>
            <w:vAlign w:val="center"/>
          </w:tcPr>
          <w:p w14:paraId="5BA920C9">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21°46′00.55″</w:t>
            </w:r>
          </w:p>
        </w:tc>
        <w:tc>
          <w:tcPr>
            <w:tcW w:w="349" w:type="pct"/>
            <w:vAlign w:val="top"/>
          </w:tcPr>
          <w:p w14:paraId="63D23EB6">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noWrap/>
            <w:vAlign w:val="center"/>
          </w:tcPr>
          <w:p w14:paraId="71E487E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43" w:type="pct"/>
            <w:noWrap/>
            <w:vAlign w:val="center"/>
          </w:tcPr>
          <w:p w14:paraId="10EA13F0">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07" w:type="pct"/>
            <w:noWrap/>
            <w:vAlign w:val="center"/>
          </w:tcPr>
          <w:p w14:paraId="638AEBE6">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351" w:type="pct"/>
            <w:noWrap/>
          </w:tcPr>
          <w:p w14:paraId="1F1649CF">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noWrap/>
          </w:tcPr>
          <w:p w14:paraId="5C90A577">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5086FC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1305C4B5">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color w:val="auto"/>
                <w:kern w:val="0"/>
                <w:szCs w:val="21"/>
                <w14:ligatures w14:val="none"/>
              </w:rPr>
              <w:t>2#</w:t>
            </w:r>
          </w:p>
        </w:tc>
        <w:tc>
          <w:tcPr>
            <w:tcW w:w="1003" w:type="pct"/>
            <w:vAlign w:val="center"/>
          </w:tcPr>
          <w:p w14:paraId="3EA01C4B">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108°34′41.92″</w:t>
            </w:r>
          </w:p>
        </w:tc>
        <w:tc>
          <w:tcPr>
            <w:tcW w:w="953" w:type="pct"/>
            <w:vAlign w:val="center"/>
          </w:tcPr>
          <w:p w14:paraId="71E689DD">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21°42′45.72″</w:t>
            </w:r>
          </w:p>
        </w:tc>
        <w:tc>
          <w:tcPr>
            <w:tcW w:w="349" w:type="pct"/>
            <w:vAlign w:val="top"/>
          </w:tcPr>
          <w:p w14:paraId="1E36A93D">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noWrap/>
            <w:vAlign w:val="center"/>
          </w:tcPr>
          <w:p w14:paraId="795240AA">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43" w:type="pct"/>
            <w:noWrap/>
            <w:vAlign w:val="center"/>
          </w:tcPr>
          <w:p w14:paraId="02206483">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07" w:type="pct"/>
            <w:noWrap/>
            <w:vAlign w:val="center"/>
          </w:tcPr>
          <w:p w14:paraId="3E1B7A00">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351" w:type="pct"/>
            <w:noWrap/>
          </w:tcPr>
          <w:p w14:paraId="03D2983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noWrap/>
          </w:tcPr>
          <w:p w14:paraId="7A53FCB4">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6FBF29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3D6B1058">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color w:val="auto"/>
                <w:kern w:val="0"/>
                <w:szCs w:val="21"/>
                <w14:ligatures w14:val="none"/>
              </w:rPr>
              <w:t>3#</w:t>
            </w:r>
          </w:p>
        </w:tc>
        <w:tc>
          <w:tcPr>
            <w:tcW w:w="1003" w:type="pct"/>
            <w:vAlign w:val="center"/>
          </w:tcPr>
          <w:p w14:paraId="2EEBFB04">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108°38′22.77″</w:t>
            </w:r>
          </w:p>
        </w:tc>
        <w:tc>
          <w:tcPr>
            <w:tcW w:w="953" w:type="pct"/>
            <w:vAlign w:val="center"/>
          </w:tcPr>
          <w:p w14:paraId="58A8CB93">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21°45′15.11″</w:t>
            </w:r>
          </w:p>
        </w:tc>
        <w:tc>
          <w:tcPr>
            <w:tcW w:w="349" w:type="pct"/>
            <w:vAlign w:val="top"/>
          </w:tcPr>
          <w:p w14:paraId="76BC21B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396D91E1">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43" w:type="pct"/>
            <w:vAlign w:val="center"/>
          </w:tcPr>
          <w:p w14:paraId="51023FC3">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07" w:type="pct"/>
            <w:vAlign w:val="center"/>
          </w:tcPr>
          <w:p w14:paraId="3EBB8A59">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351" w:type="pct"/>
          </w:tcPr>
          <w:p w14:paraId="02036950">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4B72CD0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06D49F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74E73F97">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color w:val="auto"/>
                <w:kern w:val="0"/>
                <w:szCs w:val="21"/>
                <w14:ligatures w14:val="none"/>
              </w:rPr>
              <w:t>4#</w:t>
            </w:r>
          </w:p>
        </w:tc>
        <w:tc>
          <w:tcPr>
            <w:tcW w:w="1003" w:type="pct"/>
            <w:vAlign w:val="center"/>
          </w:tcPr>
          <w:p w14:paraId="3993C139">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108°38′07.22″</w:t>
            </w:r>
          </w:p>
        </w:tc>
        <w:tc>
          <w:tcPr>
            <w:tcW w:w="953" w:type="pct"/>
            <w:vAlign w:val="center"/>
          </w:tcPr>
          <w:p w14:paraId="7D9A5EDC">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21°43′23.74″</w:t>
            </w:r>
          </w:p>
        </w:tc>
        <w:tc>
          <w:tcPr>
            <w:tcW w:w="349" w:type="pct"/>
            <w:vAlign w:val="top"/>
          </w:tcPr>
          <w:p w14:paraId="55AA7D57">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45908617">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43" w:type="pct"/>
            <w:vAlign w:val="center"/>
          </w:tcPr>
          <w:p w14:paraId="55793F7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07" w:type="pct"/>
            <w:vAlign w:val="center"/>
          </w:tcPr>
          <w:p w14:paraId="5E8029D3">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51" w:type="pct"/>
          </w:tcPr>
          <w:p w14:paraId="725BEBC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43556ED3">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03C1C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3C9A08BA">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color w:val="auto"/>
                <w:kern w:val="0"/>
                <w:szCs w:val="21"/>
                <w14:ligatures w14:val="none"/>
              </w:rPr>
              <w:t>5#</w:t>
            </w:r>
          </w:p>
        </w:tc>
        <w:tc>
          <w:tcPr>
            <w:tcW w:w="1003" w:type="pct"/>
            <w:vAlign w:val="center"/>
          </w:tcPr>
          <w:p w14:paraId="286286C6">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108°37′04.37″</w:t>
            </w:r>
          </w:p>
        </w:tc>
        <w:tc>
          <w:tcPr>
            <w:tcW w:w="953" w:type="pct"/>
            <w:vAlign w:val="center"/>
          </w:tcPr>
          <w:p w14:paraId="66F5DDAC">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21°41′05.72″</w:t>
            </w:r>
          </w:p>
        </w:tc>
        <w:tc>
          <w:tcPr>
            <w:tcW w:w="349" w:type="pct"/>
            <w:vAlign w:val="top"/>
          </w:tcPr>
          <w:p w14:paraId="4DA2A65F">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43D3994F">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43" w:type="pct"/>
            <w:vAlign w:val="center"/>
          </w:tcPr>
          <w:p w14:paraId="6D1D4674">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07" w:type="pct"/>
            <w:vAlign w:val="center"/>
          </w:tcPr>
          <w:p w14:paraId="7ACC7159">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351" w:type="pct"/>
          </w:tcPr>
          <w:p w14:paraId="1F552DD0">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599E136A">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2956EB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1C8336B2">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color w:val="auto"/>
                <w:kern w:val="0"/>
                <w:szCs w:val="21"/>
                <w14:ligatures w14:val="none"/>
              </w:rPr>
              <w:t>6#</w:t>
            </w:r>
          </w:p>
        </w:tc>
        <w:tc>
          <w:tcPr>
            <w:tcW w:w="1003" w:type="pct"/>
            <w:vAlign w:val="center"/>
          </w:tcPr>
          <w:p w14:paraId="46DE197D">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108°35′15.92″</w:t>
            </w:r>
          </w:p>
        </w:tc>
        <w:tc>
          <w:tcPr>
            <w:tcW w:w="953" w:type="pct"/>
            <w:vAlign w:val="center"/>
          </w:tcPr>
          <w:p w14:paraId="6C8D376E">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21°38′50.03″</w:t>
            </w:r>
          </w:p>
        </w:tc>
        <w:tc>
          <w:tcPr>
            <w:tcW w:w="349" w:type="pct"/>
            <w:vAlign w:val="top"/>
          </w:tcPr>
          <w:p w14:paraId="0ED6924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531DD584">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43" w:type="pct"/>
            <w:vAlign w:val="center"/>
          </w:tcPr>
          <w:p w14:paraId="3649047A">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07" w:type="pct"/>
            <w:vAlign w:val="center"/>
          </w:tcPr>
          <w:p w14:paraId="1835F4CC">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51" w:type="pct"/>
          </w:tcPr>
          <w:p w14:paraId="75F3BE6C">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5DCA51E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4F3160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6447D891">
            <w:pPr>
              <w:widowControl/>
              <w:spacing w:beforeLines="0" w:afterLines="0" w:line="240" w:lineRule="auto"/>
              <w:ind w:firstLine="0" w:firstLineChars="0"/>
              <w:jc w:val="center"/>
              <w:textAlignment w:val="baseline"/>
              <w:rPr>
                <w:rFonts w:hint="default" w:ascii="宋体" w:hAnsi="宋体" w:eastAsia="宋体" w:cs="宋体"/>
                <w:color w:val="auto"/>
                <w:kern w:val="0"/>
                <w:szCs w:val="21"/>
                <w:lang w:val="en-US" w:eastAsia="zh-CN"/>
                <w14:ligatures w14:val="none"/>
              </w:rPr>
            </w:pPr>
            <w:r>
              <w:rPr>
                <w:rFonts w:hint="eastAsia" w:ascii="宋体" w:hAnsi="宋体" w:cs="宋体"/>
                <w:color w:val="auto"/>
                <w:kern w:val="0"/>
                <w:szCs w:val="21"/>
                <w:lang w:val="en-US" w:eastAsia="zh-CN"/>
                <w14:ligatures w14:val="none"/>
              </w:rPr>
              <w:t>7</w:t>
            </w:r>
            <w:r>
              <w:rPr>
                <w:rFonts w:hint="eastAsia" w:ascii="宋体" w:hAnsi="宋体" w:eastAsia="宋体" w:cs="宋体"/>
                <w:color w:val="auto"/>
                <w:kern w:val="0"/>
                <w:szCs w:val="21"/>
                <w14:ligatures w14:val="none"/>
              </w:rPr>
              <w:t>#</w:t>
            </w:r>
          </w:p>
        </w:tc>
        <w:tc>
          <w:tcPr>
            <w:tcW w:w="1003" w:type="pct"/>
            <w:vAlign w:val="center"/>
          </w:tcPr>
          <w:p w14:paraId="58BFEC96">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108°37'1.42"</w:t>
            </w:r>
          </w:p>
        </w:tc>
        <w:tc>
          <w:tcPr>
            <w:tcW w:w="953" w:type="pct"/>
            <w:vAlign w:val="center"/>
          </w:tcPr>
          <w:p w14:paraId="0601EE0F">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21°38'44.27"</w:t>
            </w:r>
          </w:p>
        </w:tc>
        <w:tc>
          <w:tcPr>
            <w:tcW w:w="349" w:type="pct"/>
            <w:vAlign w:val="bottom"/>
          </w:tcPr>
          <w:p w14:paraId="1795A065">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default" w:ascii="宋体" w:hAnsi="宋体" w:eastAsia="宋体" w:cs="宋体"/>
                <w:b/>
                <w:bCs/>
                <w:color w:val="auto"/>
                <w:kern w:val="0"/>
                <w:szCs w:val="21"/>
                <w:lang w:val="en-US" w:eastAsia="zh-CN"/>
                <w14:ligatures w14:val="none"/>
              </w:rPr>
              <w:t>√</w:t>
            </w:r>
          </w:p>
        </w:tc>
        <w:tc>
          <w:tcPr>
            <w:tcW w:w="397" w:type="pct"/>
            <w:vAlign w:val="bottom"/>
          </w:tcPr>
          <w:p w14:paraId="38C5511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default" w:ascii="宋体" w:hAnsi="宋体" w:eastAsia="宋体" w:cs="宋体"/>
                <w:b/>
                <w:bCs/>
                <w:color w:val="auto"/>
                <w:kern w:val="0"/>
                <w:szCs w:val="21"/>
                <w:lang w:val="en-US" w:eastAsia="zh-CN"/>
                <w14:ligatures w14:val="none"/>
              </w:rPr>
              <w:t>√</w:t>
            </w:r>
          </w:p>
        </w:tc>
        <w:tc>
          <w:tcPr>
            <w:tcW w:w="543" w:type="pct"/>
            <w:vAlign w:val="bottom"/>
          </w:tcPr>
          <w:p w14:paraId="3F6AFEC6">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default" w:ascii="宋体" w:hAnsi="宋体" w:eastAsia="宋体" w:cs="宋体"/>
                <w:b/>
                <w:bCs/>
                <w:color w:val="auto"/>
                <w:kern w:val="0"/>
                <w:szCs w:val="21"/>
                <w:lang w:val="en-US" w:eastAsia="zh-CN"/>
                <w14:ligatures w14:val="none"/>
              </w:rPr>
              <w:t>√</w:t>
            </w:r>
          </w:p>
        </w:tc>
        <w:tc>
          <w:tcPr>
            <w:tcW w:w="507" w:type="pct"/>
            <w:vAlign w:val="bottom"/>
          </w:tcPr>
          <w:p w14:paraId="1D06093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default" w:ascii="宋体" w:hAnsi="宋体" w:eastAsia="宋体" w:cs="宋体"/>
                <w:b/>
                <w:bCs/>
                <w:color w:val="auto"/>
                <w:kern w:val="0"/>
                <w:szCs w:val="21"/>
                <w:lang w:val="en-US" w:eastAsia="zh-CN"/>
                <w14:ligatures w14:val="none"/>
              </w:rPr>
              <w:t>√</w:t>
            </w:r>
          </w:p>
        </w:tc>
        <w:tc>
          <w:tcPr>
            <w:tcW w:w="351" w:type="pct"/>
            <w:vAlign w:val="bottom"/>
          </w:tcPr>
          <w:p w14:paraId="025DF6B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default" w:ascii="宋体" w:hAnsi="宋体" w:eastAsia="宋体" w:cs="宋体"/>
                <w:b/>
                <w:bCs/>
                <w:color w:val="auto"/>
                <w:kern w:val="0"/>
                <w:szCs w:val="21"/>
                <w:lang w:val="en-US" w:eastAsia="zh-CN"/>
                <w14:ligatures w14:val="none"/>
              </w:rPr>
              <w:t>√</w:t>
            </w:r>
          </w:p>
        </w:tc>
        <w:tc>
          <w:tcPr>
            <w:tcW w:w="468" w:type="pct"/>
          </w:tcPr>
          <w:p w14:paraId="64F7A050">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458F52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4EAA0566">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cs="宋体"/>
                <w:color w:val="auto"/>
                <w:kern w:val="0"/>
                <w:szCs w:val="21"/>
                <w:lang w:val="en-US" w:eastAsia="zh-CN"/>
                <w14:ligatures w14:val="none"/>
              </w:rPr>
              <w:t>8</w:t>
            </w:r>
            <w:r>
              <w:rPr>
                <w:rFonts w:hint="eastAsia" w:ascii="宋体" w:hAnsi="宋体" w:eastAsia="宋体" w:cs="宋体"/>
                <w:color w:val="auto"/>
                <w:kern w:val="0"/>
                <w:szCs w:val="21"/>
                <w14:ligatures w14:val="none"/>
              </w:rPr>
              <w:t>#</w:t>
            </w:r>
          </w:p>
        </w:tc>
        <w:tc>
          <w:tcPr>
            <w:tcW w:w="1003" w:type="pct"/>
            <w:vAlign w:val="center"/>
          </w:tcPr>
          <w:p w14:paraId="1A72A86D">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108°38′17.13″</w:t>
            </w:r>
          </w:p>
        </w:tc>
        <w:tc>
          <w:tcPr>
            <w:tcW w:w="953" w:type="pct"/>
            <w:vAlign w:val="center"/>
          </w:tcPr>
          <w:p w14:paraId="76D07BA3">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21°38′48.16″</w:t>
            </w:r>
          </w:p>
        </w:tc>
        <w:tc>
          <w:tcPr>
            <w:tcW w:w="349" w:type="pct"/>
            <w:vAlign w:val="top"/>
          </w:tcPr>
          <w:p w14:paraId="76BB8223">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7FECC0D1">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43" w:type="pct"/>
            <w:vAlign w:val="center"/>
          </w:tcPr>
          <w:p w14:paraId="6EF64FE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07" w:type="pct"/>
            <w:vAlign w:val="center"/>
          </w:tcPr>
          <w:p w14:paraId="05431F3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351" w:type="pct"/>
          </w:tcPr>
          <w:p w14:paraId="704055F9">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7BBDCAA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14255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230DF776">
            <w:pPr>
              <w:widowControl/>
              <w:spacing w:beforeLines="0" w:afterLines="0" w:line="240" w:lineRule="auto"/>
              <w:ind w:firstLine="0" w:firstLineChars="0"/>
              <w:jc w:val="center"/>
              <w:textAlignment w:val="baseline"/>
              <w:rPr>
                <w:rFonts w:hint="default" w:ascii="宋体" w:hAnsi="宋体" w:eastAsia="宋体" w:cs="宋体"/>
                <w:color w:val="auto"/>
                <w:kern w:val="0"/>
                <w:szCs w:val="21"/>
                <w:lang w:val="en-US" w:eastAsia="zh-CN"/>
                <w14:ligatures w14:val="none"/>
              </w:rPr>
            </w:pPr>
            <w:r>
              <w:rPr>
                <w:rFonts w:hint="eastAsia" w:ascii="宋体" w:hAnsi="宋体" w:cs="宋体"/>
                <w:color w:val="auto"/>
                <w:kern w:val="0"/>
                <w:szCs w:val="21"/>
                <w:lang w:val="en-US" w:eastAsia="zh-CN"/>
                <w14:ligatures w14:val="none"/>
              </w:rPr>
              <w:t>9#</w:t>
            </w:r>
          </w:p>
        </w:tc>
        <w:tc>
          <w:tcPr>
            <w:tcW w:w="1003" w:type="pct"/>
            <w:vAlign w:val="bottom"/>
          </w:tcPr>
          <w:p w14:paraId="30FF2354">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108°39'19.45"</w:t>
            </w:r>
          </w:p>
        </w:tc>
        <w:tc>
          <w:tcPr>
            <w:tcW w:w="953" w:type="pct"/>
            <w:vAlign w:val="bottom"/>
          </w:tcPr>
          <w:p w14:paraId="3535AE3D">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21°38'47.19"</w:t>
            </w:r>
          </w:p>
        </w:tc>
        <w:tc>
          <w:tcPr>
            <w:tcW w:w="349" w:type="pct"/>
            <w:vAlign w:val="bottom"/>
          </w:tcPr>
          <w:p w14:paraId="18689F43">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397" w:type="pct"/>
            <w:vAlign w:val="bottom"/>
          </w:tcPr>
          <w:p w14:paraId="545639C3">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c>
          <w:tcPr>
            <w:tcW w:w="543" w:type="pct"/>
            <w:vAlign w:val="bottom"/>
          </w:tcPr>
          <w:p w14:paraId="5F782F5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507" w:type="pct"/>
            <w:vAlign w:val="bottom"/>
          </w:tcPr>
          <w:p w14:paraId="1A467A01">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351" w:type="pct"/>
            <w:vAlign w:val="bottom"/>
          </w:tcPr>
          <w:p w14:paraId="39DDC15F">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468" w:type="pct"/>
          </w:tcPr>
          <w:p w14:paraId="66CE4566">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default" w:ascii="宋体" w:hAnsi="宋体" w:eastAsia="宋体" w:cs="宋体"/>
                <w:b/>
                <w:bCs/>
                <w:color w:val="auto"/>
                <w:kern w:val="0"/>
                <w:szCs w:val="21"/>
                <w:lang w:val="en-US" w:eastAsia="zh-CN"/>
                <w14:ligatures w14:val="none"/>
              </w:rPr>
              <w:t>√</w:t>
            </w:r>
          </w:p>
        </w:tc>
      </w:tr>
      <w:tr w14:paraId="24EDFC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4D84360A">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cs="宋体"/>
                <w:color w:val="auto"/>
                <w:kern w:val="0"/>
                <w:szCs w:val="21"/>
                <w:lang w:val="en-US" w:eastAsia="zh-CN"/>
                <w14:ligatures w14:val="none"/>
              </w:rPr>
              <w:t>10</w:t>
            </w:r>
            <w:r>
              <w:rPr>
                <w:rFonts w:hint="eastAsia" w:ascii="宋体" w:hAnsi="宋体" w:eastAsia="宋体" w:cs="宋体"/>
                <w:color w:val="auto"/>
                <w:kern w:val="0"/>
                <w:szCs w:val="21"/>
                <w14:ligatures w14:val="none"/>
              </w:rPr>
              <w:t>#</w:t>
            </w:r>
          </w:p>
        </w:tc>
        <w:tc>
          <w:tcPr>
            <w:tcW w:w="1003" w:type="pct"/>
            <w:vAlign w:val="center"/>
          </w:tcPr>
          <w:p w14:paraId="7983C292">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108°40′55.13″</w:t>
            </w:r>
          </w:p>
        </w:tc>
        <w:tc>
          <w:tcPr>
            <w:tcW w:w="953" w:type="pct"/>
            <w:vAlign w:val="center"/>
          </w:tcPr>
          <w:p w14:paraId="63E34F4C">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21°38′48.43″</w:t>
            </w:r>
          </w:p>
        </w:tc>
        <w:tc>
          <w:tcPr>
            <w:tcW w:w="349" w:type="pct"/>
            <w:vAlign w:val="top"/>
          </w:tcPr>
          <w:p w14:paraId="0FB61A40">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426BF4E1">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43" w:type="pct"/>
            <w:vAlign w:val="center"/>
          </w:tcPr>
          <w:p w14:paraId="077896F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07" w:type="pct"/>
            <w:vAlign w:val="center"/>
          </w:tcPr>
          <w:p w14:paraId="498B97A7">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51" w:type="pct"/>
          </w:tcPr>
          <w:p w14:paraId="2C4367F6">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313C60FF">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22EAF4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3E45024A">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cs="宋体"/>
                <w:color w:val="auto"/>
                <w:kern w:val="0"/>
                <w:szCs w:val="21"/>
                <w:lang w:val="en-US" w:eastAsia="zh-CN"/>
                <w14:ligatures w14:val="none"/>
              </w:rPr>
              <w:t>11</w:t>
            </w:r>
            <w:r>
              <w:rPr>
                <w:rFonts w:hint="eastAsia" w:ascii="宋体" w:hAnsi="宋体" w:eastAsia="宋体" w:cs="宋体"/>
                <w:color w:val="auto"/>
                <w:kern w:val="0"/>
                <w:szCs w:val="21"/>
                <w14:ligatures w14:val="none"/>
              </w:rPr>
              <w:t>#</w:t>
            </w:r>
          </w:p>
        </w:tc>
        <w:tc>
          <w:tcPr>
            <w:tcW w:w="1003" w:type="pct"/>
            <w:vAlign w:val="center"/>
          </w:tcPr>
          <w:p w14:paraId="4C95D37B">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108°35′26.06″</w:t>
            </w:r>
          </w:p>
        </w:tc>
        <w:tc>
          <w:tcPr>
            <w:tcW w:w="953" w:type="pct"/>
            <w:vAlign w:val="center"/>
          </w:tcPr>
          <w:p w14:paraId="7C31AFA4">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21°36′21.95″</w:t>
            </w:r>
          </w:p>
        </w:tc>
        <w:tc>
          <w:tcPr>
            <w:tcW w:w="349" w:type="pct"/>
            <w:vAlign w:val="top"/>
          </w:tcPr>
          <w:p w14:paraId="739B3E9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noWrap/>
            <w:vAlign w:val="center"/>
          </w:tcPr>
          <w:p w14:paraId="71B5135A">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43" w:type="pct"/>
            <w:noWrap/>
            <w:vAlign w:val="center"/>
          </w:tcPr>
          <w:p w14:paraId="7C1BBF1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07" w:type="pct"/>
            <w:noWrap/>
            <w:vAlign w:val="center"/>
          </w:tcPr>
          <w:p w14:paraId="56506319">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51" w:type="pct"/>
            <w:noWrap/>
          </w:tcPr>
          <w:p w14:paraId="0ADE5666">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noWrap/>
          </w:tcPr>
          <w:p w14:paraId="0029ACB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37A27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72A56EF4">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cs="宋体"/>
                <w:color w:val="auto"/>
                <w:kern w:val="0"/>
                <w:szCs w:val="21"/>
                <w:lang w:val="en-US" w:eastAsia="zh-CN"/>
                <w14:ligatures w14:val="none"/>
              </w:rPr>
              <w:t>12</w:t>
            </w:r>
            <w:r>
              <w:rPr>
                <w:rFonts w:hint="eastAsia" w:ascii="宋体" w:hAnsi="宋体" w:eastAsia="宋体" w:cs="宋体"/>
                <w:color w:val="auto"/>
                <w:kern w:val="0"/>
                <w:szCs w:val="21"/>
                <w14:ligatures w14:val="none"/>
              </w:rPr>
              <w:t>#</w:t>
            </w:r>
          </w:p>
        </w:tc>
        <w:tc>
          <w:tcPr>
            <w:tcW w:w="1003" w:type="pct"/>
            <w:vAlign w:val="center"/>
          </w:tcPr>
          <w:p w14:paraId="3072BC66">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108°38′18.77″</w:t>
            </w:r>
          </w:p>
        </w:tc>
        <w:tc>
          <w:tcPr>
            <w:tcW w:w="953" w:type="pct"/>
            <w:vAlign w:val="center"/>
          </w:tcPr>
          <w:p w14:paraId="6E154948">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21°36′21.31″</w:t>
            </w:r>
          </w:p>
        </w:tc>
        <w:tc>
          <w:tcPr>
            <w:tcW w:w="349" w:type="pct"/>
            <w:vAlign w:val="top"/>
          </w:tcPr>
          <w:p w14:paraId="5744188A">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4FE1D995">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43" w:type="pct"/>
            <w:vAlign w:val="center"/>
          </w:tcPr>
          <w:p w14:paraId="070EBD4D">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07" w:type="pct"/>
            <w:vAlign w:val="center"/>
          </w:tcPr>
          <w:p w14:paraId="47E418B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51" w:type="pct"/>
          </w:tcPr>
          <w:p w14:paraId="0F282A7A">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47EA5A65">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2A4A2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61D251F0">
            <w:pPr>
              <w:widowControl/>
              <w:spacing w:beforeLines="0" w:afterLines="0" w:line="240" w:lineRule="auto"/>
              <w:ind w:firstLine="0" w:firstLineChars="0"/>
              <w:jc w:val="center"/>
              <w:textAlignment w:val="baseline"/>
              <w:rPr>
                <w:rFonts w:hint="default" w:ascii="宋体" w:hAnsi="宋体" w:eastAsia="宋体" w:cs="宋体"/>
                <w:color w:val="auto"/>
                <w:kern w:val="0"/>
                <w:szCs w:val="21"/>
                <w:lang w:val="en-US" w:eastAsia="zh-CN"/>
                <w14:ligatures w14:val="none"/>
              </w:rPr>
            </w:pPr>
            <w:r>
              <w:rPr>
                <w:rFonts w:hint="eastAsia" w:ascii="宋体" w:hAnsi="宋体" w:cs="宋体"/>
                <w:color w:val="auto"/>
                <w:kern w:val="0"/>
                <w:szCs w:val="21"/>
                <w:lang w:val="en-US" w:eastAsia="zh-CN"/>
                <w14:ligatures w14:val="none"/>
              </w:rPr>
              <w:t>13#</w:t>
            </w:r>
          </w:p>
        </w:tc>
        <w:tc>
          <w:tcPr>
            <w:tcW w:w="1003" w:type="pct"/>
            <w:vAlign w:val="bottom"/>
          </w:tcPr>
          <w:p w14:paraId="67F465F3">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108°39'39.01"</w:t>
            </w:r>
          </w:p>
        </w:tc>
        <w:tc>
          <w:tcPr>
            <w:tcW w:w="953" w:type="pct"/>
            <w:vAlign w:val="bottom"/>
          </w:tcPr>
          <w:p w14:paraId="03353E7D">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21°36'26.04"</w:t>
            </w:r>
          </w:p>
        </w:tc>
        <w:tc>
          <w:tcPr>
            <w:tcW w:w="349" w:type="pct"/>
            <w:vAlign w:val="bottom"/>
          </w:tcPr>
          <w:p w14:paraId="4962CF0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397" w:type="pct"/>
            <w:vAlign w:val="bottom"/>
          </w:tcPr>
          <w:p w14:paraId="736EE17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p>
        </w:tc>
        <w:tc>
          <w:tcPr>
            <w:tcW w:w="543" w:type="pct"/>
            <w:vAlign w:val="bottom"/>
          </w:tcPr>
          <w:p w14:paraId="55846157">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507" w:type="pct"/>
            <w:vAlign w:val="bottom"/>
          </w:tcPr>
          <w:p w14:paraId="1936B14A">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351" w:type="pct"/>
            <w:vAlign w:val="bottom"/>
          </w:tcPr>
          <w:p w14:paraId="371F2D2D">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468" w:type="pct"/>
            <w:vAlign w:val="bottom"/>
          </w:tcPr>
          <w:p w14:paraId="3629A99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r>
      <w:tr w14:paraId="50398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1290CB94">
            <w:pPr>
              <w:widowControl/>
              <w:spacing w:beforeLines="0" w:afterLines="0" w:line="240" w:lineRule="auto"/>
              <w:ind w:firstLine="0" w:firstLineChars="0"/>
              <w:jc w:val="center"/>
              <w:textAlignment w:val="baseline"/>
              <w:rPr>
                <w:rFonts w:hint="eastAsia" w:ascii="宋体" w:hAnsi="宋体" w:cs="宋体"/>
                <w:color w:val="auto"/>
                <w:kern w:val="0"/>
                <w:szCs w:val="21"/>
                <w:lang w:val="en-US" w:eastAsia="zh-CN"/>
                <w14:ligatures w14:val="none"/>
              </w:rPr>
            </w:pPr>
            <w:r>
              <w:rPr>
                <w:rFonts w:hint="eastAsia" w:ascii="宋体" w:hAnsi="宋体" w:cs="宋体"/>
                <w:color w:val="auto"/>
                <w:kern w:val="0"/>
                <w:szCs w:val="21"/>
                <w:lang w:val="en-US" w:eastAsia="zh-CN"/>
                <w14:ligatures w14:val="none"/>
              </w:rPr>
              <w:t>14#</w:t>
            </w:r>
          </w:p>
        </w:tc>
        <w:tc>
          <w:tcPr>
            <w:tcW w:w="1003" w:type="pct"/>
            <w:vAlign w:val="center"/>
          </w:tcPr>
          <w:p w14:paraId="08E3851C">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108°40′28.64″</w:t>
            </w:r>
          </w:p>
        </w:tc>
        <w:tc>
          <w:tcPr>
            <w:tcW w:w="953" w:type="pct"/>
            <w:vAlign w:val="center"/>
          </w:tcPr>
          <w:p w14:paraId="5C02D4CD">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21°36′23.18″</w:t>
            </w:r>
          </w:p>
        </w:tc>
        <w:tc>
          <w:tcPr>
            <w:tcW w:w="349" w:type="pct"/>
            <w:vAlign w:val="top"/>
          </w:tcPr>
          <w:p w14:paraId="524EF905">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58EA1A0F">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43" w:type="pct"/>
            <w:vAlign w:val="center"/>
          </w:tcPr>
          <w:p w14:paraId="668BB636">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07" w:type="pct"/>
            <w:vAlign w:val="center"/>
          </w:tcPr>
          <w:p w14:paraId="4BCD8523">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351" w:type="pct"/>
          </w:tcPr>
          <w:p w14:paraId="1D3FC91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268A4883">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5EC325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28116AC7">
            <w:pPr>
              <w:widowControl/>
              <w:spacing w:beforeLines="0" w:afterLines="0" w:line="240" w:lineRule="auto"/>
              <w:ind w:firstLine="0" w:firstLineChars="0"/>
              <w:jc w:val="center"/>
              <w:textAlignment w:val="baseline"/>
              <w:rPr>
                <w:rFonts w:hint="eastAsia" w:ascii="宋体" w:hAnsi="宋体" w:cs="宋体"/>
                <w:color w:val="auto"/>
                <w:kern w:val="0"/>
                <w:szCs w:val="21"/>
                <w:lang w:val="en-US" w:eastAsia="zh-CN"/>
                <w14:ligatures w14:val="none"/>
              </w:rPr>
            </w:pPr>
            <w:r>
              <w:rPr>
                <w:rFonts w:hint="eastAsia" w:ascii="宋体" w:hAnsi="宋体" w:cs="宋体"/>
                <w:color w:val="auto"/>
                <w:kern w:val="0"/>
                <w:szCs w:val="21"/>
                <w:lang w:val="en-US" w:eastAsia="zh-CN"/>
                <w14:ligatures w14:val="none"/>
              </w:rPr>
              <w:t>15#</w:t>
            </w:r>
          </w:p>
        </w:tc>
        <w:tc>
          <w:tcPr>
            <w:tcW w:w="1003" w:type="pct"/>
            <w:vAlign w:val="center"/>
          </w:tcPr>
          <w:p w14:paraId="1AF481CD">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108°33′28.53″</w:t>
            </w:r>
          </w:p>
        </w:tc>
        <w:tc>
          <w:tcPr>
            <w:tcW w:w="953" w:type="pct"/>
            <w:vAlign w:val="center"/>
          </w:tcPr>
          <w:p w14:paraId="6C04E1AF">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21°32′04.87″</w:t>
            </w:r>
          </w:p>
        </w:tc>
        <w:tc>
          <w:tcPr>
            <w:tcW w:w="349" w:type="pct"/>
            <w:vAlign w:val="top"/>
          </w:tcPr>
          <w:p w14:paraId="7AB2615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noWrap/>
            <w:vAlign w:val="center"/>
          </w:tcPr>
          <w:p w14:paraId="6E7FE1C7">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43" w:type="pct"/>
            <w:noWrap/>
            <w:vAlign w:val="center"/>
          </w:tcPr>
          <w:p w14:paraId="1F593C17">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07" w:type="pct"/>
            <w:noWrap/>
            <w:vAlign w:val="center"/>
          </w:tcPr>
          <w:p w14:paraId="44D6C80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51" w:type="pct"/>
            <w:noWrap/>
          </w:tcPr>
          <w:p w14:paraId="3CD93AC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noWrap/>
          </w:tcPr>
          <w:p w14:paraId="36045269">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12EF3F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2EC521C4">
            <w:pPr>
              <w:widowControl/>
              <w:spacing w:beforeLines="0" w:afterLines="0" w:line="240" w:lineRule="auto"/>
              <w:ind w:firstLine="0" w:firstLineChars="0"/>
              <w:jc w:val="center"/>
              <w:textAlignment w:val="baseline"/>
              <w:rPr>
                <w:rFonts w:hint="default" w:ascii="宋体" w:hAnsi="宋体" w:cs="宋体"/>
                <w:color w:val="auto"/>
                <w:kern w:val="0"/>
                <w:szCs w:val="21"/>
                <w:lang w:val="en-US" w:eastAsia="zh-CN"/>
                <w14:ligatures w14:val="none"/>
              </w:rPr>
            </w:pPr>
            <w:r>
              <w:rPr>
                <w:rFonts w:hint="eastAsia" w:ascii="宋体" w:hAnsi="宋体" w:cs="宋体"/>
                <w:color w:val="auto"/>
                <w:kern w:val="0"/>
                <w:szCs w:val="21"/>
                <w:lang w:val="en-US" w:eastAsia="zh-CN"/>
                <w14:ligatures w14:val="none"/>
              </w:rPr>
              <w:t>16#</w:t>
            </w:r>
          </w:p>
        </w:tc>
        <w:tc>
          <w:tcPr>
            <w:tcW w:w="1003" w:type="pct"/>
            <w:vAlign w:val="bottom"/>
          </w:tcPr>
          <w:p w14:paraId="11FE26A9">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108°35'22.25"</w:t>
            </w:r>
          </w:p>
        </w:tc>
        <w:tc>
          <w:tcPr>
            <w:tcW w:w="953" w:type="pct"/>
            <w:vAlign w:val="bottom"/>
          </w:tcPr>
          <w:p w14:paraId="435FF4F8">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21°32'0.34"</w:t>
            </w:r>
          </w:p>
        </w:tc>
        <w:tc>
          <w:tcPr>
            <w:tcW w:w="349" w:type="pct"/>
            <w:vAlign w:val="bottom"/>
          </w:tcPr>
          <w:p w14:paraId="623F13EA">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397" w:type="pct"/>
            <w:noWrap/>
            <w:vAlign w:val="bottom"/>
          </w:tcPr>
          <w:p w14:paraId="39082963">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c>
          <w:tcPr>
            <w:tcW w:w="543" w:type="pct"/>
            <w:noWrap/>
            <w:vAlign w:val="bottom"/>
          </w:tcPr>
          <w:p w14:paraId="0E83C14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507" w:type="pct"/>
            <w:noWrap/>
            <w:vAlign w:val="bottom"/>
          </w:tcPr>
          <w:p w14:paraId="5A4DD8FC">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351" w:type="pct"/>
            <w:noWrap/>
            <w:vAlign w:val="bottom"/>
          </w:tcPr>
          <w:p w14:paraId="4B7D439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468" w:type="pct"/>
            <w:noWrap/>
            <w:vAlign w:val="bottom"/>
          </w:tcPr>
          <w:p w14:paraId="6830D055">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r>
      <w:tr w14:paraId="7FC5F2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3431D960">
            <w:pPr>
              <w:widowControl/>
              <w:spacing w:beforeLines="0" w:afterLines="0" w:line="240" w:lineRule="auto"/>
              <w:ind w:firstLine="0" w:firstLineChars="0"/>
              <w:jc w:val="center"/>
              <w:textAlignment w:val="baseline"/>
              <w:rPr>
                <w:rFonts w:hint="default" w:ascii="宋体" w:hAnsi="宋体" w:eastAsia="宋体" w:cs="宋体"/>
                <w:color w:val="auto"/>
                <w:kern w:val="0"/>
                <w:szCs w:val="21"/>
                <w:lang w:val="en-US" w:eastAsia="zh-CN"/>
                <w14:ligatures w14:val="none"/>
              </w:rPr>
            </w:pPr>
            <w:r>
              <w:rPr>
                <w:rFonts w:hint="eastAsia" w:ascii="宋体" w:hAnsi="宋体" w:cs="宋体"/>
                <w:color w:val="auto"/>
                <w:kern w:val="0"/>
                <w:szCs w:val="21"/>
                <w:lang w:val="en-US" w:eastAsia="zh-CN"/>
                <w14:ligatures w14:val="none"/>
              </w:rPr>
              <w:t>17#</w:t>
            </w:r>
          </w:p>
        </w:tc>
        <w:tc>
          <w:tcPr>
            <w:tcW w:w="1003" w:type="pct"/>
            <w:vAlign w:val="center"/>
          </w:tcPr>
          <w:p w14:paraId="666BD48C">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108°37′24.38″</w:t>
            </w:r>
          </w:p>
        </w:tc>
        <w:tc>
          <w:tcPr>
            <w:tcW w:w="953" w:type="pct"/>
            <w:vAlign w:val="center"/>
          </w:tcPr>
          <w:p w14:paraId="66195CC7">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21°32′04.04″</w:t>
            </w:r>
          </w:p>
        </w:tc>
        <w:tc>
          <w:tcPr>
            <w:tcW w:w="349" w:type="pct"/>
            <w:vAlign w:val="top"/>
          </w:tcPr>
          <w:p w14:paraId="0F9CCE14">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noWrap/>
            <w:vAlign w:val="center"/>
          </w:tcPr>
          <w:p w14:paraId="670A1869">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43" w:type="pct"/>
            <w:noWrap/>
            <w:vAlign w:val="center"/>
          </w:tcPr>
          <w:p w14:paraId="28825999">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07" w:type="pct"/>
            <w:noWrap/>
            <w:vAlign w:val="center"/>
          </w:tcPr>
          <w:p w14:paraId="7DAFA22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51" w:type="pct"/>
            <w:noWrap/>
          </w:tcPr>
          <w:p w14:paraId="16759C0F">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noWrap/>
          </w:tcPr>
          <w:p w14:paraId="17437B10">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0E4261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0A1C1844">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cs="宋体"/>
                <w:color w:val="auto"/>
                <w:kern w:val="0"/>
                <w:szCs w:val="21"/>
                <w:lang w:val="en-US" w:eastAsia="zh-CN"/>
                <w14:ligatures w14:val="none"/>
              </w:rPr>
              <w:t>18#</w:t>
            </w:r>
          </w:p>
        </w:tc>
        <w:tc>
          <w:tcPr>
            <w:tcW w:w="1003" w:type="pct"/>
            <w:vAlign w:val="bottom"/>
          </w:tcPr>
          <w:p w14:paraId="6CE984AF">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108°38'15.11"</w:t>
            </w:r>
          </w:p>
        </w:tc>
        <w:tc>
          <w:tcPr>
            <w:tcW w:w="953" w:type="pct"/>
            <w:vAlign w:val="bottom"/>
          </w:tcPr>
          <w:p w14:paraId="72324CAC">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21°32'3.14"</w:t>
            </w:r>
          </w:p>
        </w:tc>
        <w:tc>
          <w:tcPr>
            <w:tcW w:w="349" w:type="pct"/>
            <w:vAlign w:val="bottom"/>
          </w:tcPr>
          <w:p w14:paraId="3DB6EEB9">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397" w:type="pct"/>
            <w:noWrap/>
            <w:vAlign w:val="bottom"/>
          </w:tcPr>
          <w:p w14:paraId="3DB3B09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c>
          <w:tcPr>
            <w:tcW w:w="543" w:type="pct"/>
            <w:noWrap/>
            <w:vAlign w:val="bottom"/>
          </w:tcPr>
          <w:p w14:paraId="51A83C34">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c>
          <w:tcPr>
            <w:tcW w:w="507" w:type="pct"/>
            <w:noWrap/>
            <w:vAlign w:val="bottom"/>
          </w:tcPr>
          <w:p w14:paraId="1698A44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c>
          <w:tcPr>
            <w:tcW w:w="351" w:type="pct"/>
            <w:noWrap/>
            <w:vAlign w:val="bottom"/>
          </w:tcPr>
          <w:p w14:paraId="4B1B3E26">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468" w:type="pct"/>
            <w:noWrap/>
            <w:vAlign w:val="bottom"/>
          </w:tcPr>
          <w:p w14:paraId="39FB5FB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r>
      <w:tr w14:paraId="1D2172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5066B471">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cs="宋体"/>
                <w:color w:val="auto"/>
                <w:kern w:val="0"/>
                <w:szCs w:val="21"/>
                <w:lang w:val="en-US" w:eastAsia="zh-CN"/>
                <w14:ligatures w14:val="none"/>
              </w:rPr>
              <w:t>19#</w:t>
            </w:r>
          </w:p>
        </w:tc>
        <w:tc>
          <w:tcPr>
            <w:tcW w:w="1003" w:type="pct"/>
            <w:vAlign w:val="bottom"/>
          </w:tcPr>
          <w:p w14:paraId="1FE1DC6B">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108°39'41.52"</w:t>
            </w:r>
          </w:p>
        </w:tc>
        <w:tc>
          <w:tcPr>
            <w:tcW w:w="953" w:type="pct"/>
            <w:vAlign w:val="bottom"/>
          </w:tcPr>
          <w:p w14:paraId="6E78F95C">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21°32'1.08"</w:t>
            </w:r>
          </w:p>
        </w:tc>
        <w:tc>
          <w:tcPr>
            <w:tcW w:w="349" w:type="pct"/>
            <w:vAlign w:val="bottom"/>
          </w:tcPr>
          <w:p w14:paraId="798FAB39">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397" w:type="pct"/>
            <w:noWrap/>
            <w:vAlign w:val="bottom"/>
          </w:tcPr>
          <w:p w14:paraId="005A3201">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543" w:type="pct"/>
            <w:noWrap/>
            <w:vAlign w:val="bottom"/>
          </w:tcPr>
          <w:p w14:paraId="66EDE93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507" w:type="pct"/>
            <w:noWrap/>
            <w:vAlign w:val="bottom"/>
          </w:tcPr>
          <w:p w14:paraId="6414396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351" w:type="pct"/>
            <w:noWrap/>
            <w:vAlign w:val="bottom"/>
          </w:tcPr>
          <w:p w14:paraId="2F14BD7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468" w:type="pct"/>
            <w:noWrap/>
            <w:vAlign w:val="bottom"/>
          </w:tcPr>
          <w:p w14:paraId="772B9D0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r>
      <w:tr w14:paraId="739D24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1237C0DE">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cs="宋体"/>
                <w:color w:val="auto"/>
                <w:kern w:val="0"/>
                <w:szCs w:val="21"/>
                <w:lang w:val="en-US" w:eastAsia="zh-CN"/>
                <w14:ligatures w14:val="none"/>
              </w:rPr>
              <w:t>20#</w:t>
            </w:r>
          </w:p>
        </w:tc>
        <w:tc>
          <w:tcPr>
            <w:tcW w:w="1003" w:type="pct"/>
            <w:vAlign w:val="center"/>
          </w:tcPr>
          <w:p w14:paraId="19FF3A43">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108°41′17.90″</w:t>
            </w:r>
          </w:p>
        </w:tc>
        <w:tc>
          <w:tcPr>
            <w:tcW w:w="953" w:type="pct"/>
            <w:vAlign w:val="center"/>
          </w:tcPr>
          <w:p w14:paraId="39CCAAE6">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21°32′03.12″</w:t>
            </w:r>
          </w:p>
        </w:tc>
        <w:tc>
          <w:tcPr>
            <w:tcW w:w="349" w:type="pct"/>
            <w:vAlign w:val="top"/>
          </w:tcPr>
          <w:p w14:paraId="2AF44C41">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5F51741A">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43" w:type="pct"/>
            <w:vAlign w:val="center"/>
          </w:tcPr>
          <w:p w14:paraId="014D8D3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07" w:type="pct"/>
            <w:vAlign w:val="center"/>
          </w:tcPr>
          <w:p w14:paraId="218752F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51" w:type="pct"/>
          </w:tcPr>
          <w:p w14:paraId="00A28C9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25AD0559">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7A73C3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00656323">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cs="宋体"/>
                <w:color w:val="auto"/>
                <w:kern w:val="0"/>
                <w:szCs w:val="21"/>
                <w:lang w:val="en-US" w:eastAsia="zh-CN"/>
                <w14:ligatures w14:val="none"/>
              </w:rPr>
              <w:t>21</w:t>
            </w:r>
            <w:r>
              <w:rPr>
                <w:rFonts w:hint="eastAsia" w:ascii="宋体" w:hAnsi="宋体" w:eastAsia="宋体" w:cs="宋体"/>
                <w:color w:val="auto"/>
                <w:kern w:val="0"/>
                <w:szCs w:val="21"/>
                <w14:ligatures w14:val="none"/>
              </w:rPr>
              <w:t>#</w:t>
            </w:r>
          </w:p>
        </w:tc>
        <w:tc>
          <w:tcPr>
            <w:tcW w:w="1003" w:type="pct"/>
            <w:vAlign w:val="center"/>
          </w:tcPr>
          <w:p w14:paraId="572D5F5F">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108°33′27.24″</w:t>
            </w:r>
          </w:p>
        </w:tc>
        <w:tc>
          <w:tcPr>
            <w:tcW w:w="953" w:type="pct"/>
            <w:vAlign w:val="center"/>
          </w:tcPr>
          <w:p w14:paraId="4E459FC3">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21°26′26.64″</w:t>
            </w:r>
          </w:p>
        </w:tc>
        <w:tc>
          <w:tcPr>
            <w:tcW w:w="349" w:type="pct"/>
            <w:vAlign w:val="top"/>
          </w:tcPr>
          <w:p w14:paraId="155D1035">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70AB123B">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b/>
                <w:bCs/>
                <w:color w:val="auto"/>
                <w:kern w:val="0"/>
                <w:szCs w:val="21"/>
                <w14:ligatures w14:val="none"/>
              </w:rPr>
              <w:t>√</w:t>
            </w:r>
          </w:p>
        </w:tc>
        <w:tc>
          <w:tcPr>
            <w:tcW w:w="543" w:type="pct"/>
            <w:vAlign w:val="center"/>
          </w:tcPr>
          <w:p w14:paraId="6D730731">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b/>
                <w:bCs/>
                <w:color w:val="auto"/>
                <w:kern w:val="0"/>
                <w:szCs w:val="21"/>
                <w14:ligatures w14:val="none"/>
              </w:rPr>
              <w:t>√</w:t>
            </w:r>
          </w:p>
        </w:tc>
        <w:tc>
          <w:tcPr>
            <w:tcW w:w="507" w:type="pct"/>
            <w:vAlign w:val="center"/>
          </w:tcPr>
          <w:p w14:paraId="7E5E54DE">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b/>
                <w:bCs/>
                <w:color w:val="auto"/>
                <w:kern w:val="0"/>
                <w:szCs w:val="21"/>
                <w14:ligatures w14:val="none"/>
              </w:rPr>
              <w:t>√</w:t>
            </w:r>
          </w:p>
        </w:tc>
        <w:tc>
          <w:tcPr>
            <w:tcW w:w="351" w:type="pct"/>
          </w:tcPr>
          <w:p w14:paraId="54A1B242">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20C40FF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1CE5D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shd w:val="clear" w:color="auto" w:fill="auto"/>
            <w:vAlign w:val="center"/>
          </w:tcPr>
          <w:p w14:paraId="7FCB2136">
            <w:pPr>
              <w:widowControl/>
              <w:spacing w:beforeLines="0" w:afterLines="0" w:line="240" w:lineRule="auto"/>
              <w:ind w:firstLine="0" w:firstLineChars="0"/>
              <w:jc w:val="center"/>
              <w:textAlignment w:val="baseline"/>
              <w:rPr>
                <w:rFonts w:hint="eastAsia" w:ascii="宋体" w:hAnsi="宋体" w:eastAsia="宋体" w:cs="宋体"/>
                <w:color w:val="auto"/>
                <w:kern w:val="0"/>
                <w:sz w:val="21"/>
                <w:szCs w:val="21"/>
                <w:lang w:val="en-US" w:eastAsia="zh-CN" w:bidi="ar-SA"/>
                <w14:ligatures w14:val="none"/>
              </w:rPr>
            </w:pPr>
            <w:r>
              <w:rPr>
                <w:rFonts w:hint="eastAsia" w:ascii="宋体" w:hAnsi="宋体" w:cs="宋体"/>
                <w:color w:val="auto"/>
                <w:kern w:val="0"/>
                <w:szCs w:val="21"/>
                <w:lang w:val="en-US" w:eastAsia="zh-CN"/>
                <w14:ligatures w14:val="none"/>
              </w:rPr>
              <w:t>22</w:t>
            </w:r>
            <w:r>
              <w:rPr>
                <w:rFonts w:hint="eastAsia" w:ascii="宋体" w:hAnsi="宋体" w:eastAsia="宋体" w:cs="宋体"/>
                <w:color w:val="auto"/>
                <w:kern w:val="0"/>
                <w:szCs w:val="21"/>
                <w14:ligatures w14:val="none"/>
              </w:rPr>
              <w:t>#</w:t>
            </w:r>
          </w:p>
        </w:tc>
        <w:tc>
          <w:tcPr>
            <w:tcW w:w="1003" w:type="pct"/>
            <w:vAlign w:val="bottom"/>
          </w:tcPr>
          <w:p w14:paraId="7F8E6A49">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108°35'24.56"</w:t>
            </w:r>
          </w:p>
        </w:tc>
        <w:tc>
          <w:tcPr>
            <w:tcW w:w="953" w:type="pct"/>
            <w:vAlign w:val="bottom"/>
          </w:tcPr>
          <w:p w14:paraId="35B226D7">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21°26'21.40"</w:t>
            </w:r>
          </w:p>
        </w:tc>
        <w:tc>
          <w:tcPr>
            <w:tcW w:w="349" w:type="pct"/>
            <w:vAlign w:val="bottom"/>
          </w:tcPr>
          <w:p w14:paraId="2FDAD14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397" w:type="pct"/>
            <w:vAlign w:val="bottom"/>
          </w:tcPr>
          <w:p w14:paraId="202D35D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543" w:type="pct"/>
            <w:vAlign w:val="bottom"/>
          </w:tcPr>
          <w:p w14:paraId="4A7C9D31">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c>
          <w:tcPr>
            <w:tcW w:w="507" w:type="pct"/>
            <w:vAlign w:val="bottom"/>
          </w:tcPr>
          <w:p w14:paraId="5BEE9243">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c>
          <w:tcPr>
            <w:tcW w:w="351" w:type="pct"/>
            <w:vAlign w:val="bottom"/>
          </w:tcPr>
          <w:p w14:paraId="0B4108C4">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468" w:type="pct"/>
          </w:tcPr>
          <w:p w14:paraId="7140A610">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38A49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shd w:val="clear" w:color="auto" w:fill="auto"/>
            <w:vAlign w:val="center"/>
          </w:tcPr>
          <w:p w14:paraId="47B0914A">
            <w:pPr>
              <w:widowControl/>
              <w:spacing w:beforeLines="0" w:afterLines="0" w:line="240" w:lineRule="auto"/>
              <w:ind w:firstLine="0" w:firstLineChars="0"/>
              <w:jc w:val="center"/>
              <w:textAlignment w:val="baseline"/>
              <w:rPr>
                <w:rFonts w:hint="eastAsia" w:ascii="宋体" w:hAnsi="宋体" w:eastAsia="宋体" w:cs="宋体"/>
                <w:color w:val="auto"/>
                <w:kern w:val="0"/>
                <w:sz w:val="21"/>
                <w:szCs w:val="21"/>
                <w:lang w:val="en-US" w:eastAsia="zh-CN" w:bidi="ar-SA"/>
                <w14:ligatures w14:val="none"/>
              </w:rPr>
            </w:pPr>
            <w:r>
              <w:rPr>
                <w:rFonts w:hint="eastAsia" w:ascii="宋体" w:hAnsi="宋体" w:cs="宋体"/>
                <w:color w:val="auto"/>
                <w:kern w:val="0"/>
                <w:szCs w:val="21"/>
                <w:lang w:val="en-US" w:eastAsia="zh-CN"/>
                <w14:ligatures w14:val="none"/>
              </w:rPr>
              <w:t>23</w:t>
            </w:r>
            <w:r>
              <w:rPr>
                <w:rFonts w:hint="eastAsia" w:ascii="宋体" w:hAnsi="宋体" w:eastAsia="宋体" w:cs="宋体"/>
                <w:color w:val="auto"/>
                <w:kern w:val="0"/>
                <w:szCs w:val="21"/>
                <w14:ligatures w14:val="none"/>
              </w:rPr>
              <w:t>#</w:t>
            </w:r>
          </w:p>
        </w:tc>
        <w:tc>
          <w:tcPr>
            <w:tcW w:w="1003" w:type="pct"/>
            <w:vAlign w:val="center"/>
          </w:tcPr>
          <w:p w14:paraId="1645B455">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108°37′22.94″</w:t>
            </w:r>
          </w:p>
        </w:tc>
        <w:tc>
          <w:tcPr>
            <w:tcW w:w="953" w:type="pct"/>
            <w:vAlign w:val="center"/>
          </w:tcPr>
          <w:p w14:paraId="3F7B7EA9">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21°26′25.81″</w:t>
            </w:r>
          </w:p>
        </w:tc>
        <w:tc>
          <w:tcPr>
            <w:tcW w:w="349" w:type="pct"/>
            <w:vAlign w:val="top"/>
          </w:tcPr>
          <w:p w14:paraId="710AB3F3">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1DB1FF8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43" w:type="pct"/>
            <w:vAlign w:val="center"/>
          </w:tcPr>
          <w:p w14:paraId="3F0A5E1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07" w:type="pct"/>
            <w:vAlign w:val="center"/>
          </w:tcPr>
          <w:p w14:paraId="1BE2D88C">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51" w:type="pct"/>
          </w:tcPr>
          <w:p w14:paraId="6E70918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49D67214">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6AEB8C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shd w:val="clear" w:color="auto" w:fill="auto"/>
            <w:vAlign w:val="center"/>
          </w:tcPr>
          <w:p w14:paraId="37C42BDE">
            <w:pPr>
              <w:widowControl/>
              <w:spacing w:beforeLines="0" w:afterLines="0" w:line="240" w:lineRule="auto"/>
              <w:ind w:firstLine="0" w:firstLineChars="0"/>
              <w:jc w:val="center"/>
              <w:textAlignment w:val="baseline"/>
              <w:rPr>
                <w:rFonts w:hint="default" w:ascii="宋体" w:hAnsi="宋体" w:eastAsia="宋体" w:cs="宋体"/>
                <w:color w:val="auto"/>
                <w:kern w:val="0"/>
                <w:sz w:val="21"/>
                <w:szCs w:val="21"/>
                <w:lang w:val="en-US" w:eastAsia="zh-CN" w:bidi="ar-SA"/>
                <w14:ligatures w14:val="none"/>
              </w:rPr>
            </w:pPr>
            <w:r>
              <w:rPr>
                <w:rFonts w:hint="eastAsia" w:ascii="宋体" w:hAnsi="宋体" w:cs="宋体"/>
                <w:color w:val="auto"/>
                <w:kern w:val="0"/>
                <w:szCs w:val="21"/>
                <w:lang w:val="en-US" w:eastAsia="zh-CN"/>
                <w14:ligatures w14:val="none"/>
              </w:rPr>
              <w:t>24</w:t>
            </w:r>
            <w:r>
              <w:rPr>
                <w:rFonts w:hint="eastAsia" w:ascii="宋体" w:hAnsi="宋体" w:eastAsia="宋体" w:cs="宋体"/>
                <w:color w:val="auto"/>
                <w:kern w:val="0"/>
                <w:szCs w:val="21"/>
                <w14:ligatures w14:val="none"/>
              </w:rPr>
              <w:t>#</w:t>
            </w:r>
          </w:p>
        </w:tc>
        <w:tc>
          <w:tcPr>
            <w:tcW w:w="1003" w:type="pct"/>
            <w:vAlign w:val="bottom"/>
          </w:tcPr>
          <w:p w14:paraId="0A0A6889">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108°38'35.68"</w:t>
            </w:r>
          </w:p>
        </w:tc>
        <w:tc>
          <w:tcPr>
            <w:tcW w:w="953" w:type="pct"/>
            <w:vAlign w:val="bottom"/>
          </w:tcPr>
          <w:p w14:paraId="09238F11">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21°26'24.14"</w:t>
            </w:r>
          </w:p>
        </w:tc>
        <w:tc>
          <w:tcPr>
            <w:tcW w:w="349" w:type="pct"/>
            <w:vAlign w:val="bottom"/>
          </w:tcPr>
          <w:p w14:paraId="3F39C4ED">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397" w:type="pct"/>
            <w:vAlign w:val="bottom"/>
          </w:tcPr>
          <w:p w14:paraId="5415DFC5">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c>
          <w:tcPr>
            <w:tcW w:w="543" w:type="pct"/>
            <w:vAlign w:val="bottom"/>
          </w:tcPr>
          <w:p w14:paraId="52DE23D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c>
          <w:tcPr>
            <w:tcW w:w="507" w:type="pct"/>
            <w:vAlign w:val="bottom"/>
          </w:tcPr>
          <w:p w14:paraId="7BA173F0">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c>
          <w:tcPr>
            <w:tcW w:w="351" w:type="pct"/>
            <w:vAlign w:val="bottom"/>
          </w:tcPr>
          <w:p w14:paraId="747E15AF">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468" w:type="pct"/>
            <w:vAlign w:val="bottom"/>
          </w:tcPr>
          <w:p w14:paraId="16A9A685">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r>
      <w:tr w14:paraId="47A6CF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shd w:val="clear" w:color="auto" w:fill="auto"/>
            <w:vAlign w:val="center"/>
          </w:tcPr>
          <w:p w14:paraId="3E8B79CC">
            <w:pPr>
              <w:widowControl/>
              <w:spacing w:beforeLines="0" w:afterLines="0" w:line="240" w:lineRule="auto"/>
              <w:ind w:firstLine="0" w:firstLineChars="0"/>
              <w:jc w:val="center"/>
              <w:textAlignment w:val="baseline"/>
              <w:rPr>
                <w:rFonts w:hint="eastAsia" w:ascii="宋体" w:hAnsi="宋体" w:eastAsia="宋体" w:cs="宋体"/>
                <w:color w:val="auto"/>
                <w:kern w:val="0"/>
                <w:sz w:val="21"/>
                <w:szCs w:val="21"/>
                <w:lang w:val="en-US" w:eastAsia="zh-CN" w:bidi="ar-SA"/>
                <w14:ligatures w14:val="none"/>
              </w:rPr>
            </w:pPr>
            <w:r>
              <w:rPr>
                <w:rFonts w:hint="eastAsia" w:ascii="宋体" w:hAnsi="宋体" w:cs="宋体"/>
                <w:color w:val="auto"/>
                <w:kern w:val="0"/>
                <w:szCs w:val="21"/>
                <w:lang w:val="en-US" w:eastAsia="zh-CN"/>
                <w14:ligatures w14:val="none"/>
              </w:rPr>
              <w:t>25</w:t>
            </w:r>
            <w:r>
              <w:rPr>
                <w:rFonts w:hint="eastAsia" w:ascii="宋体" w:hAnsi="宋体" w:eastAsia="宋体" w:cs="宋体"/>
                <w:color w:val="auto"/>
                <w:kern w:val="0"/>
                <w:szCs w:val="21"/>
                <w14:ligatures w14:val="none"/>
              </w:rPr>
              <w:t>#</w:t>
            </w:r>
          </w:p>
        </w:tc>
        <w:tc>
          <w:tcPr>
            <w:tcW w:w="1003" w:type="pct"/>
            <w:vAlign w:val="bottom"/>
          </w:tcPr>
          <w:p w14:paraId="0B5C9F67">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108°39'52.86"</w:t>
            </w:r>
          </w:p>
        </w:tc>
        <w:tc>
          <w:tcPr>
            <w:tcW w:w="953" w:type="pct"/>
            <w:vAlign w:val="bottom"/>
          </w:tcPr>
          <w:p w14:paraId="4BC042F2">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21°26'23.84"</w:t>
            </w:r>
          </w:p>
        </w:tc>
        <w:tc>
          <w:tcPr>
            <w:tcW w:w="349" w:type="pct"/>
            <w:vAlign w:val="bottom"/>
          </w:tcPr>
          <w:p w14:paraId="04B352F9">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397" w:type="pct"/>
            <w:vAlign w:val="bottom"/>
          </w:tcPr>
          <w:p w14:paraId="63197657">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543" w:type="pct"/>
            <w:vAlign w:val="bottom"/>
          </w:tcPr>
          <w:p w14:paraId="3205532A">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c>
          <w:tcPr>
            <w:tcW w:w="507" w:type="pct"/>
            <w:vAlign w:val="bottom"/>
          </w:tcPr>
          <w:p w14:paraId="46AAFE53">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c>
          <w:tcPr>
            <w:tcW w:w="351" w:type="pct"/>
            <w:vAlign w:val="bottom"/>
          </w:tcPr>
          <w:p w14:paraId="3028198A">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w:t>
            </w:r>
          </w:p>
        </w:tc>
        <w:tc>
          <w:tcPr>
            <w:tcW w:w="468" w:type="pct"/>
            <w:vAlign w:val="bottom"/>
          </w:tcPr>
          <w:p w14:paraId="65451B65">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lang w:val="en-US" w:eastAsia="zh-CN"/>
                <w14:ligatures w14:val="none"/>
              </w:rPr>
            </w:pPr>
            <w:r>
              <w:rPr>
                <w:rFonts w:hint="default" w:ascii="宋体" w:hAnsi="宋体" w:eastAsia="宋体" w:cs="宋体"/>
                <w:b/>
                <w:bCs/>
                <w:color w:val="auto"/>
                <w:kern w:val="0"/>
                <w:szCs w:val="21"/>
                <w:lang w:val="en-US" w:eastAsia="zh-CN"/>
                <w14:ligatures w14:val="none"/>
              </w:rPr>
              <w:t xml:space="preserve"> </w:t>
            </w:r>
          </w:p>
        </w:tc>
      </w:tr>
      <w:tr w14:paraId="53D216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shd w:val="clear" w:color="auto" w:fill="auto"/>
            <w:vAlign w:val="center"/>
          </w:tcPr>
          <w:p w14:paraId="34F58AEB">
            <w:pPr>
              <w:widowControl/>
              <w:spacing w:beforeLines="0" w:afterLines="0" w:line="240" w:lineRule="auto"/>
              <w:ind w:firstLine="0" w:firstLineChars="0"/>
              <w:jc w:val="center"/>
              <w:textAlignment w:val="baseline"/>
              <w:rPr>
                <w:rFonts w:hint="eastAsia" w:ascii="宋体" w:hAnsi="宋体" w:eastAsia="宋体" w:cs="宋体"/>
                <w:color w:val="auto"/>
                <w:kern w:val="0"/>
                <w:sz w:val="21"/>
                <w:szCs w:val="21"/>
                <w:lang w:val="en-US" w:eastAsia="zh-CN" w:bidi="ar-SA"/>
                <w14:ligatures w14:val="none"/>
              </w:rPr>
            </w:pPr>
            <w:r>
              <w:rPr>
                <w:rFonts w:hint="eastAsia" w:ascii="宋体" w:hAnsi="宋体" w:cs="宋体"/>
                <w:color w:val="auto"/>
                <w:kern w:val="0"/>
                <w:szCs w:val="21"/>
                <w:lang w:val="en-US" w:eastAsia="zh-CN"/>
                <w14:ligatures w14:val="none"/>
              </w:rPr>
              <w:t>26</w:t>
            </w:r>
            <w:r>
              <w:rPr>
                <w:rFonts w:hint="eastAsia" w:ascii="宋体" w:hAnsi="宋体" w:eastAsia="宋体" w:cs="宋体"/>
                <w:color w:val="auto"/>
                <w:kern w:val="0"/>
                <w:szCs w:val="21"/>
                <w14:ligatures w14:val="none"/>
              </w:rPr>
              <w:t>#</w:t>
            </w:r>
          </w:p>
        </w:tc>
        <w:tc>
          <w:tcPr>
            <w:tcW w:w="1003" w:type="pct"/>
            <w:vAlign w:val="center"/>
          </w:tcPr>
          <w:p w14:paraId="68953CCC">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108°41′16.31″</w:t>
            </w:r>
          </w:p>
        </w:tc>
        <w:tc>
          <w:tcPr>
            <w:tcW w:w="953" w:type="pct"/>
            <w:vAlign w:val="center"/>
          </w:tcPr>
          <w:p w14:paraId="78C2A951">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21°26′24.90″</w:t>
            </w:r>
          </w:p>
        </w:tc>
        <w:tc>
          <w:tcPr>
            <w:tcW w:w="349" w:type="pct"/>
            <w:vAlign w:val="top"/>
          </w:tcPr>
          <w:p w14:paraId="5C7E887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728" w:type="dxa"/>
            <w:vAlign w:val="center"/>
          </w:tcPr>
          <w:p w14:paraId="35F9D9FF">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996" w:type="dxa"/>
            <w:vAlign w:val="center"/>
          </w:tcPr>
          <w:p w14:paraId="4E3066A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930" w:type="dxa"/>
            <w:vAlign w:val="center"/>
          </w:tcPr>
          <w:p w14:paraId="17334830">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51" w:type="pct"/>
          </w:tcPr>
          <w:p w14:paraId="490E0D1C">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09BC65E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4ACFDE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shd w:val="clear" w:color="auto" w:fill="auto"/>
            <w:vAlign w:val="center"/>
          </w:tcPr>
          <w:p w14:paraId="54D7BC63">
            <w:pPr>
              <w:widowControl/>
              <w:spacing w:beforeLines="0" w:afterLines="0" w:line="240" w:lineRule="auto"/>
              <w:ind w:firstLine="0" w:firstLineChars="0"/>
              <w:jc w:val="center"/>
              <w:textAlignment w:val="baseline"/>
              <w:rPr>
                <w:rFonts w:hint="eastAsia" w:ascii="宋体" w:hAnsi="宋体" w:eastAsia="宋体" w:cs="宋体"/>
                <w:color w:val="auto"/>
                <w:kern w:val="0"/>
                <w:sz w:val="21"/>
                <w:szCs w:val="21"/>
                <w:lang w:val="en-US" w:eastAsia="zh-CN" w:bidi="ar-SA"/>
                <w14:ligatures w14:val="none"/>
              </w:rPr>
            </w:pPr>
            <w:r>
              <w:rPr>
                <w:rFonts w:hint="eastAsia" w:ascii="宋体" w:hAnsi="宋体" w:cs="宋体"/>
                <w:color w:val="auto"/>
                <w:kern w:val="0"/>
                <w:szCs w:val="21"/>
                <w:lang w:val="en-US" w:eastAsia="zh-CN"/>
                <w14:ligatures w14:val="none"/>
              </w:rPr>
              <w:t>27</w:t>
            </w:r>
            <w:r>
              <w:rPr>
                <w:rFonts w:hint="eastAsia" w:ascii="宋体" w:hAnsi="宋体" w:eastAsia="宋体" w:cs="宋体"/>
                <w:color w:val="auto"/>
                <w:kern w:val="0"/>
                <w:szCs w:val="21"/>
                <w14:ligatures w14:val="none"/>
              </w:rPr>
              <w:t>#</w:t>
            </w:r>
          </w:p>
        </w:tc>
        <w:tc>
          <w:tcPr>
            <w:tcW w:w="1003" w:type="pct"/>
            <w:vAlign w:val="center"/>
          </w:tcPr>
          <w:p w14:paraId="042A08FC">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108°33′25.79″</w:t>
            </w:r>
          </w:p>
        </w:tc>
        <w:tc>
          <w:tcPr>
            <w:tcW w:w="953" w:type="pct"/>
            <w:vAlign w:val="center"/>
          </w:tcPr>
          <w:p w14:paraId="1050EB34">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21°20′04.44″</w:t>
            </w:r>
          </w:p>
        </w:tc>
        <w:tc>
          <w:tcPr>
            <w:tcW w:w="349" w:type="pct"/>
            <w:vAlign w:val="top"/>
          </w:tcPr>
          <w:p w14:paraId="2EFA7C7C">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793CD4C0">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43" w:type="pct"/>
            <w:vAlign w:val="center"/>
          </w:tcPr>
          <w:p w14:paraId="5785935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507" w:type="pct"/>
            <w:vAlign w:val="center"/>
          </w:tcPr>
          <w:p w14:paraId="23D56C77">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51" w:type="pct"/>
          </w:tcPr>
          <w:p w14:paraId="335ABDE1">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139ACE6F">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407AB9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shd w:val="clear" w:color="auto" w:fill="auto"/>
            <w:vAlign w:val="center"/>
          </w:tcPr>
          <w:p w14:paraId="60480A05">
            <w:pPr>
              <w:widowControl/>
              <w:spacing w:beforeLines="0" w:afterLines="0" w:line="240" w:lineRule="auto"/>
              <w:ind w:firstLine="0" w:firstLineChars="0"/>
              <w:jc w:val="center"/>
              <w:textAlignment w:val="baseline"/>
              <w:rPr>
                <w:rFonts w:hint="eastAsia" w:ascii="宋体" w:hAnsi="宋体" w:eastAsia="宋体" w:cs="宋体"/>
                <w:color w:val="auto"/>
                <w:kern w:val="0"/>
                <w:sz w:val="21"/>
                <w:szCs w:val="21"/>
                <w:lang w:val="en-US" w:eastAsia="zh-CN" w:bidi="ar-SA"/>
                <w14:ligatures w14:val="none"/>
              </w:rPr>
            </w:pPr>
            <w:r>
              <w:rPr>
                <w:rFonts w:hint="eastAsia" w:ascii="宋体" w:hAnsi="宋体" w:cs="宋体"/>
                <w:color w:val="auto"/>
                <w:kern w:val="0"/>
                <w:szCs w:val="21"/>
                <w:lang w:val="en-US" w:eastAsia="zh-CN"/>
                <w14:ligatures w14:val="none"/>
              </w:rPr>
              <w:t>28</w:t>
            </w:r>
            <w:r>
              <w:rPr>
                <w:rFonts w:hint="eastAsia" w:ascii="宋体" w:hAnsi="宋体" w:eastAsia="宋体" w:cs="宋体"/>
                <w:color w:val="auto"/>
                <w:kern w:val="0"/>
                <w:szCs w:val="21"/>
                <w14:ligatures w14:val="none"/>
              </w:rPr>
              <w:t>#</w:t>
            </w:r>
          </w:p>
        </w:tc>
        <w:tc>
          <w:tcPr>
            <w:tcW w:w="1003" w:type="pct"/>
            <w:vAlign w:val="center"/>
          </w:tcPr>
          <w:p w14:paraId="4C44955C">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108°37′21.32″</w:t>
            </w:r>
          </w:p>
        </w:tc>
        <w:tc>
          <w:tcPr>
            <w:tcW w:w="953" w:type="pct"/>
            <w:vAlign w:val="center"/>
          </w:tcPr>
          <w:p w14:paraId="105805E6">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21°20′03.62″</w:t>
            </w:r>
          </w:p>
        </w:tc>
        <w:tc>
          <w:tcPr>
            <w:tcW w:w="349" w:type="pct"/>
            <w:vAlign w:val="top"/>
          </w:tcPr>
          <w:p w14:paraId="70DEEB2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77C0247D">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43" w:type="pct"/>
            <w:vAlign w:val="center"/>
          </w:tcPr>
          <w:p w14:paraId="48033EEC">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507" w:type="pct"/>
            <w:vAlign w:val="center"/>
          </w:tcPr>
          <w:p w14:paraId="65D35378">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c>
          <w:tcPr>
            <w:tcW w:w="351" w:type="pct"/>
          </w:tcPr>
          <w:p w14:paraId="71C7A95B">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1886877E">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6C2D08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4" w:type="pct"/>
            <w:vAlign w:val="center"/>
          </w:tcPr>
          <w:p w14:paraId="7C1D550E">
            <w:pPr>
              <w:widowControl/>
              <w:spacing w:beforeLines="0" w:afterLines="0" w:line="240" w:lineRule="auto"/>
              <w:ind w:firstLine="0" w:firstLineChars="0"/>
              <w:jc w:val="center"/>
              <w:textAlignment w:val="baseline"/>
              <w:rPr>
                <w:rFonts w:hint="default" w:ascii="宋体" w:hAnsi="宋体" w:eastAsia="宋体" w:cs="宋体"/>
                <w:color w:val="auto"/>
                <w:kern w:val="0"/>
                <w:szCs w:val="21"/>
                <w:lang w:val="en-US" w:eastAsia="zh-CN"/>
                <w14:ligatures w14:val="none"/>
              </w:rPr>
            </w:pPr>
            <w:r>
              <w:rPr>
                <w:rFonts w:hint="eastAsia" w:ascii="宋体" w:hAnsi="宋体" w:cs="宋体"/>
                <w:color w:val="auto"/>
                <w:kern w:val="0"/>
                <w:szCs w:val="21"/>
                <w:lang w:val="en-US" w:eastAsia="zh-CN"/>
                <w14:ligatures w14:val="none"/>
              </w:rPr>
              <w:t>29</w:t>
            </w:r>
            <w:r>
              <w:rPr>
                <w:rFonts w:hint="eastAsia" w:ascii="宋体" w:hAnsi="宋体" w:eastAsia="宋体" w:cs="宋体"/>
                <w:color w:val="auto"/>
                <w:kern w:val="0"/>
                <w:szCs w:val="21"/>
                <w14:ligatures w14:val="none"/>
              </w:rPr>
              <w:t>#</w:t>
            </w:r>
          </w:p>
        </w:tc>
        <w:tc>
          <w:tcPr>
            <w:tcW w:w="1003" w:type="pct"/>
            <w:vAlign w:val="center"/>
          </w:tcPr>
          <w:p w14:paraId="0FD2DA5C">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108°41′14.52″</w:t>
            </w:r>
          </w:p>
        </w:tc>
        <w:tc>
          <w:tcPr>
            <w:tcW w:w="953" w:type="pct"/>
            <w:vAlign w:val="center"/>
          </w:tcPr>
          <w:p w14:paraId="7BEC6FFD">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21°20′02.71″</w:t>
            </w:r>
          </w:p>
        </w:tc>
        <w:tc>
          <w:tcPr>
            <w:tcW w:w="349" w:type="pct"/>
            <w:vAlign w:val="top"/>
          </w:tcPr>
          <w:p w14:paraId="7565AE2F">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b/>
                <w:bCs/>
                <w:color w:val="auto"/>
                <w:kern w:val="0"/>
                <w:szCs w:val="21"/>
                <w14:ligatures w14:val="none"/>
              </w:rPr>
              <w:t>√</w:t>
            </w:r>
          </w:p>
        </w:tc>
        <w:tc>
          <w:tcPr>
            <w:tcW w:w="397" w:type="pct"/>
            <w:vAlign w:val="center"/>
          </w:tcPr>
          <w:p w14:paraId="21254418">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b/>
                <w:bCs/>
                <w:color w:val="auto"/>
                <w:kern w:val="0"/>
                <w:szCs w:val="21"/>
                <w14:ligatures w14:val="none"/>
              </w:rPr>
              <w:t>√</w:t>
            </w:r>
          </w:p>
        </w:tc>
        <w:tc>
          <w:tcPr>
            <w:tcW w:w="543" w:type="pct"/>
            <w:vAlign w:val="center"/>
          </w:tcPr>
          <w:p w14:paraId="5AA270FF">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b/>
                <w:bCs/>
                <w:color w:val="auto"/>
                <w:kern w:val="0"/>
                <w:szCs w:val="21"/>
                <w14:ligatures w14:val="none"/>
              </w:rPr>
              <w:t>√</w:t>
            </w:r>
          </w:p>
        </w:tc>
        <w:tc>
          <w:tcPr>
            <w:tcW w:w="507" w:type="pct"/>
            <w:vAlign w:val="center"/>
          </w:tcPr>
          <w:p w14:paraId="23465B10">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b/>
                <w:bCs/>
                <w:color w:val="auto"/>
                <w:kern w:val="0"/>
                <w:szCs w:val="21"/>
                <w14:ligatures w14:val="none"/>
              </w:rPr>
              <w:t>√</w:t>
            </w:r>
          </w:p>
        </w:tc>
        <w:tc>
          <w:tcPr>
            <w:tcW w:w="351" w:type="pct"/>
          </w:tcPr>
          <w:p w14:paraId="0D1EB960">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r>
              <w:rPr>
                <w:rFonts w:hint="eastAsia" w:ascii="宋体" w:hAnsi="宋体" w:eastAsia="宋体" w:cs="宋体"/>
                <w:b/>
                <w:bCs/>
                <w:color w:val="auto"/>
                <w:kern w:val="0"/>
                <w:szCs w:val="21"/>
                <w14:ligatures w14:val="none"/>
              </w:rPr>
              <w:t>√</w:t>
            </w:r>
          </w:p>
        </w:tc>
        <w:tc>
          <w:tcPr>
            <w:tcW w:w="468" w:type="pct"/>
          </w:tcPr>
          <w:p w14:paraId="6F237D42">
            <w:pPr>
              <w:widowControl/>
              <w:spacing w:beforeLines="0" w:afterLines="0" w:line="240" w:lineRule="auto"/>
              <w:ind w:firstLine="0" w:firstLineChars="0"/>
              <w:jc w:val="center"/>
              <w:textAlignment w:val="baseline"/>
              <w:rPr>
                <w:rFonts w:hint="eastAsia" w:ascii="宋体" w:hAnsi="宋体" w:eastAsia="宋体" w:cs="宋体"/>
                <w:b/>
                <w:bCs/>
                <w:color w:val="auto"/>
                <w:kern w:val="0"/>
                <w:szCs w:val="21"/>
                <w14:ligatures w14:val="none"/>
              </w:rPr>
            </w:pPr>
          </w:p>
        </w:tc>
      </w:tr>
      <w:tr w14:paraId="10B94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24" w:type="pct"/>
            <w:vAlign w:val="center"/>
          </w:tcPr>
          <w:p w14:paraId="006B5FA9">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color w:val="auto"/>
                <w:kern w:val="0"/>
                <w:szCs w:val="21"/>
                <w14:ligatures w14:val="none"/>
              </w:rPr>
              <w:t>CJD1</w:t>
            </w:r>
          </w:p>
        </w:tc>
        <w:tc>
          <w:tcPr>
            <w:tcW w:w="1003" w:type="pct"/>
            <w:vAlign w:val="center"/>
          </w:tcPr>
          <w:p w14:paraId="3D409FA2">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108°34′17.00″</w:t>
            </w:r>
          </w:p>
        </w:tc>
        <w:tc>
          <w:tcPr>
            <w:tcW w:w="953" w:type="pct"/>
            <w:vAlign w:val="center"/>
          </w:tcPr>
          <w:p w14:paraId="21AF5DA6">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21°41′16.23″</w:t>
            </w:r>
          </w:p>
        </w:tc>
        <w:tc>
          <w:tcPr>
            <w:tcW w:w="2618" w:type="pct"/>
            <w:gridSpan w:val="6"/>
            <w:vMerge w:val="restart"/>
            <w:vAlign w:val="center"/>
          </w:tcPr>
          <w:p w14:paraId="3DF1E846">
            <w:pPr>
              <w:autoSpaceDE/>
              <w:autoSpaceDN/>
              <w:spacing w:beforeLines="0" w:afterLines="0" w:line="240" w:lineRule="auto"/>
              <w:ind w:firstLine="0" w:firstLineChars="0"/>
              <w:rPr>
                <w:rFonts w:hint="eastAsia" w:ascii="宋体" w:hAnsi="宋体" w:eastAsia="宋体" w:cs="宋体"/>
                <w:color w:val="auto"/>
                <w:szCs w:val="21"/>
                <w14:ligatures w14:val="none"/>
              </w:rPr>
            </w:pPr>
            <w:r>
              <w:rPr>
                <w:rFonts w:hint="eastAsia" w:ascii="宋体" w:hAnsi="宋体" w:eastAsia="宋体" w:cs="宋体"/>
                <w:color w:val="auto"/>
                <w:szCs w:val="21"/>
                <w14:ligatures w14:val="none"/>
              </w:rPr>
              <w:t>图中断面位置及长度仅作参考，</w:t>
            </w:r>
            <w:r>
              <w:rPr>
                <w:rFonts w:hint="eastAsia" w:ascii="宋体" w:hAnsi="宋体" w:eastAsia="宋体" w:cs="宋体"/>
                <w:color w:val="auto"/>
                <w:szCs w:val="21"/>
                <w:lang w:val="en-US" w:eastAsia="zh-CN"/>
                <w14:ligatures w14:val="none"/>
              </w:rPr>
              <w:t>调查阶段应</w:t>
            </w:r>
            <w:r>
              <w:rPr>
                <w:rFonts w:hint="eastAsia" w:ascii="宋体" w:hAnsi="宋体" w:eastAsia="宋体" w:cs="宋体"/>
                <w:color w:val="auto"/>
                <w:szCs w:val="21"/>
                <w14:ligatures w14:val="none"/>
              </w:rPr>
              <w:t>根据实际情况调整，并记录取样点坐标。</w:t>
            </w:r>
          </w:p>
          <w:p w14:paraId="7160636C">
            <w:pPr>
              <w:autoSpaceDE/>
              <w:autoSpaceDN/>
              <w:spacing w:beforeLines="0" w:afterLines="0" w:line="240" w:lineRule="auto"/>
              <w:ind w:firstLine="0" w:firstLineChars="0"/>
              <w:rPr>
                <w:rFonts w:hint="eastAsia" w:ascii="宋体" w:hAnsi="宋体" w:eastAsia="宋体" w:cs="宋体"/>
                <w:color w:val="auto"/>
                <w:szCs w:val="21"/>
                <w14:ligatures w14:val="none"/>
              </w:rPr>
            </w:pPr>
            <w:r>
              <w:rPr>
                <w:rFonts w:hint="eastAsia" w:ascii="宋体" w:hAnsi="宋体" w:eastAsia="宋体" w:cs="宋体"/>
                <w:b/>
                <w:bCs/>
                <w:color w:val="auto"/>
                <w:szCs w:val="21"/>
                <w14:ligatures w14:val="none"/>
              </w:rPr>
              <w:t>潮间带生物</w:t>
            </w:r>
            <w:r>
              <w:rPr>
                <w:rFonts w:hint="eastAsia" w:ascii="宋体" w:hAnsi="宋体" w:eastAsia="宋体" w:cs="宋体"/>
                <w:color w:val="auto"/>
                <w:szCs w:val="21"/>
                <w14:ligatures w14:val="none"/>
              </w:rPr>
              <w:t>：每条断面各取高潮区、中潮区、低潮区三个点取样。</w:t>
            </w:r>
          </w:p>
          <w:p w14:paraId="05CD2ED4">
            <w:pPr>
              <w:widowControl/>
              <w:spacing w:beforeLines="0" w:afterLines="0" w:line="240" w:lineRule="auto"/>
              <w:ind w:firstLine="0" w:firstLineChars="0"/>
              <w:textAlignment w:val="baseline"/>
              <w:rPr>
                <w:rFonts w:hint="eastAsia" w:ascii="宋体" w:hAnsi="宋体" w:eastAsia="宋体" w:cs="宋体"/>
                <w:b/>
                <w:bCs/>
                <w:color w:val="auto"/>
                <w:szCs w:val="21"/>
                <w14:ligatures w14:val="none"/>
              </w:rPr>
            </w:pPr>
            <w:r>
              <w:rPr>
                <w:rFonts w:hint="eastAsia" w:ascii="宋体" w:hAnsi="宋体" w:eastAsia="宋体" w:cs="宋体"/>
                <w:b/>
                <w:bCs/>
                <w:color w:val="auto"/>
                <w:szCs w:val="21"/>
                <w14:ligatures w14:val="none"/>
              </w:rPr>
              <w:t>潮间带沉积物</w:t>
            </w:r>
            <w:r>
              <w:rPr>
                <w:rFonts w:hint="eastAsia" w:ascii="宋体" w:hAnsi="宋体" w:eastAsia="宋体" w:cs="宋体"/>
                <w:color w:val="auto"/>
                <w:szCs w:val="21"/>
                <w14:ligatures w14:val="none"/>
              </w:rPr>
              <w:t>：每条潮间带各取1个站位取样。</w:t>
            </w:r>
          </w:p>
        </w:tc>
      </w:tr>
      <w:tr w14:paraId="4166B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24" w:type="pct"/>
            <w:vAlign w:val="center"/>
          </w:tcPr>
          <w:p w14:paraId="0014BE27">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r>
              <w:rPr>
                <w:rFonts w:hint="eastAsia" w:ascii="宋体" w:hAnsi="宋体" w:eastAsia="宋体" w:cs="宋体"/>
                <w:color w:val="auto"/>
                <w:kern w:val="0"/>
                <w:szCs w:val="21"/>
                <w14:ligatures w14:val="none"/>
              </w:rPr>
              <w:t>CJD2</w:t>
            </w:r>
          </w:p>
        </w:tc>
        <w:tc>
          <w:tcPr>
            <w:tcW w:w="1003" w:type="pct"/>
            <w:vAlign w:val="center"/>
          </w:tcPr>
          <w:p w14:paraId="6B777D04">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108°38′58.75″</w:t>
            </w:r>
          </w:p>
        </w:tc>
        <w:tc>
          <w:tcPr>
            <w:tcW w:w="953" w:type="pct"/>
            <w:vAlign w:val="center"/>
          </w:tcPr>
          <w:p w14:paraId="02A91FB8">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lang w:val="en-US" w:eastAsia="zh-CN"/>
                <w14:ligatures w14:val="none"/>
              </w:rPr>
              <w:t>21°43′57.67″</w:t>
            </w:r>
          </w:p>
        </w:tc>
        <w:tc>
          <w:tcPr>
            <w:tcW w:w="2618" w:type="pct"/>
            <w:gridSpan w:val="6"/>
            <w:vMerge w:val="continue"/>
            <w:vAlign w:val="center"/>
          </w:tcPr>
          <w:p w14:paraId="14DDAE70">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p>
        </w:tc>
      </w:tr>
      <w:tr w14:paraId="7E2E45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424" w:type="pct"/>
            <w:shd w:val="clear" w:color="auto" w:fill="auto"/>
            <w:vAlign w:val="center"/>
          </w:tcPr>
          <w:p w14:paraId="59F070DF">
            <w:pPr>
              <w:widowControl/>
              <w:spacing w:beforeLines="0" w:afterLines="0" w:line="240" w:lineRule="auto"/>
              <w:ind w:firstLine="0" w:firstLineChars="0"/>
              <w:jc w:val="center"/>
              <w:textAlignment w:val="baseline"/>
              <w:rPr>
                <w:rFonts w:hint="eastAsia" w:ascii="宋体" w:hAnsi="宋体" w:eastAsia="宋体" w:cs="宋体"/>
                <w:color w:val="auto"/>
                <w:kern w:val="0"/>
                <w:sz w:val="21"/>
                <w:szCs w:val="21"/>
                <w:lang w:val="en-US" w:eastAsia="zh-CN" w:bidi="ar-SA"/>
                <w14:ligatures w14:val="none"/>
              </w:rPr>
            </w:pPr>
            <w:r>
              <w:rPr>
                <w:rFonts w:hint="eastAsia" w:ascii="宋体" w:hAnsi="宋体" w:eastAsia="宋体" w:cs="宋体"/>
                <w:color w:val="auto"/>
                <w:kern w:val="0"/>
                <w:szCs w:val="21"/>
                <w14:ligatures w14:val="none"/>
              </w:rPr>
              <w:t>CJD3</w:t>
            </w:r>
          </w:p>
        </w:tc>
        <w:tc>
          <w:tcPr>
            <w:tcW w:w="1003" w:type="pct"/>
            <w:shd w:val="clear" w:color="auto" w:fill="auto"/>
            <w:vAlign w:val="center"/>
          </w:tcPr>
          <w:p w14:paraId="5262F811">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 w:val="21"/>
                <w:szCs w:val="21"/>
                <w:lang w:val="en-US" w:eastAsia="zh-CN" w:bidi="ar-SA"/>
                <w14:ligatures w14:val="none"/>
              </w:rPr>
            </w:pPr>
            <w:r>
              <w:rPr>
                <w:rFonts w:hint="default" w:ascii="Times New Roman" w:hAnsi="Times New Roman" w:eastAsia="宋体" w:cs="Times New Roman"/>
                <w:color w:val="auto"/>
                <w:kern w:val="0"/>
                <w:szCs w:val="21"/>
                <w:lang w:val="en-US" w:eastAsia="zh-CN"/>
                <w14:ligatures w14:val="none"/>
              </w:rPr>
              <w:t>108°39′46.91″</w:t>
            </w:r>
          </w:p>
        </w:tc>
        <w:tc>
          <w:tcPr>
            <w:tcW w:w="953" w:type="pct"/>
            <w:shd w:val="clear" w:color="auto" w:fill="auto"/>
            <w:vAlign w:val="center"/>
          </w:tcPr>
          <w:p w14:paraId="51A416B9">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 w:val="21"/>
                <w:szCs w:val="21"/>
                <w:lang w:val="en-US" w:eastAsia="zh-CN" w:bidi="ar-SA"/>
                <w14:ligatures w14:val="none"/>
              </w:rPr>
            </w:pPr>
            <w:r>
              <w:rPr>
                <w:rFonts w:hint="default" w:ascii="Times New Roman" w:hAnsi="Times New Roman" w:eastAsia="宋体" w:cs="Times New Roman"/>
                <w:color w:val="auto"/>
                <w:kern w:val="0"/>
                <w:szCs w:val="21"/>
                <w:lang w:val="en-US" w:eastAsia="zh-CN"/>
                <w14:ligatures w14:val="none"/>
              </w:rPr>
              <w:t>21°39′34.99″</w:t>
            </w:r>
          </w:p>
        </w:tc>
        <w:tc>
          <w:tcPr>
            <w:tcW w:w="2618" w:type="pct"/>
            <w:gridSpan w:val="6"/>
            <w:vMerge w:val="continue"/>
            <w:vAlign w:val="center"/>
          </w:tcPr>
          <w:p w14:paraId="149D47BA">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p>
        </w:tc>
      </w:tr>
      <w:tr w14:paraId="31D156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24" w:type="pct"/>
            <w:shd w:val="clear" w:color="auto" w:fill="auto"/>
            <w:vAlign w:val="center"/>
          </w:tcPr>
          <w:p w14:paraId="29876590">
            <w:pPr>
              <w:widowControl/>
              <w:spacing w:beforeLines="0" w:afterLines="0" w:line="240" w:lineRule="auto"/>
              <w:ind w:firstLine="0" w:firstLineChars="0"/>
              <w:jc w:val="center"/>
              <w:textAlignment w:val="baseline"/>
              <w:rPr>
                <w:rFonts w:hint="eastAsia" w:ascii="宋体" w:hAnsi="宋体" w:eastAsia="宋体" w:cs="宋体"/>
                <w:color w:val="auto"/>
                <w:kern w:val="0"/>
                <w:szCs w:val="21"/>
                <w:lang w:val="en-US" w:eastAsia="zh-CN"/>
                <w14:ligatures w14:val="none"/>
              </w:rPr>
            </w:pPr>
            <w:r>
              <w:rPr>
                <w:rFonts w:hint="eastAsia" w:ascii="宋体" w:hAnsi="宋体" w:eastAsia="宋体" w:cs="宋体"/>
                <w:color w:val="auto"/>
                <w:kern w:val="0"/>
                <w:szCs w:val="21"/>
                <w14:ligatures w14:val="none"/>
              </w:rPr>
              <w:t>CJD</w:t>
            </w:r>
            <w:r>
              <w:rPr>
                <w:rFonts w:hint="eastAsia" w:ascii="宋体" w:hAnsi="宋体" w:cs="宋体"/>
                <w:color w:val="auto"/>
                <w:kern w:val="0"/>
                <w:szCs w:val="21"/>
                <w:lang w:val="en-US" w:eastAsia="zh-CN"/>
                <w14:ligatures w14:val="none"/>
              </w:rPr>
              <w:t>4</w:t>
            </w:r>
          </w:p>
        </w:tc>
        <w:tc>
          <w:tcPr>
            <w:tcW w:w="1003" w:type="pct"/>
            <w:shd w:val="clear" w:color="auto" w:fill="auto"/>
            <w:vAlign w:val="center"/>
          </w:tcPr>
          <w:p w14:paraId="677CF3B8">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108°40'53.62"</w:t>
            </w:r>
          </w:p>
        </w:tc>
        <w:tc>
          <w:tcPr>
            <w:tcW w:w="953" w:type="pct"/>
            <w:shd w:val="clear" w:color="auto" w:fill="auto"/>
            <w:vAlign w:val="center"/>
          </w:tcPr>
          <w:p w14:paraId="324698F4">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lang w:val="en-US" w:eastAsia="zh-CN"/>
                <w14:ligatures w14:val="none"/>
              </w:rPr>
            </w:pPr>
            <w:r>
              <w:rPr>
                <w:rFonts w:hint="default" w:ascii="Times New Roman" w:hAnsi="Times New Roman" w:eastAsia="宋体" w:cs="Times New Roman"/>
                <w:color w:val="auto"/>
                <w:kern w:val="0"/>
                <w:szCs w:val="21"/>
                <w:lang w:val="en-US" w:eastAsia="zh-CN"/>
                <w14:ligatures w14:val="none"/>
              </w:rPr>
              <w:t>21°40'57.519"</w:t>
            </w:r>
          </w:p>
        </w:tc>
        <w:tc>
          <w:tcPr>
            <w:tcW w:w="2618" w:type="pct"/>
            <w:gridSpan w:val="6"/>
            <w:vMerge w:val="continue"/>
            <w:vAlign w:val="center"/>
          </w:tcPr>
          <w:p w14:paraId="184A2F5C">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p>
        </w:tc>
      </w:tr>
      <w:tr w14:paraId="3FC05C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24" w:type="pct"/>
            <w:vAlign w:val="center"/>
          </w:tcPr>
          <w:p w14:paraId="05FC7AB2">
            <w:pPr>
              <w:widowControl/>
              <w:spacing w:beforeLines="0" w:afterLines="0" w:line="240" w:lineRule="auto"/>
              <w:ind w:firstLine="0" w:firstLineChars="0"/>
              <w:jc w:val="center"/>
              <w:textAlignment w:val="baseline"/>
              <w:rPr>
                <w:rFonts w:hint="eastAsia" w:ascii="宋体" w:hAnsi="宋体" w:eastAsia="宋体" w:cs="宋体"/>
                <w:color w:val="auto"/>
                <w:kern w:val="0"/>
                <w:szCs w:val="21"/>
                <w:lang w:val="en-US" w:eastAsia="zh-CN"/>
                <w14:ligatures w14:val="none"/>
              </w:rPr>
            </w:pPr>
            <w:r>
              <w:rPr>
                <w:rFonts w:hint="eastAsia" w:ascii="宋体" w:hAnsi="宋体" w:eastAsia="宋体" w:cs="宋体"/>
                <w:color w:val="auto"/>
                <w:kern w:val="0"/>
                <w:szCs w:val="21"/>
                <w14:ligatures w14:val="none"/>
              </w:rPr>
              <w:t>CJD</w:t>
            </w:r>
            <w:r>
              <w:rPr>
                <w:rFonts w:hint="eastAsia" w:ascii="宋体" w:hAnsi="宋体" w:cs="宋体"/>
                <w:color w:val="auto"/>
                <w:kern w:val="0"/>
                <w:szCs w:val="21"/>
                <w:lang w:val="en-US" w:eastAsia="zh-CN"/>
                <w14:ligatures w14:val="none"/>
              </w:rPr>
              <w:t>5</w:t>
            </w:r>
          </w:p>
        </w:tc>
        <w:tc>
          <w:tcPr>
            <w:tcW w:w="1003" w:type="pct"/>
            <w:vAlign w:val="center"/>
          </w:tcPr>
          <w:p w14:paraId="2E3DB939">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14:ligatures w14:val="none"/>
              </w:rPr>
              <w:t>108°42'24.07"</w:t>
            </w:r>
          </w:p>
        </w:tc>
        <w:tc>
          <w:tcPr>
            <w:tcW w:w="953" w:type="pct"/>
            <w:vAlign w:val="center"/>
          </w:tcPr>
          <w:p w14:paraId="5AA8CA88">
            <w:pPr>
              <w:widowControl/>
              <w:spacing w:beforeLines="0" w:afterLines="0" w:line="240" w:lineRule="auto"/>
              <w:ind w:firstLine="0" w:firstLineChars="0"/>
              <w:jc w:val="center"/>
              <w:textAlignment w:val="baseline"/>
              <w:rPr>
                <w:rFonts w:hint="default" w:ascii="Times New Roman" w:hAnsi="Times New Roman" w:eastAsia="宋体" w:cs="Times New Roman"/>
                <w:color w:val="auto"/>
                <w:kern w:val="0"/>
                <w:szCs w:val="21"/>
                <w14:ligatures w14:val="none"/>
              </w:rPr>
            </w:pPr>
            <w:r>
              <w:rPr>
                <w:rFonts w:hint="default" w:ascii="Times New Roman" w:hAnsi="Times New Roman" w:eastAsia="宋体" w:cs="Times New Roman"/>
                <w:color w:val="auto"/>
                <w:kern w:val="0"/>
                <w:szCs w:val="21"/>
                <w14:ligatures w14:val="none"/>
              </w:rPr>
              <w:t>21°38'51.782"</w:t>
            </w:r>
          </w:p>
        </w:tc>
        <w:tc>
          <w:tcPr>
            <w:tcW w:w="2618" w:type="pct"/>
            <w:gridSpan w:val="6"/>
            <w:vMerge w:val="continue"/>
            <w:vAlign w:val="center"/>
          </w:tcPr>
          <w:p w14:paraId="694FCD30">
            <w:pPr>
              <w:widowControl/>
              <w:spacing w:beforeLines="0" w:afterLines="0" w:line="240" w:lineRule="auto"/>
              <w:ind w:firstLine="0" w:firstLineChars="0"/>
              <w:jc w:val="center"/>
              <w:textAlignment w:val="baseline"/>
              <w:rPr>
                <w:rFonts w:hint="eastAsia" w:ascii="宋体" w:hAnsi="宋体" w:eastAsia="宋体" w:cs="宋体"/>
                <w:color w:val="auto"/>
                <w:kern w:val="0"/>
                <w:szCs w:val="21"/>
                <w14:ligatures w14:val="none"/>
              </w:rPr>
            </w:pPr>
          </w:p>
        </w:tc>
      </w:tr>
    </w:tbl>
    <w:p w14:paraId="1F11BDAC">
      <w:pPr>
        <w:autoSpaceDE/>
        <w:autoSpaceDN/>
        <w:spacing w:before="0" w:beforeLines="0" w:afterLines="0" w:line="360" w:lineRule="auto"/>
        <w:ind w:firstLine="422" w:firstLineChars="200"/>
        <w:jc w:val="left"/>
        <w:rPr>
          <w:rFonts w:hint="eastAsia" w:ascii="宋体" w:hAnsi="宋体" w:eastAsia="宋体" w:cs="宋体"/>
          <w:b/>
          <w:bCs/>
          <w:color w:val="auto"/>
          <w:szCs w:val="21"/>
          <w14:ligatures w14:val="none"/>
        </w:rPr>
      </w:pPr>
      <w:bookmarkStart w:id="321" w:name="_GoBack"/>
      <w:bookmarkEnd w:id="321"/>
    </w:p>
    <w:p w14:paraId="6A289A6A">
      <w:pPr>
        <w:autoSpaceDE/>
        <w:autoSpaceDN/>
        <w:spacing w:beforeLines="0" w:afterLines="0" w:line="240" w:lineRule="auto"/>
        <w:ind w:firstLine="0" w:firstLineChars="0"/>
        <w:jc w:val="center"/>
        <w:rPr>
          <w:rFonts w:hint="eastAsia" w:ascii="宋体" w:hAnsi="宋体" w:eastAsia="宋体" w:cs="宋体"/>
          <w:szCs w:val="21"/>
        </w:rPr>
      </w:pPr>
      <w:r>
        <w:rPr>
          <w:rFonts w:hint="eastAsia" w:ascii="宋体" w:hAnsi="宋体" w:eastAsia="宋体" w:cs="宋体"/>
          <w:b/>
          <w:bCs/>
          <w:color w:val="0000FF"/>
          <w:szCs w:val="21"/>
          <w:lang w:eastAsia="zh-CN"/>
          <w14:ligatures w14:val="none"/>
        </w:rPr>
        <w:drawing>
          <wp:inline distT="0" distB="0" distL="114300" distR="114300">
            <wp:extent cx="5400040" cy="8860790"/>
            <wp:effectExtent l="0" t="0" r="10160" b="0"/>
            <wp:docPr id="4" name="图片 4" descr="监测重新布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监测重新布点"/>
                    <pic:cNvPicPr>
                      <a:picLocks noChangeAspect="1"/>
                    </pic:cNvPicPr>
                  </pic:nvPicPr>
                  <pic:blipFill>
                    <a:blip r:embed="rId11"/>
                    <a:srcRect l="6532" t="-458" r="6286" b="-679"/>
                    <a:stretch>
                      <a:fillRect/>
                    </a:stretch>
                  </pic:blipFill>
                  <pic:spPr>
                    <a:xfrm>
                      <a:off x="0" y="0"/>
                      <a:ext cx="5400040" cy="8860790"/>
                    </a:xfrm>
                    <a:prstGeom prst="rect">
                      <a:avLst/>
                    </a:prstGeom>
                  </pic:spPr>
                </pic:pic>
              </a:graphicData>
            </a:graphic>
          </wp:inline>
        </w:drawing>
      </w:r>
    </w:p>
    <w:p w14:paraId="6C21AD97">
      <w:pPr>
        <w:autoSpaceDE/>
        <w:autoSpaceDN/>
        <w:adjustRightInd/>
        <w:snapToGrid/>
        <w:spacing w:beforeLines="0" w:afterLines="0" w:line="360" w:lineRule="auto"/>
        <w:ind w:firstLine="422" w:firstLineChars="200"/>
        <w:jc w:val="center"/>
        <w:rPr>
          <w:rFonts w:hint="eastAsia" w:ascii="宋体" w:hAnsi="宋体" w:eastAsia="宋体" w:cs="宋体"/>
          <w:b/>
          <w:bCs/>
          <w:color w:val="000000"/>
          <w:szCs w:val="21"/>
          <w14:ligatures w14:val="none"/>
        </w:rPr>
      </w:pPr>
      <w:bookmarkStart w:id="65" w:name="_Hlk203902192"/>
      <w:r>
        <w:rPr>
          <w:rFonts w:hint="eastAsia" w:ascii="宋体" w:hAnsi="宋体" w:eastAsia="宋体" w:cs="宋体"/>
          <w:b/>
          <w:bCs/>
          <w:color w:val="000000"/>
          <w:szCs w:val="21"/>
          <w14:ligatures w14:val="none"/>
        </w:rPr>
        <w:t>图1  海洋生态环境调查站位图</w:t>
      </w:r>
    </w:p>
    <w:bookmarkEnd w:id="65"/>
    <w:p w14:paraId="717B0143">
      <w:pPr>
        <w:adjustRightInd/>
        <w:spacing w:before="0" w:beforeLines="0" w:after="0" w:afterLines="0" w:line="360" w:lineRule="auto"/>
        <w:ind w:firstLine="422" w:firstLineChars="200"/>
        <w:outlineLvl w:val="9"/>
        <w:rPr>
          <w:rFonts w:hint="eastAsia" w:ascii="宋体" w:hAnsi="宋体" w:eastAsia="宋体" w:cs="宋体"/>
          <w:b/>
          <w:bCs/>
          <w:color w:val="000000"/>
          <w:sz w:val="21"/>
          <w:szCs w:val="21"/>
          <w:lang w:eastAsia="zh-CN"/>
          <w14:ligatures w14:val="none"/>
        </w:rPr>
      </w:pPr>
    </w:p>
    <w:p w14:paraId="6FFC9DCC">
      <w:pPr>
        <w:adjustRightInd/>
        <w:spacing w:before="0" w:beforeLines="0" w:after="0" w:afterLines="0" w:line="360" w:lineRule="auto"/>
        <w:ind w:firstLine="422" w:firstLineChars="200"/>
        <w:outlineLvl w:val="2"/>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（四）</w:t>
      </w:r>
      <w:r>
        <w:rPr>
          <w:rFonts w:hint="eastAsia" w:ascii="宋体" w:hAnsi="宋体" w:eastAsia="宋体" w:cs="宋体"/>
          <w:b/>
          <w:bCs/>
          <w:color w:val="000000"/>
          <w:sz w:val="21"/>
          <w:szCs w:val="21"/>
          <w14:ligatures w14:val="none"/>
        </w:rPr>
        <w:t>海洋水文动力现状调查方案</w:t>
      </w:r>
    </w:p>
    <w:p w14:paraId="493E92C5">
      <w:pPr>
        <w:spacing w:before="0" w:beforeLines="0" w:after="0" w:afterLines="0" w:line="360" w:lineRule="auto"/>
        <w:ind w:firstLine="422" w:firstLineChars="200"/>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1</w:t>
      </w:r>
      <w:r>
        <w:rPr>
          <w:rFonts w:hint="eastAsia" w:ascii="宋体" w:hAnsi="宋体" w:eastAsia="宋体" w:cs="宋体"/>
          <w:b/>
          <w:bCs/>
          <w:color w:val="000000"/>
          <w:sz w:val="21"/>
          <w:szCs w:val="21"/>
          <w:lang w:val="en-US" w:eastAsia="zh-CN"/>
          <w14:ligatures w14:val="none"/>
        </w:rPr>
        <w:t>.</w:t>
      </w:r>
      <w:r>
        <w:rPr>
          <w:rFonts w:hint="eastAsia" w:ascii="宋体" w:hAnsi="宋体" w:eastAsia="宋体" w:cs="宋体"/>
          <w:b/>
          <w:bCs/>
          <w:color w:val="000000"/>
          <w:sz w:val="21"/>
          <w:szCs w:val="21"/>
          <w14:ligatures w14:val="none"/>
        </w:rPr>
        <w:t>潮流观测</w:t>
      </w:r>
    </w:p>
    <w:p w14:paraId="00916C8E">
      <w:pPr>
        <w:spacing w:before="0" w:beforeLines="0" w:after="0" w:afterLines="0" w:line="360" w:lineRule="auto"/>
        <w:ind w:firstLine="422" w:firstLineChars="200"/>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lang w:val="en-US" w:eastAsia="zh-CN"/>
          <w14:ligatures w14:val="none"/>
        </w:rPr>
        <w:t>1</w:t>
      </w: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14:ligatures w14:val="none"/>
        </w:rPr>
        <w:t>站位数量</w:t>
      </w:r>
    </w:p>
    <w:p w14:paraId="65FE4705">
      <w:pPr>
        <w:spacing w:before="0" w:beforeLines="0" w:after="0" w:afterLines="0" w:line="360" w:lineRule="auto"/>
        <w:ind w:firstLine="420" w:firstLineChars="200"/>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共布设6个潮流观测站，包括3条断面，每条断面布设2个站位。</w:t>
      </w:r>
    </w:p>
    <w:p w14:paraId="66F776F0">
      <w:pPr>
        <w:spacing w:before="0" w:beforeLines="0" w:after="0" w:afterLines="0" w:line="360" w:lineRule="auto"/>
        <w:ind w:firstLine="422" w:firstLineChars="200"/>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lang w:val="en-US" w:eastAsia="zh-CN"/>
          <w14:ligatures w14:val="none"/>
        </w:rPr>
        <w:t>2</w:t>
      </w: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14:ligatures w14:val="none"/>
        </w:rPr>
        <w:t>调查时段及频次</w:t>
      </w:r>
    </w:p>
    <w:p w14:paraId="3E9ABE9D">
      <w:pPr>
        <w:spacing w:before="0" w:beforeLines="0" w:after="0" w:afterLines="0" w:line="360" w:lineRule="auto"/>
        <w:ind w:firstLine="420" w:firstLineChars="200"/>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开展秋季调查，选择大潮期开展不少于连续26小时的现场观测。</w:t>
      </w:r>
    </w:p>
    <w:p w14:paraId="518F5650">
      <w:pPr>
        <w:spacing w:before="0" w:beforeLines="0" w:after="0" w:afterLines="0" w:line="360" w:lineRule="auto"/>
        <w:ind w:firstLine="422" w:firstLineChars="200"/>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lang w:val="en-US" w:eastAsia="zh-CN"/>
          <w14:ligatures w14:val="none"/>
        </w:rPr>
        <w:t>3</w:t>
      </w: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14:ligatures w14:val="none"/>
        </w:rPr>
        <w:t>调查项目</w:t>
      </w:r>
    </w:p>
    <w:p w14:paraId="02EF2DA2">
      <w:pPr>
        <w:spacing w:before="0" w:beforeLines="0" w:after="0" w:afterLines="0" w:line="360" w:lineRule="auto"/>
        <w:ind w:firstLine="420" w:firstLineChars="200"/>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水温、水深、盐度、潮流（流速、流向）、泥沙（含悬沙）、风速、风向。</w:t>
      </w:r>
    </w:p>
    <w:p w14:paraId="2CB648EA">
      <w:pPr>
        <w:spacing w:before="0" w:beforeLines="0" w:after="0" w:afterLines="0" w:line="360" w:lineRule="auto"/>
        <w:ind w:firstLine="422" w:firstLineChars="200"/>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2</w:t>
      </w:r>
      <w:r>
        <w:rPr>
          <w:rFonts w:hint="eastAsia" w:ascii="宋体" w:hAnsi="宋体" w:eastAsia="宋体" w:cs="宋体"/>
          <w:b/>
          <w:bCs/>
          <w:color w:val="000000"/>
          <w:sz w:val="21"/>
          <w:szCs w:val="21"/>
          <w:lang w:val="en-US" w:eastAsia="zh-CN"/>
          <w14:ligatures w14:val="none"/>
        </w:rPr>
        <w:t>.</w:t>
      </w:r>
      <w:r>
        <w:rPr>
          <w:rFonts w:hint="eastAsia" w:ascii="宋体" w:hAnsi="宋体" w:eastAsia="宋体" w:cs="宋体"/>
          <w:b/>
          <w:bCs/>
          <w:color w:val="000000"/>
          <w:sz w:val="21"/>
          <w:szCs w:val="21"/>
          <w14:ligatures w14:val="none"/>
        </w:rPr>
        <w:t>潮位观测</w:t>
      </w:r>
    </w:p>
    <w:p w14:paraId="6818012A">
      <w:pPr>
        <w:spacing w:before="0" w:beforeLines="0" w:after="0" w:afterLines="0" w:line="360" w:lineRule="auto"/>
        <w:ind w:firstLine="422" w:firstLineChars="200"/>
        <w:rPr>
          <w:rFonts w:hint="eastAsia" w:ascii="宋体" w:hAnsi="宋体" w:eastAsia="宋体" w:cs="宋体"/>
          <w:color w:val="000000"/>
          <w:sz w:val="21"/>
          <w:szCs w:val="21"/>
          <w14:ligatures w14:val="none"/>
        </w:rPr>
      </w:pP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lang w:val="en-US" w:eastAsia="zh-CN"/>
          <w14:ligatures w14:val="none"/>
        </w:rPr>
        <w:t>1</w:t>
      </w: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14:ligatures w14:val="none"/>
        </w:rPr>
        <w:t>站位数量：</w:t>
      </w:r>
      <w:r>
        <w:rPr>
          <w:rFonts w:hint="eastAsia" w:ascii="宋体" w:hAnsi="宋体" w:eastAsia="宋体" w:cs="宋体"/>
          <w:color w:val="000000"/>
          <w:sz w:val="21"/>
          <w:szCs w:val="21"/>
          <w14:ligatures w14:val="none"/>
        </w:rPr>
        <w:t>共布设</w:t>
      </w:r>
      <w:r>
        <w:rPr>
          <w:rFonts w:hint="eastAsia" w:ascii="宋体" w:hAnsi="宋体" w:eastAsia="宋体" w:cs="宋体"/>
          <w:color w:val="000000"/>
          <w:sz w:val="21"/>
          <w:szCs w:val="21"/>
          <w:lang w:val="en-US" w:eastAsia="zh-CN"/>
          <w14:ligatures w14:val="none"/>
        </w:rPr>
        <w:t>2</w:t>
      </w:r>
      <w:r>
        <w:rPr>
          <w:rFonts w:hint="eastAsia" w:ascii="宋体" w:hAnsi="宋体" w:eastAsia="宋体" w:cs="宋体"/>
          <w:color w:val="000000"/>
          <w:sz w:val="21"/>
          <w:szCs w:val="21"/>
          <w14:ligatures w14:val="none"/>
        </w:rPr>
        <w:t>个潮位观测站。</w:t>
      </w:r>
    </w:p>
    <w:p w14:paraId="7BF19606">
      <w:pPr>
        <w:spacing w:before="0" w:beforeLines="0" w:after="0" w:afterLines="0" w:line="360" w:lineRule="auto"/>
        <w:ind w:firstLine="422" w:firstLineChars="200"/>
        <w:rPr>
          <w:rFonts w:hint="eastAsia" w:ascii="宋体" w:hAnsi="宋体" w:eastAsia="宋体" w:cs="宋体"/>
          <w:color w:val="000000"/>
          <w:sz w:val="21"/>
          <w:szCs w:val="21"/>
          <w14:ligatures w14:val="none"/>
        </w:rPr>
      </w:pP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lang w:val="en-US" w:eastAsia="zh-CN"/>
          <w14:ligatures w14:val="none"/>
        </w:rPr>
        <w:t>2</w:t>
      </w: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14:ligatures w14:val="none"/>
        </w:rPr>
        <w:t>调查时段及频次：</w:t>
      </w:r>
      <w:r>
        <w:rPr>
          <w:rFonts w:hint="eastAsia" w:ascii="宋体" w:hAnsi="宋体" w:eastAsia="宋体" w:cs="宋体"/>
          <w:color w:val="000000"/>
          <w:sz w:val="21"/>
          <w:szCs w:val="21"/>
          <w14:ligatures w14:val="none"/>
        </w:rPr>
        <w:t>开展秋季调查，开展包括大潮期和小潮期在内的连续15天的潮位观测。</w:t>
      </w:r>
    </w:p>
    <w:p w14:paraId="3E31DC52">
      <w:pPr>
        <w:spacing w:before="0" w:beforeLines="0" w:after="0" w:afterLines="0" w:line="360" w:lineRule="auto"/>
        <w:ind w:firstLine="422" w:firstLineChars="200"/>
        <w:rPr>
          <w:rFonts w:hint="eastAsia" w:ascii="宋体" w:hAnsi="宋体" w:eastAsia="宋体" w:cs="宋体"/>
          <w:color w:val="000000"/>
          <w:sz w:val="21"/>
          <w:szCs w:val="21"/>
          <w14:ligatures w14:val="none"/>
        </w:rPr>
      </w:pP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lang w:val="en-US" w:eastAsia="zh-CN"/>
          <w14:ligatures w14:val="none"/>
        </w:rPr>
        <w:t>3</w:t>
      </w:r>
      <w:r>
        <w:rPr>
          <w:rFonts w:hint="eastAsia" w:ascii="宋体" w:hAnsi="宋体" w:eastAsia="宋体" w:cs="宋体"/>
          <w:b/>
          <w:bCs/>
          <w:color w:val="000000"/>
          <w:sz w:val="21"/>
          <w:szCs w:val="21"/>
          <w:lang w:eastAsia="zh-CN"/>
          <w14:ligatures w14:val="none"/>
        </w:rPr>
        <w:t>）</w:t>
      </w:r>
      <w:r>
        <w:rPr>
          <w:rFonts w:hint="eastAsia" w:ascii="宋体" w:hAnsi="宋体" w:eastAsia="宋体" w:cs="宋体"/>
          <w:b/>
          <w:bCs/>
          <w:color w:val="000000"/>
          <w:sz w:val="21"/>
          <w:szCs w:val="21"/>
          <w14:ligatures w14:val="none"/>
        </w:rPr>
        <w:t>调查项目：</w:t>
      </w:r>
      <w:r>
        <w:rPr>
          <w:rFonts w:hint="eastAsia" w:ascii="宋体" w:hAnsi="宋体" w:eastAsia="宋体" w:cs="宋体"/>
          <w:color w:val="000000"/>
          <w:sz w:val="21"/>
          <w:szCs w:val="21"/>
          <w14:ligatures w14:val="none"/>
        </w:rPr>
        <w:t>逐时的潮位值。</w:t>
      </w:r>
    </w:p>
    <w:p w14:paraId="16512E6C">
      <w:pPr>
        <w:autoSpaceDE/>
        <w:autoSpaceDN/>
        <w:spacing w:before="0" w:beforeLines="0" w:afterLines="0" w:line="360" w:lineRule="auto"/>
        <w:ind w:firstLine="422" w:firstLineChars="200"/>
        <w:jc w:val="left"/>
        <w:rPr>
          <w:rFonts w:hint="eastAsia" w:ascii="宋体" w:hAnsi="宋体" w:eastAsia="宋体" w:cs="宋体"/>
          <w:b/>
          <w:bCs/>
          <w:color w:val="000000"/>
          <w:szCs w:val="21"/>
          <w14:ligatures w14:val="none"/>
        </w:rPr>
      </w:pPr>
      <w:bookmarkStart w:id="66" w:name="_Hlk203901852"/>
      <w:r>
        <w:rPr>
          <w:rFonts w:hint="eastAsia" w:ascii="宋体" w:hAnsi="宋体" w:eastAsia="宋体" w:cs="宋体"/>
          <w:b/>
          <w:bCs/>
          <w:color w:val="000000"/>
          <w:szCs w:val="21"/>
          <w14:ligatures w14:val="none"/>
        </w:rPr>
        <w:t>表3                     海洋水文动力环境现状调查站位一览表</w:t>
      </w:r>
    </w:p>
    <w:tbl>
      <w:tblPr>
        <w:tblStyle w:val="24"/>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2399"/>
        <w:gridCol w:w="2298"/>
        <w:gridCol w:w="3602"/>
      </w:tblGrid>
      <w:tr w14:paraId="69F60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473" w:type="pct"/>
            <w:vMerge w:val="restart"/>
            <w:vAlign w:val="center"/>
          </w:tcPr>
          <w:p w14:paraId="436EA419">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站位编号</w:t>
            </w:r>
          </w:p>
        </w:tc>
        <w:tc>
          <w:tcPr>
            <w:tcW w:w="2561" w:type="pct"/>
            <w:gridSpan w:val="2"/>
            <w:vAlign w:val="center"/>
          </w:tcPr>
          <w:p w14:paraId="069A3C23">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坐标</w:t>
            </w:r>
          </w:p>
        </w:tc>
        <w:tc>
          <w:tcPr>
            <w:tcW w:w="1964" w:type="pct"/>
            <w:vMerge w:val="restart"/>
            <w:vAlign w:val="center"/>
          </w:tcPr>
          <w:p w14:paraId="6601B127">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调查项目</w:t>
            </w:r>
          </w:p>
        </w:tc>
      </w:tr>
      <w:tr w14:paraId="3FE0DB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2" w:hRule="atLeast"/>
          <w:tblHeader/>
        </w:trPr>
        <w:tc>
          <w:tcPr>
            <w:tcW w:w="473" w:type="pct"/>
            <w:vMerge w:val="continue"/>
            <w:vAlign w:val="center"/>
          </w:tcPr>
          <w:p w14:paraId="1E501560">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c>
          <w:tcPr>
            <w:tcW w:w="1308" w:type="pct"/>
            <w:vAlign w:val="center"/>
          </w:tcPr>
          <w:p w14:paraId="0150B748">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东经</w:t>
            </w:r>
          </w:p>
        </w:tc>
        <w:tc>
          <w:tcPr>
            <w:tcW w:w="1253" w:type="pct"/>
            <w:vAlign w:val="center"/>
          </w:tcPr>
          <w:p w14:paraId="1093E980">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北纬</w:t>
            </w:r>
          </w:p>
        </w:tc>
        <w:tc>
          <w:tcPr>
            <w:tcW w:w="1964" w:type="pct"/>
            <w:vMerge w:val="continue"/>
          </w:tcPr>
          <w:p w14:paraId="15718AA7">
            <w:pPr>
              <w:widowControl/>
              <w:spacing w:beforeLines="0" w:afterLines="0" w:line="240" w:lineRule="auto"/>
              <w:ind w:firstLine="0" w:firstLineChars="0"/>
              <w:jc w:val="center"/>
              <w:textAlignment w:val="baseline"/>
              <w:rPr>
                <w:rFonts w:hint="eastAsia" w:ascii="宋体" w:hAnsi="宋体" w:eastAsia="宋体" w:cs="宋体"/>
                <w:b/>
                <w:bCs/>
                <w:color w:val="000000"/>
                <w:kern w:val="0"/>
                <w:szCs w:val="21"/>
                <w14:ligatures w14:val="none"/>
              </w:rPr>
            </w:pPr>
          </w:p>
        </w:tc>
      </w:tr>
      <w:tr w14:paraId="101A1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305799F5">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S1</w:t>
            </w:r>
          </w:p>
        </w:tc>
        <w:tc>
          <w:tcPr>
            <w:tcW w:w="2459" w:type="dxa"/>
            <w:vAlign w:val="center"/>
          </w:tcPr>
          <w:p w14:paraId="2BBA0699">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108°34′16.36″</w:t>
            </w:r>
          </w:p>
        </w:tc>
        <w:tc>
          <w:tcPr>
            <w:tcW w:w="2355" w:type="dxa"/>
            <w:vAlign w:val="center"/>
          </w:tcPr>
          <w:p w14:paraId="1A9BF712">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21°43′00.72″</w:t>
            </w:r>
          </w:p>
        </w:tc>
        <w:tc>
          <w:tcPr>
            <w:tcW w:w="1964" w:type="pct"/>
            <w:vMerge w:val="restart"/>
            <w:vAlign w:val="center"/>
          </w:tcPr>
          <w:p w14:paraId="6C623F0F">
            <w:pPr>
              <w:widowControl/>
              <w:spacing w:beforeLines="0" w:afterLines="0" w:line="240" w:lineRule="auto"/>
              <w:ind w:firstLine="0" w:firstLineChars="0"/>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水温、水深、盐度、潮流（流速、流向）、泥沙（含悬沙）、风速、风向</w:t>
            </w:r>
          </w:p>
        </w:tc>
      </w:tr>
      <w:tr w14:paraId="257156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53884B3F">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S2</w:t>
            </w:r>
          </w:p>
        </w:tc>
        <w:tc>
          <w:tcPr>
            <w:tcW w:w="2459" w:type="dxa"/>
            <w:vAlign w:val="center"/>
          </w:tcPr>
          <w:p w14:paraId="2EBB81DC">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108°37′23.72″</w:t>
            </w:r>
          </w:p>
        </w:tc>
        <w:tc>
          <w:tcPr>
            <w:tcW w:w="2355" w:type="dxa"/>
            <w:vAlign w:val="center"/>
          </w:tcPr>
          <w:p w14:paraId="6A71A3D2">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21°40′58.85″</w:t>
            </w:r>
          </w:p>
        </w:tc>
        <w:tc>
          <w:tcPr>
            <w:tcW w:w="1964" w:type="pct"/>
            <w:vMerge w:val="continue"/>
            <w:vAlign w:val="center"/>
          </w:tcPr>
          <w:p w14:paraId="24A69365">
            <w:pPr>
              <w:widowControl/>
              <w:spacing w:beforeLines="0" w:afterLines="0" w:line="240" w:lineRule="auto"/>
              <w:ind w:firstLine="0" w:firstLineChars="0"/>
              <w:textAlignment w:val="baseline"/>
              <w:rPr>
                <w:rFonts w:hint="eastAsia" w:ascii="宋体" w:hAnsi="宋体" w:eastAsia="宋体" w:cs="宋体"/>
                <w:color w:val="000000"/>
                <w:kern w:val="0"/>
                <w:szCs w:val="21"/>
                <w14:ligatures w14:val="none"/>
              </w:rPr>
            </w:pPr>
          </w:p>
        </w:tc>
      </w:tr>
      <w:tr w14:paraId="77C111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08213FCF">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S3</w:t>
            </w:r>
          </w:p>
        </w:tc>
        <w:tc>
          <w:tcPr>
            <w:tcW w:w="2459" w:type="dxa"/>
            <w:vAlign w:val="center"/>
          </w:tcPr>
          <w:p w14:paraId="7E999D05">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108°36′14.43″</w:t>
            </w:r>
          </w:p>
        </w:tc>
        <w:tc>
          <w:tcPr>
            <w:tcW w:w="2355" w:type="dxa"/>
            <w:vAlign w:val="center"/>
          </w:tcPr>
          <w:p w14:paraId="6629CB31">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21°37′18.65″</w:t>
            </w:r>
          </w:p>
        </w:tc>
        <w:tc>
          <w:tcPr>
            <w:tcW w:w="1964" w:type="pct"/>
            <w:vMerge w:val="continue"/>
            <w:vAlign w:val="center"/>
          </w:tcPr>
          <w:p w14:paraId="6C64F2BC">
            <w:pPr>
              <w:widowControl/>
              <w:spacing w:beforeLines="0" w:afterLines="0" w:line="240" w:lineRule="auto"/>
              <w:ind w:firstLine="0" w:firstLineChars="0"/>
              <w:textAlignment w:val="baseline"/>
              <w:rPr>
                <w:rFonts w:hint="eastAsia" w:ascii="宋体" w:hAnsi="宋体" w:eastAsia="宋体" w:cs="宋体"/>
                <w:color w:val="000000"/>
                <w:kern w:val="0"/>
                <w:szCs w:val="21"/>
                <w14:ligatures w14:val="none"/>
              </w:rPr>
            </w:pPr>
          </w:p>
        </w:tc>
      </w:tr>
      <w:tr w14:paraId="013ACB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44CE26BA">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S4</w:t>
            </w:r>
          </w:p>
        </w:tc>
        <w:tc>
          <w:tcPr>
            <w:tcW w:w="2459" w:type="dxa"/>
            <w:vAlign w:val="center"/>
          </w:tcPr>
          <w:p w14:paraId="33B0944C">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108°40′52.48″</w:t>
            </w:r>
          </w:p>
        </w:tc>
        <w:tc>
          <w:tcPr>
            <w:tcW w:w="2355" w:type="dxa"/>
            <w:vAlign w:val="center"/>
          </w:tcPr>
          <w:p w14:paraId="18360293">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21°36′45.09″</w:t>
            </w:r>
          </w:p>
        </w:tc>
        <w:tc>
          <w:tcPr>
            <w:tcW w:w="1964" w:type="pct"/>
            <w:vMerge w:val="continue"/>
            <w:vAlign w:val="center"/>
          </w:tcPr>
          <w:p w14:paraId="6B0D8882">
            <w:pPr>
              <w:widowControl/>
              <w:spacing w:beforeLines="0" w:afterLines="0" w:line="240" w:lineRule="auto"/>
              <w:ind w:firstLine="0" w:firstLineChars="0"/>
              <w:textAlignment w:val="baseline"/>
              <w:rPr>
                <w:rFonts w:hint="eastAsia" w:ascii="宋体" w:hAnsi="宋体" w:eastAsia="宋体" w:cs="宋体"/>
                <w:color w:val="000000"/>
                <w:kern w:val="0"/>
                <w:szCs w:val="21"/>
                <w14:ligatures w14:val="none"/>
              </w:rPr>
            </w:pPr>
          </w:p>
        </w:tc>
      </w:tr>
      <w:tr w14:paraId="735133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479ECDE3">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S5</w:t>
            </w:r>
          </w:p>
        </w:tc>
        <w:tc>
          <w:tcPr>
            <w:tcW w:w="2459" w:type="dxa"/>
            <w:vAlign w:val="center"/>
          </w:tcPr>
          <w:p w14:paraId="324D611F">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108°34′23.35″</w:t>
            </w:r>
          </w:p>
        </w:tc>
        <w:tc>
          <w:tcPr>
            <w:tcW w:w="2355" w:type="dxa"/>
            <w:vAlign w:val="center"/>
          </w:tcPr>
          <w:p w14:paraId="5D93B787">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21°27′36.45″</w:t>
            </w:r>
          </w:p>
        </w:tc>
        <w:tc>
          <w:tcPr>
            <w:tcW w:w="1964" w:type="pct"/>
            <w:vMerge w:val="continue"/>
            <w:vAlign w:val="center"/>
          </w:tcPr>
          <w:p w14:paraId="06F4AB03">
            <w:pPr>
              <w:widowControl/>
              <w:spacing w:beforeLines="0" w:afterLines="0" w:line="240" w:lineRule="auto"/>
              <w:ind w:firstLine="0" w:firstLineChars="0"/>
              <w:textAlignment w:val="baseline"/>
              <w:rPr>
                <w:rFonts w:hint="eastAsia" w:ascii="宋体" w:hAnsi="宋体" w:eastAsia="宋体" w:cs="宋体"/>
                <w:color w:val="000000"/>
                <w:kern w:val="0"/>
                <w:szCs w:val="21"/>
                <w14:ligatures w14:val="none"/>
              </w:rPr>
            </w:pPr>
          </w:p>
        </w:tc>
      </w:tr>
      <w:tr w14:paraId="75AAB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0D431BBE">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S6</w:t>
            </w:r>
          </w:p>
        </w:tc>
        <w:tc>
          <w:tcPr>
            <w:tcW w:w="2459" w:type="dxa"/>
            <w:vAlign w:val="center"/>
          </w:tcPr>
          <w:p w14:paraId="628C047D">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108°41′39.89″</w:t>
            </w:r>
          </w:p>
        </w:tc>
        <w:tc>
          <w:tcPr>
            <w:tcW w:w="2355" w:type="dxa"/>
            <w:vAlign w:val="center"/>
          </w:tcPr>
          <w:p w14:paraId="30951FA7">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21°27′45.71″</w:t>
            </w:r>
          </w:p>
        </w:tc>
        <w:tc>
          <w:tcPr>
            <w:tcW w:w="1964" w:type="pct"/>
            <w:vMerge w:val="continue"/>
            <w:vAlign w:val="center"/>
          </w:tcPr>
          <w:p w14:paraId="63EC2740">
            <w:pPr>
              <w:widowControl/>
              <w:spacing w:beforeLines="0" w:afterLines="0" w:line="240" w:lineRule="auto"/>
              <w:ind w:firstLine="0" w:firstLineChars="0"/>
              <w:textAlignment w:val="baseline"/>
              <w:rPr>
                <w:rFonts w:hint="eastAsia" w:ascii="宋体" w:hAnsi="宋体" w:eastAsia="宋体" w:cs="宋体"/>
                <w:color w:val="000000"/>
                <w:kern w:val="0"/>
                <w:szCs w:val="21"/>
                <w14:ligatures w14:val="none"/>
              </w:rPr>
            </w:pPr>
          </w:p>
        </w:tc>
      </w:tr>
      <w:tr w14:paraId="629FF7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3232167A">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W1</w:t>
            </w:r>
          </w:p>
        </w:tc>
        <w:tc>
          <w:tcPr>
            <w:tcW w:w="2459" w:type="dxa"/>
            <w:vAlign w:val="center"/>
          </w:tcPr>
          <w:p w14:paraId="4695275A">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108°34′57.31″</w:t>
            </w:r>
          </w:p>
        </w:tc>
        <w:tc>
          <w:tcPr>
            <w:tcW w:w="2355" w:type="dxa"/>
            <w:vAlign w:val="center"/>
          </w:tcPr>
          <w:p w14:paraId="63138A26">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21°43′33.30″</w:t>
            </w:r>
          </w:p>
        </w:tc>
        <w:tc>
          <w:tcPr>
            <w:tcW w:w="1964" w:type="pct"/>
            <w:vMerge w:val="restart"/>
            <w:vAlign w:val="center"/>
          </w:tcPr>
          <w:p w14:paraId="7FA7C791">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潮位，连续观测15天</w:t>
            </w:r>
          </w:p>
        </w:tc>
      </w:tr>
      <w:tr w14:paraId="6D0DC2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3" w:type="pct"/>
            <w:vAlign w:val="center"/>
          </w:tcPr>
          <w:p w14:paraId="2DF4D298">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W2</w:t>
            </w:r>
          </w:p>
        </w:tc>
        <w:tc>
          <w:tcPr>
            <w:tcW w:w="2459" w:type="dxa"/>
            <w:vAlign w:val="center"/>
          </w:tcPr>
          <w:p w14:paraId="243FEDFB">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108°39′55.89″</w:t>
            </w:r>
          </w:p>
        </w:tc>
        <w:tc>
          <w:tcPr>
            <w:tcW w:w="2355" w:type="dxa"/>
            <w:vAlign w:val="center"/>
          </w:tcPr>
          <w:p w14:paraId="43998B14">
            <w:pPr>
              <w:widowControl/>
              <w:spacing w:beforeLines="0" w:afterLines="0" w:line="240" w:lineRule="auto"/>
              <w:ind w:firstLine="0" w:firstLineChars="0"/>
              <w:jc w:val="center"/>
              <w:textAlignment w:val="baseline"/>
              <w:rPr>
                <w:rFonts w:hint="default" w:ascii="Times New Roman" w:hAnsi="Times New Roman" w:eastAsia="宋体" w:cs="Times New Roman"/>
                <w:color w:val="000000"/>
                <w:kern w:val="0"/>
                <w:szCs w:val="21"/>
                <w14:ligatures w14:val="none"/>
              </w:rPr>
            </w:pPr>
            <w:r>
              <w:rPr>
                <w:rFonts w:hint="default" w:ascii="Times New Roman" w:hAnsi="Times New Roman" w:eastAsia="宋体" w:cs="Times New Roman"/>
                <w:color w:val="000000"/>
                <w:kern w:val="0"/>
                <w:szCs w:val="21"/>
                <w:lang w:val="en-US" w:eastAsia="zh-CN"/>
                <w14:ligatures w14:val="none"/>
              </w:rPr>
              <w:t>21°38′49.96″</w:t>
            </w:r>
          </w:p>
        </w:tc>
        <w:tc>
          <w:tcPr>
            <w:tcW w:w="1964" w:type="pct"/>
            <w:vMerge w:val="continue"/>
          </w:tcPr>
          <w:p w14:paraId="74795062">
            <w:pPr>
              <w:widowControl/>
              <w:spacing w:beforeLines="0" w:afterLines="0" w:line="240" w:lineRule="auto"/>
              <w:ind w:firstLine="0" w:firstLineChars="0"/>
              <w:jc w:val="center"/>
              <w:textAlignment w:val="baseline"/>
              <w:rPr>
                <w:rFonts w:hint="eastAsia" w:ascii="宋体" w:hAnsi="宋体" w:eastAsia="宋体" w:cs="宋体"/>
                <w:color w:val="000000"/>
                <w:kern w:val="0"/>
                <w:szCs w:val="21"/>
                <w14:ligatures w14:val="none"/>
              </w:rPr>
            </w:pPr>
          </w:p>
        </w:tc>
      </w:tr>
    </w:tbl>
    <w:p w14:paraId="32DA1799">
      <w:pPr>
        <w:autoSpaceDE/>
        <w:autoSpaceDN/>
        <w:spacing w:beforeLines="0" w:afterLines="0" w:line="240" w:lineRule="auto"/>
        <w:ind w:firstLine="0" w:firstLineChars="0"/>
        <w:jc w:val="center"/>
        <w:rPr>
          <w:rFonts w:hint="eastAsia" w:ascii="宋体" w:hAnsi="宋体" w:eastAsia="宋体" w:cs="宋体"/>
          <w:b/>
          <w:bCs/>
          <w:color w:val="000000"/>
          <w:szCs w:val="21"/>
          <w14:ligatures w14:val="none"/>
        </w:rPr>
      </w:pPr>
      <w:r>
        <w:rPr>
          <w:rFonts w:hint="eastAsia" w:ascii="宋体" w:hAnsi="宋体" w:eastAsia="宋体" w:cs="宋体"/>
          <w:szCs w:val="21"/>
        </w:rPr>
        <w:drawing>
          <wp:inline distT="0" distB="0" distL="114300" distR="114300">
            <wp:extent cx="5391785" cy="8717280"/>
            <wp:effectExtent l="0" t="0" r="317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
                    <a:stretch>
                      <a:fillRect/>
                    </a:stretch>
                  </pic:blipFill>
                  <pic:spPr>
                    <a:xfrm>
                      <a:off x="0" y="0"/>
                      <a:ext cx="5391785" cy="8717280"/>
                    </a:xfrm>
                    <a:prstGeom prst="rect">
                      <a:avLst/>
                    </a:prstGeom>
                    <a:noFill/>
                    <a:ln>
                      <a:noFill/>
                    </a:ln>
                  </pic:spPr>
                </pic:pic>
              </a:graphicData>
            </a:graphic>
          </wp:inline>
        </w:drawing>
      </w:r>
    </w:p>
    <w:bookmarkEnd w:id="66"/>
    <w:p w14:paraId="73C823C4">
      <w:pPr>
        <w:autoSpaceDE/>
        <w:autoSpaceDN/>
        <w:adjustRightInd/>
        <w:snapToGrid/>
        <w:spacing w:beforeLines="0" w:afterLines="0" w:line="360" w:lineRule="auto"/>
        <w:ind w:firstLine="422" w:firstLineChars="200"/>
        <w:jc w:val="center"/>
        <w:rPr>
          <w:rFonts w:hint="eastAsia" w:ascii="宋体" w:hAnsi="宋体" w:eastAsia="宋体" w:cs="宋体"/>
          <w:b/>
          <w:bCs/>
          <w:color w:val="000000"/>
          <w:szCs w:val="21"/>
          <w14:ligatures w14:val="none"/>
        </w:rPr>
      </w:pPr>
      <w:r>
        <w:rPr>
          <w:rFonts w:hint="eastAsia" w:ascii="宋体" w:hAnsi="宋体" w:eastAsia="宋体" w:cs="宋体"/>
          <w:b/>
          <w:bCs/>
          <w:color w:val="000000"/>
          <w:szCs w:val="21"/>
          <w14:ligatures w14:val="none"/>
        </w:rPr>
        <w:t>图2  海洋水文动力环境调查站位图</w:t>
      </w:r>
    </w:p>
    <w:p w14:paraId="60111894">
      <w:pPr>
        <w:adjustRightInd/>
        <w:spacing w:before="0" w:beforeLines="0" w:after="0" w:afterLines="0" w:line="360" w:lineRule="auto"/>
        <w:ind w:firstLine="422" w:firstLineChars="200"/>
        <w:outlineLvl w:val="2"/>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（五）</w:t>
      </w:r>
      <w:r>
        <w:rPr>
          <w:rFonts w:hint="eastAsia" w:ascii="宋体" w:hAnsi="宋体" w:eastAsia="宋体" w:cs="宋体"/>
          <w:b/>
          <w:bCs/>
          <w:color w:val="000000"/>
          <w:sz w:val="21"/>
          <w:szCs w:val="21"/>
          <w14:ligatures w14:val="none"/>
        </w:rPr>
        <w:t>调查技术要求</w:t>
      </w:r>
    </w:p>
    <w:p w14:paraId="0AE8C1B5">
      <w:pPr>
        <w:spacing w:before="0" w:beforeLines="0" w:after="0" w:afterLines="0" w:line="360" w:lineRule="auto"/>
        <w:ind w:firstLine="422" w:firstLineChars="200"/>
        <w:rPr>
          <w:rFonts w:hint="eastAsia" w:ascii="宋体" w:hAnsi="宋体" w:eastAsia="宋体" w:cs="宋体"/>
          <w:b/>
          <w:bCs/>
          <w:sz w:val="21"/>
          <w:szCs w:val="21"/>
          <w14:ligatures w14:val="none"/>
        </w:rPr>
      </w:pPr>
      <w:r>
        <w:rPr>
          <w:rFonts w:hint="eastAsia" w:ascii="宋体" w:hAnsi="宋体" w:eastAsia="宋体" w:cs="宋体"/>
          <w:b/>
          <w:bCs/>
          <w:sz w:val="21"/>
          <w:szCs w:val="21"/>
          <w:lang w:eastAsia="zh-CN"/>
          <w14:ligatures w14:val="none"/>
        </w:rPr>
        <w:t>1</w:t>
      </w:r>
      <w:r>
        <w:rPr>
          <w:rFonts w:hint="eastAsia" w:ascii="宋体" w:hAnsi="宋体" w:eastAsia="宋体" w:cs="宋体"/>
          <w:b/>
          <w:bCs/>
          <w:sz w:val="21"/>
          <w:szCs w:val="21"/>
          <w:lang w:val="en-US" w:eastAsia="zh-CN"/>
          <w14:ligatures w14:val="none"/>
        </w:rPr>
        <w:t>.</w:t>
      </w:r>
      <w:r>
        <w:rPr>
          <w:rFonts w:hint="eastAsia" w:ascii="宋体" w:hAnsi="宋体" w:eastAsia="宋体" w:cs="宋体"/>
          <w:b/>
          <w:bCs/>
          <w:sz w:val="21"/>
          <w:szCs w:val="21"/>
          <w14:ligatures w14:val="none"/>
        </w:rPr>
        <w:t>海洋生态环境现状调查</w:t>
      </w:r>
    </w:p>
    <w:p w14:paraId="1E5BEB5D">
      <w:pPr>
        <w:spacing w:before="0" w:beforeLines="0" w:after="0" w:afterLines="0" w:line="360" w:lineRule="auto"/>
        <w:ind w:firstLine="420" w:firstLineChars="200"/>
        <w:rPr>
          <w:rFonts w:hint="eastAsia" w:ascii="宋体" w:hAnsi="宋体" w:eastAsia="宋体" w:cs="宋体"/>
          <w:sz w:val="21"/>
          <w:szCs w:val="21"/>
          <w14:ligatures w14:val="none"/>
        </w:rPr>
      </w:pPr>
      <w:r>
        <w:rPr>
          <w:rFonts w:hint="eastAsia" w:ascii="宋体" w:hAnsi="宋体" w:eastAsia="宋体" w:cs="宋体"/>
          <w:sz w:val="21"/>
          <w:szCs w:val="21"/>
          <w14:ligatures w14:val="none"/>
        </w:rPr>
        <w:t>样品采集、保存、运输和检测分析应符合《海洋调查规范》（GB/T 12763-2007）、《海洋监测规范》（GB 17378-2007）、《近岸海域环境监测技术规范》（HJ442-2020）要求。</w:t>
      </w:r>
    </w:p>
    <w:p w14:paraId="47610183">
      <w:pPr>
        <w:spacing w:before="0" w:beforeLines="0" w:after="0" w:afterLines="0" w:line="360" w:lineRule="auto"/>
        <w:ind w:firstLine="422" w:firstLineChars="200"/>
        <w:rPr>
          <w:rFonts w:hint="eastAsia" w:ascii="宋体" w:hAnsi="宋体" w:eastAsia="宋体" w:cs="宋体"/>
          <w:b/>
          <w:bCs/>
          <w:sz w:val="21"/>
          <w:szCs w:val="21"/>
          <w14:ligatures w14:val="none"/>
        </w:rPr>
      </w:pPr>
      <w:r>
        <w:rPr>
          <w:rFonts w:hint="eastAsia" w:ascii="宋体" w:hAnsi="宋体" w:eastAsia="宋体" w:cs="宋体"/>
          <w:b/>
          <w:bCs/>
          <w:sz w:val="21"/>
          <w:szCs w:val="21"/>
          <w:lang w:eastAsia="zh-CN"/>
          <w14:ligatures w14:val="none"/>
        </w:rPr>
        <w:t>2</w:t>
      </w:r>
      <w:r>
        <w:rPr>
          <w:rFonts w:hint="eastAsia" w:ascii="宋体" w:hAnsi="宋体" w:eastAsia="宋体" w:cs="宋体"/>
          <w:b/>
          <w:bCs/>
          <w:sz w:val="21"/>
          <w:szCs w:val="21"/>
          <w:lang w:val="en-US" w:eastAsia="zh-CN"/>
          <w14:ligatures w14:val="none"/>
        </w:rPr>
        <w:t>.</w:t>
      </w:r>
      <w:r>
        <w:rPr>
          <w:rFonts w:hint="eastAsia" w:ascii="宋体" w:hAnsi="宋体" w:eastAsia="宋体" w:cs="宋体"/>
          <w:b/>
          <w:bCs/>
          <w:sz w:val="21"/>
          <w:szCs w:val="21"/>
          <w14:ligatures w14:val="none"/>
        </w:rPr>
        <w:t>海洋水文动力现状调查</w:t>
      </w:r>
    </w:p>
    <w:p w14:paraId="6F83D74D">
      <w:pPr>
        <w:autoSpaceDE/>
        <w:autoSpaceDN/>
        <w:adjustRightInd/>
        <w:spacing w:before="0" w:beforeLines="0" w:after="0" w:afterLines="0" w:line="360" w:lineRule="auto"/>
        <w:ind w:firstLine="420" w:firstLineChars="200"/>
        <w:rPr>
          <w:rFonts w:hint="eastAsia" w:ascii="宋体" w:hAnsi="宋体" w:eastAsia="宋体" w:cs="宋体"/>
          <w:bCs/>
          <w:color w:val="000000"/>
          <w:sz w:val="21"/>
          <w:szCs w:val="21"/>
          <w14:ligatures w14:val="none"/>
        </w:rPr>
      </w:pPr>
      <w:r>
        <w:rPr>
          <w:rFonts w:hint="eastAsia" w:ascii="宋体" w:hAnsi="宋体" w:eastAsia="宋体" w:cs="宋体"/>
          <w:bCs/>
          <w:color w:val="000000"/>
          <w:sz w:val="21"/>
          <w:szCs w:val="21"/>
          <w14:ligatures w14:val="none"/>
        </w:rPr>
        <w:t>海洋水文现场观测的操作方法、质量控制、精度要求等按照《海洋调查规范 第2部分：海洋水文观测》（GB/T 12763.2-2007）、《海洋调查规范 第3部分：海洋气象观测》（GB/T 12763.3-2020）、《水运工程水文观测规范》（JTS 132-2015）等规范开展。</w:t>
      </w:r>
    </w:p>
    <w:p w14:paraId="2FE7A793">
      <w:pPr>
        <w:autoSpaceDE/>
        <w:autoSpaceDN/>
        <w:adjustRightInd/>
        <w:spacing w:before="0" w:beforeLines="0" w:after="0" w:afterLines="0" w:line="360" w:lineRule="auto"/>
        <w:ind w:firstLine="422" w:firstLineChars="200"/>
        <w:rPr>
          <w:rFonts w:hint="eastAsia" w:ascii="宋体" w:hAnsi="宋体" w:eastAsia="宋体" w:cs="宋体"/>
          <w:b/>
          <w:color w:val="000000"/>
          <w:sz w:val="21"/>
          <w:szCs w:val="21"/>
          <w14:ligatures w14:val="none"/>
        </w:rPr>
      </w:pPr>
      <w:r>
        <w:rPr>
          <w:rFonts w:hint="eastAsia" w:ascii="宋体" w:hAnsi="宋体" w:eastAsia="宋体" w:cs="宋体"/>
          <w:b/>
          <w:color w:val="000000"/>
          <w:sz w:val="21"/>
          <w:szCs w:val="21"/>
          <w14:ligatures w14:val="none"/>
        </w:rPr>
        <w:t>（1）潮位观测</w:t>
      </w:r>
    </w:p>
    <w:p w14:paraId="65147CF4">
      <w:pPr>
        <w:autoSpaceDE/>
        <w:autoSpaceDN/>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bCs/>
          <w:color w:val="000000"/>
          <w:sz w:val="21"/>
          <w:szCs w:val="21"/>
          <w14:ligatures w14:val="none"/>
        </w:rPr>
        <w:t>2个临时</w:t>
      </w:r>
      <w:r>
        <w:rPr>
          <w:rFonts w:hint="eastAsia" w:ascii="宋体" w:hAnsi="宋体" w:eastAsia="宋体" w:cs="宋体"/>
          <w:bCs/>
          <w:sz w:val="21"/>
          <w:szCs w:val="21"/>
        </w:rPr>
        <w:t>潮位站潮位观测至少在水文垂线观测开始的前一天进行，连续观测15天。</w:t>
      </w:r>
      <w:r>
        <w:rPr>
          <w:rFonts w:hint="eastAsia" w:ascii="宋体" w:hAnsi="宋体" w:eastAsia="宋体" w:cs="宋体"/>
          <w:sz w:val="21"/>
          <w:szCs w:val="21"/>
        </w:rPr>
        <w:t>同时应收集水文测验期间工程附近水文测站的同步潮位资料以作对比验证。</w:t>
      </w:r>
    </w:p>
    <w:p w14:paraId="5E0A9294">
      <w:pPr>
        <w:autoSpaceDE/>
        <w:autoSpaceDN/>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（2）海流观测</w:t>
      </w:r>
    </w:p>
    <w:p w14:paraId="56A60DDB">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①观测时段</w:t>
      </w:r>
    </w:p>
    <w:p w14:paraId="3B6E7F73">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海流观测时段应选择典型天文大潮期。需注意北部湾海域以全日潮为主兼有不规则半日潮的混合潮的特殊特征，天文大潮期（朔望日前后）也可能表现为不规则半日潮的非典型大潮特点，应注意避免在不规则半日潮出现时段进行海流观测。</w:t>
      </w:r>
    </w:p>
    <w:p w14:paraId="191C200B">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②观测要求</w:t>
      </w:r>
    </w:p>
    <w:p w14:paraId="6706017D">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观测内容包括水温、水深、盐度、潮流（流速、流向）、悬沙，同步记录气象要素（气压、气温、降水、湿度、风速、风向）等项目。</w:t>
      </w:r>
    </w:p>
    <w:p w14:paraId="4F2B1706">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潮流（流速、流向）、悬沙含量、悬沙粒度、水温和盐度均采取周日连续同步观测，观测层次应根据实际水深选择“三点法”或“六点法”测量（参见表2）。观测从低潮或高潮前开始，应每整点观测1次，每个潮期连续观测不少于26h，其中应包括转流周期开始至转流后结束的完整时段。</w:t>
      </w:r>
    </w:p>
    <w:p w14:paraId="6C73FACA">
      <w:pPr>
        <w:autoSpaceDE/>
        <w:autoSpaceDN/>
        <w:adjustRightInd/>
        <w:spacing w:beforeLines="0" w:afterLines="0" w:line="360" w:lineRule="auto"/>
        <w:ind w:firstLine="422" w:firstLineChars="200"/>
        <w:rPr>
          <w:rFonts w:hint="eastAsia" w:ascii="宋体" w:hAnsi="宋体" w:eastAsia="宋体" w:cs="宋体"/>
          <w:color w:val="000000"/>
          <w:szCs w:val="21"/>
          <w14:ligatures w14:val="none"/>
        </w:rPr>
      </w:pPr>
      <w:r>
        <w:rPr>
          <w:rFonts w:hint="eastAsia" w:ascii="宋体" w:hAnsi="宋体" w:eastAsia="宋体" w:cs="宋体"/>
          <w:b/>
          <w:bCs/>
          <w:color w:val="000000"/>
          <w:szCs w:val="21"/>
          <w14:ligatures w14:val="none"/>
        </w:rPr>
        <w:t>表</w:t>
      </w:r>
      <w:r>
        <w:rPr>
          <w:rFonts w:hint="eastAsia" w:ascii="宋体" w:hAnsi="宋体" w:eastAsia="宋体" w:cs="宋体"/>
          <w:b/>
          <w:bCs/>
          <w:color w:val="000000"/>
          <w:szCs w:val="21"/>
          <w:lang w:val="en-US" w:eastAsia="zh-CN"/>
          <w14:ligatures w14:val="none"/>
        </w:rPr>
        <w:t>4</w:t>
      </w:r>
      <w:r>
        <w:rPr>
          <w:rFonts w:hint="eastAsia" w:ascii="宋体" w:hAnsi="宋体" w:eastAsia="宋体" w:cs="宋体"/>
          <w:b/>
          <w:bCs/>
          <w:color w:val="000000"/>
          <w:szCs w:val="21"/>
          <w14:ligatures w14:val="none"/>
        </w:rPr>
        <w:t xml:space="preserve">                 </w:t>
      </w:r>
      <w:r>
        <w:rPr>
          <w:rFonts w:hint="eastAsia" w:ascii="宋体" w:hAnsi="宋体" w:eastAsia="宋体" w:cs="宋体"/>
          <w:b/>
          <w:bCs/>
          <w:color w:val="000000"/>
          <w:szCs w:val="21"/>
          <w:lang w:val="en-US" w:eastAsia="zh-CN"/>
          <w14:ligatures w14:val="none"/>
        </w:rPr>
        <w:t xml:space="preserve">     </w:t>
      </w:r>
      <w:r>
        <w:rPr>
          <w:rFonts w:hint="eastAsia" w:ascii="宋体" w:hAnsi="宋体" w:eastAsia="宋体" w:cs="宋体"/>
          <w:b/>
          <w:bCs/>
          <w:color w:val="000000"/>
          <w:szCs w:val="21"/>
          <w14:ligatures w14:val="none"/>
        </w:rPr>
        <w:t xml:space="preserve">  </w:t>
      </w:r>
      <w:r>
        <w:rPr>
          <w:rFonts w:hint="eastAsia" w:ascii="宋体" w:hAnsi="宋体" w:eastAsia="宋体" w:cs="宋体"/>
          <w:b/>
          <w:bCs/>
          <w:color w:val="000000"/>
          <w:szCs w:val="21"/>
          <w:lang w:val="en-US" w:eastAsia="zh-CN"/>
          <w14:ligatures w14:val="none"/>
        </w:rPr>
        <w:t xml:space="preserve"> </w:t>
      </w:r>
      <w:r>
        <w:rPr>
          <w:rFonts w:hint="eastAsia" w:ascii="宋体" w:hAnsi="宋体" w:eastAsia="宋体" w:cs="宋体"/>
          <w:b/>
          <w:bCs/>
          <w:color w:val="000000"/>
          <w:szCs w:val="21"/>
          <w14:ligatures w14:val="none"/>
        </w:rPr>
        <w:t xml:space="preserve">   海流观测层次划定</w:t>
      </w:r>
    </w:p>
    <w:tbl>
      <w:tblPr>
        <w:tblStyle w:val="25"/>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708"/>
        <w:gridCol w:w="2135"/>
        <w:gridCol w:w="4325"/>
      </w:tblGrid>
      <w:tr w14:paraId="0FA40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7" w:type="pct"/>
            <w:vAlign w:val="center"/>
          </w:tcPr>
          <w:p w14:paraId="2FD228A9">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b/>
                <w:bCs/>
                <w:color w:val="000000"/>
                <w:szCs w:val="21"/>
                <w14:ligatures w14:val="none"/>
              </w:rPr>
              <w:t>水深（H）</w:t>
            </w:r>
          </w:p>
        </w:tc>
        <w:tc>
          <w:tcPr>
            <w:tcW w:w="1164" w:type="pct"/>
            <w:vAlign w:val="center"/>
          </w:tcPr>
          <w:p w14:paraId="2C6EADF8">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b/>
                <w:bCs/>
                <w:color w:val="000000"/>
                <w:szCs w:val="21"/>
                <w14:ligatures w14:val="none"/>
              </w:rPr>
              <w:t>观测方法</w:t>
            </w:r>
          </w:p>
        </w:tc>
        <w:tc>
          <w:tcPr>
            <w:tcW w:w="2358" w:type="pct"/>
            <w:vAlign w:val="center"/>
          </w:tcPr>
          <w:p w14:paraId="2D14BD04">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b/>
                <w:bCs/>
                <w:color w:val="000000"/>
                <w:szCs w:val="21"/>
                <w14:ligatures w14:val="none"/>
              </w:rPr>
              <w:t>观测层次</w:t>
            </w:r>
          </w:p>
        </w:tc>
      </w:tr>
      <w:tr w14:paraId="4B32A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7" w:type="pct"/>
            <w:vAlign w:val="center"/>
          </w:tcPr>
          <w:p w14:paraId="2277421B">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H≤1.5m</w:t>
            </w:r>
          </w:p>
        </w:tc>
        <w:tc>
          <w:tcPr>
            <w:tcW w:w="1164" w:type="pct"/>
            <w:vAlign w:val="center"/>
          </w:tcPr>
          <w:p w14:paraId="542FCDE4">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一点法</w:t>
            </w:r>
          </w:p>
        </w:tc>
        <w:tc>
          <w:tcPr>
            <w:tcW w:w="2358" w:type="pct"/>
            <w:vAlign w:val="center"/>
          </w:tcPr>
          <w:p w14:paraId="48FA73A0">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0.6H</w:t>
            </w:r>
          </w:p>
        </w:tc>
      </w:tr>
      <w:tr w14:paraId="51449A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7" w:type="pct"/>
            <w:vAlign w:val="center"/>
          </w:tcPr>
          <w:p w14:paraId="720209C9">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1.5m＜H≤3.0m</w:t>
            </w:r>
          </w:p>
        </w:tc>
        <w:tc>
          <w:tcPr>
            <w:tcW w:w="1164" w:type="pct"/>
            <w:vAlign w:val="center"/>
          </w:tcPr>
          <w:p w14:paraId="533E4CC5">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两点法</w:t>
            </w:r>
          </w:p>
        </w:tc>
        <w:tc>
          <w:tcPr>
            <w:tcW w:w="2358" w:type="pct"/>
            <w:vAlign w:val="center"/>
          </w:tcPr>
          <w:p w14:paraId="1813F903">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0.2H、0.8H</w:t>
            </w:r>
          </w:p>
        </w:tc>
      </w:tr>
      <w:tr w14:paraId="1063B7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7" w:type="pct"/>
            <w:vAlign w:val="center"/>
          </w:tcPr>
          <w:p w14:paraId="4FEB7D07">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3.0m＜H≤5.0m</w:t>
            </w:r>
          </w:p>
        </w:tc>
        <w:tc>
          <w:tcPr>
            <w:tcW w:w="1164" w:type="pct"/>
            <w:vAlign w:val="center"/>
          </w:tcPr>
          <w:p w14:paraId="18285E25">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三点法</w:t>
            </w:r>
          </w:p>
        </w:tc>
        <w:tc>
          <w:tcPr>
            <w:tcW w:w="2358" w:type="pct"/>
            <w:vAlign w:val="center"/>
          </w:tcPr>
          <w:p w14:paraId="5FB07ACB">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0.2H、0.6H、0.8H</w:t>
            </w:r>
          </w:p>
        </w:tc>
      </w:tr>
      <w:tr w14:paraId="55244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7" w:type="pct"/>
            <w:vAlign w:val="center"/>
          </w:tcPr>
          <w:p w14:paraId="5C7B1075">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H＞5m</w:t>
            </w:r>
          </w:p>
        </w:tc>
        <w:tc>
          <w:tcPr>
            <w:tcW w:w="1164" w:type="pct"/>
            <w:vAlign w:val="center"/>
          </w:tcPr>
          <w:p w14:paraId="78334765">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六点法</w:t>
            </w:r>
          </w:p>
        </w:tc>
        <w:tc>
          <w:tcPr>
            <w:tcW w:w="2358" w:type="pct"/>
            <w:vAlign w:val="center"/>
          </w:tcPr>
          <w:p w14:paraId="6246E74C">
            <w:pPr>
              <w:autoSpaceDE/>
              <w:autoSpaceDN/>
              <w:adjustRightInd/>
              <w:spacing w:beforeLines="0" w:afterLines="0" w:line="240" w:lineRule="auto"/>
              <w:ind w:firstLine="0" w:firstLineChars="0"/>
              <w:jc w:val="center"/>
              <w:rPr>
                <w:rFonts w:hint="eastAsia" w:ascii="宋体" w:hAnsi="宋体" w:eastAsia="宋体" w:cs="宋体"/>
                <w:color w:val="000000"/>
                <w:szCs w:val="21"/>
                <w14:ligatures w14:val="none"/>
              </w:rPr>
            </w:pPr>
            <w:r>
              <w:rPr>
                <w:rFonts w:hint="eastAsia" w:ascii="宋体" w:hAnsi="宋体" w:eastAsia="宋体" w:cs="宋体"/>
                <w:color w:val="000000"/>
                <w:szCs w:val="21"/>
                <w14:ligatures w14:val="none"/>
              </w:rPr>
              <w:t>表层、0.2H、0.6H、0.8H、底层</w:t>
            </w:r>
          </w:p>
        </w:tc>
      </w:tr>
    </w:tbl>
    <w:p w14:paraId="6BD0E02A">
      <w:pPr>
        <w:autoSpaceDE/>
        <w:autoSpaceDN/>
        <w:adjustRightInd/>
        <w:spacing w:beforeLines="0" w:afterLines="0" w:line="360" w:lineRule="auto"/>
        <w:ind w:firstLine="420" w:firstLineChars="200"/>
        <w:rPr>
          <w:rFonts w:hint="eastAsia" w:ascii="宋体" w:hAnsi="宋体" w:eastAsia="宋体" w:cs="宋体"/>
          <w:szCs w:val="21"/>
          <w14:ligatures w14:val="none"/>
        </w:rPr>
      </w:pPr>
      <w:r>
        <w:rPr>
          <w:rFonts w:hint="eastAsia" w:ascii="宋体" w:hAnsi="宋体" w:eastAsia="宋体" w:cs="宋体"/>
          <w:color w:val="000000"/>
          <w:sz w:val="21"/>
          <w:szCs w:val="21"/>
          <w14:ligatures w14:val="none"/>
        </w:rPr>
        <w:t>说明：表层指水面下0.5m处，底层指离海底0.5m处。</w:t>
      </w:r>
    </w:p>
    <w:p w14:paraId="4734A11F">
      <w:pPr>
        <w:adjustRightInd/>
        <w:spacing w:before="0" w:beforeLines="0" w:after="0" w:afterLines="0" w:line="360" w:lineRule="auto"/>
        <w:ind w:firstLine="422" w:firstLineChars="200"/>
        <w:outlineLvl w:val="2"/>
        <w:rPr>
          <w:rFonts w:hint="eastAsia" w:ascii="宋体" w:hAnsi="宋体" w:eastAsia="宋体" w:cs="宋体"/>
          <w:b/>
          <w:bCs/>
          <w:color w:val="000000"/>
          <w:sz w:val="21"/>
          <w:szCs w:val="21"/>
          <w14:ligatures w14:val="none"/>
        </w:rPr>
      </w:pPr>
      <w:r>
        <w:rPr>
          <w:rFonts w:hint="eastAsia" w:ascii="宋体" w:hAnsi="宋体" w:eastAsia="宋体" w:cs="宋体"/>
          <w:b/>
          <w:bCs/>
          <w:color w:val="000000"/>
          <w:sz w:val="21"/>
          <w:szCs w:val="21"/>
          <w:lang w:eastAsia="zh-CN"/>
          <w14:ligatures w14:val="none"/>
        </w:rPr>
        <w:t>（六）</w:t>
      </w:r>
      <w:r>
        <w:rPr>
          <w:rFonts w:hint="eastAsia" w:ascii="宋体" w:hAnsi="宋体" w:eastAsia="宋体" w:cs="宋体"/>
          <w:b/>
          <w:bCs/>
          <w:color w:val="000000"/>
          <w:sz w:val="21"/>
          <w:szCs w:val="21"/>
          <w14:ligatures w14:val="none"/>
        </w:rPr>
        <w:t>分析评价要求</w:t>
      </w:r>
    </w:p>
    <w:p w14:paraId="4915F176">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1</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海洋生态环境现状分析评价</w:t>
      </w:r>
    </w:p>
    <w:p w14:paraId="69DD157B">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海洋生态环境现状调查分析评价报告至少应包括以下内容：</w:t>
      </w:r>
    </w:p>
    <w:p w14:paraId="618DF2D0">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（1）海水水质与沉积物</w:t>
      </w:r>
    </w:p>
    <w:p w14:paraId="1DA8FB51">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①明确调查单位、调查日期、调查站位等信息，并给出海水水质、海洋沉积物环境现状调查站位信息表及调查站位分布图。</w:t>
      </w:r>
    </w:p>
    <w:p w14:paraId="76BE1F86">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②给出各调查监测项目以及对应的分析方法一览表。</w:t>
      </w:r>
    </w:p>
    <w:p w14:paraId="76CC545B">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③给出调查站位与近岸海域环境功能区划、市域国土空间二级规划分区图叠图，并列表给出调查站位所在功能区及执行标准一览表，判定各站位执行的评价标准。</w:t>
      </w:r>
    </w:p>
    <w:p w14:paraId="17CD30DB">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④采用单一站位的单因子标准指数法进行海水水质、海洋沉积物（含潮间带沉积物）现状评价，海水水质现状评价采用指数计算公式参考HJ 2.3 附录D。分层采样的点位采用多层数据的平均值进行评价。</w:t>
      </w:r>
    </w:p>
    <w:p w14:paraId="35D7F689">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⑤列表给出各站位、各层次、各因子的调查结果及评价结果统计表，分析阐明水质和沉积物主要调查因子的质量现状及其基本特征；评价各海洋环境功能区和生态敏感区水质和沉积物达标情况，明确超标因子和超标程度，分析超标原因；分析超标因子、特征因子的分布特征，结合历史资料阐明水质年际变化的趋势及特征；明确水质和沉积物现状的综合评价结论。</w:t>
      </w:r>
    </w:p>
    <w:p w14:paraId="3919A95B">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⑥列表给出海洋沉积物、潮间带沉积物粒度检测结果，</w:t>
      </w:r>
      <w:r>
        <w:rPr>
          <w:rFonts w:hint="eastAsia" w:ascii="宋体" w:hAnsi="宋体" w:eastAsia="宋体" w:cs="宋体"/>
          <w:sz w:val="21"/>
          <w:szCs w:val="21"/>
          <w14:ligatures w14:val="none"/>
        </w:rPr>
        <w:t>包括累计百分体积对应粒径、平均粒径、分选系数、偏态、峰态以及沉积物类型命名。</w:t>
      </w:r>
    </w:p>
    <w:p w14:paraId="2882DBC1">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（2）海洋生态、渔业资源</w:t>
      </w:r>
    </w:p>
    <w:p w14:paraId="3F3550D5">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①明确调查单位、调查日期、调查站位等信息，并给出海洋生态及渔业资源拖网现状调查站位信息表及调查站位分布图。</w:t>
      </w:r>
    </w:p>
    <w:p w14:paraId="7B6ACD6C">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②给出各调查监测项目以及对应的分析方法一览表，调查船只、调查仪器和网具规格参数等信息。</w:t>
      </w:r>
    </w:p>
    <w:p w14:paraId="4B57A477">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③给出调查站位与市域国土空间二级规划分区图叠图，并列表给出调查站位所在功能区及执行标准一览表，判定各站位执行的评价标准。</w:t>
      </w:r>
    </w:p>
    <w:p w14:paraId="7C4D495C">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④给出优势度、多样性指数、丰富度指数、均匀度指数等评价指标计算方法。</w:t>
      </w:r>
    </w:p>
    <w:p w14:paraId="3C045059">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⑤分析阐明初级生产力（叶绿素a）浓度范围、分布特点，浮游植物、浮游动物、游泳动物（含鱼卵仔稚鱼）、潮间带生物、底栖生物等的种类组成、群落特征、分布特点；参照HY/T 215 分析浮游植物、浮游动物、游泳动物（含鱼卵仔稚鱼）、潮间带生物、底栖生物（含污损生物）的总物种数、单站物种数、优势种及其优势度、生物量、密度（丰度）、物种多样性指数、物种丰富度指数、物种均匀度指数等，分析阐明评价海域的生物多样性现状；结合历史数据，分析评价生物多样性的变化趋势；评价方法参考HJ 19 的附录C。</w:t>
      </w:r>
    </w:p>
    <w:p w14:paraId="0C8B3EFA">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⑥生物质量评价，分析各调查因子的环境现状及其基本特征，评价各调查因子达标情况，明确超标因子和超标程度，分析超标原因；分析超标因子、特征因子的浓度分布特征；给出综合评价结果。</w:t>
      </w:r>
    </w:p>
    <w:p w14:paraId="54FBABB9">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⑦附录中给出各调查项目物种名录。</w:t>
      </w:r>
    </w:p>
    <w:p w14:paraId="55F7CD2B">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2</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海洋水文动力现状分析评价</w:t>
      </w:r>
    </w:p>
    <w:p w14:paraId="1E86D938">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海洋水文动力与泥沙调查评价报告中至少应包括以下内容：</w:t>
      </w:r>
    </w:p>
    <w:p w14:paraId="3647F0B7">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（1）潮位分析</w:t>
      </w:r>
    </w:p>
    <w:p w14:paraId="00EA7F3D">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潮位过程曲线及分析、实测潮汐特征值（涨落潮历时、最高潮位、最低潮位、平均高潮位、平均低潮位、平均海平面、最大潮差、最小潮差、平均潮差等）、潮汐性质判定及典型分潮调和常数值。</w:t>
      </w:r>
    </w:p>
    <w:p w14:paraId="3F200A12">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（2）海流分析</w:t>
      </w:r>
    </w:p>
    <w:p w14:paraId="4B2F363F">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各个站位表层、0.2H、0.4H、0.6H、0.8H、底层以及垂线平均的潮流矢量玫瑰图；潮位与垂线平均潮流的同步过程线图；准调和分析得出的潮流类型、潮流运动形式及椭圆要素结果；各站各层海流可能最大流速及流向；各站各层潮流水质点最大可能运移距离；余流特征。</w:t>
      </w:r>
    </w:p>
    <w:p w14:paraId="6D40EECB">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（3）温度、盐度分析</w:t>
      </w:r>
    </w:p>
    <w:p w14:paraId="6F15CEC4">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各站各层涨潮、落潮时段最大实测流速值、平均实测流速值统计结果；各站各层温度、盐度特征值（最大值、最小值、平均值）统计结果；各站各层温度、盐度过程曲线图。</w:t>
      </w:r>
    </w:p>
    <w:p w14:paraId="32AA1A22">
      <w:pPr>
        <w:spacing w:before="0" w:beforeLines="0" w:after="0" w:afterLines="0"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（4）悬沙分析</w:t>
      </w:r>
    </w:p>
    <w:p w14:paraId="42B9579A">
      <w:pPr>
        <w:spacing w:before="0" w:beforeLines="0" w:after="0" w:afterLines="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各站各层含沙量特征值（最大值、最小值、平均值）统计结果；各站各层悬沙颗粒粒组（砂、粉砂、粘土）含量、粒度参数（中值粒径、平均粒径、分选系数、偏态、峰态）统计结果。</w:t>
      </w:r>
    </w:p>
    <w:p w14:paraId="55F9D70F">
      <w:pPr>
        <w:widowControl/>
        <w:spacing w:beforeLines="0" w:afterLines="0" w:line="360" w:lineRule="auto"/>
        <w:ind w:firstLine="420" w:firstLineChars="200"/>
        <w:rPr>
          <w:rFonts w:hint="eastAsia" w:ascii="宋体" w:hAnsi="宋体" w:eastAsia="宋体" w:cs="宋体"/>
          <w:color w:val="auto"/>
          <w:sz w:val="21"/>
          <w:szCs w:val="21"/>
          <w:highlight w:val="none"/>
          <w:lang w:bidi="ar"/>
        </w:rPr>
      </w:pPr>
    </w:p>
    <w:p w14:paraId="05F7FAB1">
      <w:pPr>
        <w:widowControl/>
        <w:spacing w:line="360" w:lineRule="auto"/>
        <w:ind w:firstLine="422" w:firstLineChars="200"/>
        <w:outlineLvl w:val="1"/>
        <w:rPr>
          <w:rFonts w:ascii="宋体" w:hAnsi="宋体" w:cs="宋体"/>
          <w:b/>
          <w:bCs/>
          <w:color w:val="auto"/>
          <w:sz w:val="21"/>
          <w:szCs w:val="21"/>
          <w:highlight w:val="none"/>
          <w:lang w:bidi="ar"/>
        </w:rPr>
      </w:pPr>
      <w:bookmarkStart w:id="67" w:name="_Toc32645"/>
      <w:bookmarkStart w:id="68" w:name="_Toc14493"/>
      <w:bookmarkStart w:id="69" w:name="_Toc1531"/>
      <w:bookmarkStart w:id="70" w:name="_Toc15886"/>
      <w:r>
        <w:rPr>
          <w:rFonts w:hint="eastAsia" w:ascii="宋体" w:hAnsi="宋体" w:cs="宋体"/>
          <w:b/>
          <w:bCs/>
          <w:color w:val="auto"/>
          <w:sz w:val="21"/>
          <w:szCs w:val="21"/>
          <w:highlight w:val="none"/>
          <w:lang w:bidi="ar"/>
        </w:rPr>
        <w:t>四、商务要求</w:t>
      </w:r>
      <w:bookmarkEnd w:id="67"/>
      <w:bookmarkEnd w:id="68"/>
      <w:bookmarkEnd w:id="69"/>
      <w:bookmarkEnd w:id="70"/>
    </w:p>
    <w:p w14:paraId="2E365AB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（一）报价要求</w:t>
      </w:r>
    </w:p>
    <w:p w14:paraId="657D36D6">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投标报价为完成采购人指定服务全部内容的报价，必须包含：履行合同的最终价格，包括了供应商完成本项目所需的一切工作内容而发生的所有直接费用、间接费用、其他费用、税金等全部费用和供应商要求获得的利润以及应由供应商承担的义务、责任和风险所发生的一切费用。</w:t>
      </w:r>
    </w:p>
    <w:p w14:paraId="3D9A60BB">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2.本次采购采用总价包干，投标报价包含为完成</w:t>
      </w:r>
      <w:r>
        <w:rPr>
          <w:rFonts w:hint="eastAsia" w:ascii="宋体" w:hAnsi="宋体" w:cs="宋体"/>
          <w:color w:val="auto"/>
          <w:sz w:val="21"/>
          <w:szCs w:val="21"/>
          <w:highlight w:val="none"/>
          <w:u w:val="single"/>
          <w:lang w:val="en-US" w:eastAsia="zh-CN" w:bidi="ar"/>
        </w:rPr>
        <w:t xml:space="preserve"> 钦州港20万吨级进港航道一期工程秋季海洋生态和水文动力环境现状调查与评价服务 </w:t>
      </w:r>
      <w:r>
        <w:rPr>
          <w:rFonts w:hint="eastAsia" w:ascii="宋体" w:hAnsi="宋体" w:cs="宋体"/>
          <w:color w:val="auto"/>
          <w:sz w:val="21"/>
          <w:szCs w:val="21"/>
          <w:highlight w:val="none"/>
          <w:lang w:bidi="ar"/>
        </w:rPr>
        <w:t>项目的全部工作以及</w:t>
      </w:r>
      <w:r>
        <w:rPr>
          <w:rFonts w:hint="eastAsia" w:ascii="宋体" w:hAnsi="宋体" w:cs="宋体"/>
          <w:color w:val="auto"/>
          <w:sz w:val="21"/>
          <w:szCs w:val="21"/>
          <w:highlight w:val="none"/>
          <w:lang w:eastAsia="zh-CN" w:bidi="ar"/>
        </w:rPr>
        <w:t>全过程</w:t>
      </w:r>
      <w:r>
        <w:rPr>
          <w:rFonts w:hint="eastAsia" w:ascii="宋体" w:hAnsi="宋体" w:cs="宋体"/>
          <w:color w:val="auto"/>
          <w:sz w:val="21"/>
          <w:szCs w:val="21"/>
          <w:highlight w:val="none"/>
          <w:lang w:bidi="ar"/>
        </w:rPr>
        <w:t>可能发生的各种费用，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3F3ED957">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（二）工期要求</w:t>
      </w:r>
    </w:p>
    <w:p w14:paraId="3B64E2EE">
      <w:pPr>
        <w:widowControl/>
        <w:spacing w:line="360" w:lineRule="auto"/>
        <w:ind w:firstLine="420" w:firstLineChars="200"/>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rPr>
        <w:t>总工期：</w:t>
      </w:r>
      <w:r>
        <w:rPr>
          <w:rFonts w:hint="eastAsia" w:ascii="宋体" w:hAnsi="宋体" w:cs="宋体"/>
          <w:bCs/>
          <w:color w:val="auto"/>
          <w:sz w:val="21"/>
          <w:szCs w:val="21"/>
          <w:highlight w:val="none"/>
          <w:lang w:val="en-US" w:eastAsia="zh-CN"/>
        </w:rPr>
        <w:t>100日历天</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eastAsia="zh-CN"/>
        </w:rPr>
        <w:t>具体如下：</w:t>
      </w:r>
    </w:p>
    <w:p w14:paraId="51EEDF6F">
      <w:pPr>
        <w:widowControl/>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w:t>
      </w:r>
      <w:r>
        <w:rPr>
          <w:rFonts w:hint="eastAsia" w:ascii="宋体" w:hAnsi="宋体" w:cs="宋体"/>
          <w:bCs/>
          <w:color w:val="auto"/>
          <w:sz w:val="21"/>
          <w:szCs w:val="21"/>
          <w:highlight w:val="none"/>
          <w:lang w:eastAsia="zh-CN"/>
        </w:rPr>
        <w:t>合同签订后</w:t>
      </w:r>
      <w:r>
        <w:rPr>
          <w:rFonts w:hint="eastAsia" w:ascii="宋体" w:hAnsi="宋体" w:cs="宋体"/>
          <w:bCs/>
          <w:color w:val="auto"/>
          <w:sz w:val="21"/>
          <w:szCs w:val="21"/>
          <w:highlight w:val="none"/>
        </w:rPr>
        <w:t>60天内，完成2026年秋季海洋生态和水文动力环境现状调查；</w:t>
      </w:r>
    </w:p>
    <w:p w14:paraId="1314A97F">
      <w:pPr>
        <w:widowControl/>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w:t>
      </w:r>
      <w:r>
        <w:rPr>
          <w:rFonts w:hint="eastAsia" w:ascii="宋体" w:hAnsi="宋体" w:cs="宋体"/>
          <w:bCs/>
          <w:color w:val="auto"/>
          <w:sz w:val="21"/>
          <w:szCs w:val="21"/>
          <w:highlight w:val="none"/>
          <w:lang w:eastAsia="zh-CN"/>
        </w:rPr>
        <w:t>合同签订后</w:t>
      </w:r>
      <w:r>
        <w:rPr>
          <w:rFonts w:hint="eastAsia" w:ascii="宋体" w:hAnsi="宋体" w:cs="宋体"/>
          <w:bCs/>
          <w:color w:val="auto"/>
          <w:sz w:val="21"/>
          <w:szCs w:val="21"/>
          <w:highlight w:val="none"/>
        </w:rPr>
        <w:t>90天内，完成《钦州港20万吨级进港航道一期工程海洋生态环境调查分析评价报告（秋季）》和《钦州港20万吨级进港航道一期工程海洋水文动力现状调查分析评价报告（秋季）》编制；</w:t>
      </w:r>
    </w:p>
    <w:p w14:paraId="5BCE014F">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bCs/>
          <w:color w:val="auto"/>
          <w:sz w:val="21"/>
          <w:szCs w:val="21"/>
          <w:highlight w:val="none"/>
        </w:rPr>
        <w:t>（3）技术成果通过验收后，10天内提交最终成果。</w:t>
      </w:r>
    </w:p>
    <w:p w14:paraId="0499ED07">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成果验收时间另行计算，不计入总工期</w:t>
      </w:r>
    </w:p>
    <w:p w14:paraId="6651F54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（三）成果交付要求</w:t>
      </w:r>
    </w:p>
    <w:p w14:paraId="2E228E49">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1.</w:t>
      </w:r>
      <w:r>
        <w:rPr>
          <w:rFonts w:hint="eastAsia" w:ascii="宋体" w:hAnsi="宋体" w:cs="宋体"/>
          <w:color w:val="auto"/>
          <w:sz w:val="21"/>
          <w:szCs w:val="21"/>
          <w:highlight w:val="none"/>
          <w:lang w:bidi="ar"/>
        </w:rPr>
        <w:t>成果内容</w:t>
      </w:r>
    </w:p>
    <w:p w14:paraId="44CA116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eastAsia="zh-CN" w:bidi="ar"/>
        </w:rPr>
        <w:t>成果内容包括：</w:t>
      </w:r>
      <w:r>
        <w:rPr>
          <w:rFonts w:hint="eastAsia" w:ascii="宋体" w:hAnsi="宋体" w:cs="宋体"/>
          <w:bCs/>
          <w:color w:val="auto"/>
          <w:sz w:val="21"/>
          <w:szCs w:val="21"/>
          <w:highlight w:val="none"/>
        </w:rPr>
        <w:t>《钦州港20万吨级进港航道一期工程海洋生态环境调查分析评价报告（秋季）》和《钦州港20万吨级进港航道一期工程海洋水文动力现状调查分析评价报告（秋季）》</w:t>
      </w:r>
      <w:r>
        <w:rPr>
          <w:rFonts w:hint="eastAsia" w:ascii="宋体" w:hAnsi="宋体" w:cs="宋体"/>
          <w:color w:val="auto"/>
          <w:sz w:val="21"/>
          <w:szCs w:val="21"/>
          <w:highlight w:val="none"/>
          <w:lang w:bidi="ar"/>
        </w:rPr>
        <w:t>。</w:t>
      </w:r>
    </w:p>
    <w:p w14:paraId="706EC850">
      <w:pPr>
        <w:widowControl/>
        <w:spacing w:line="360" w:lineRule="auto"/>
        <w:ind w:firstLine="420" w:firstLineChars="200"/>
        <w:rPr>
          <w:rFonts w:hint="default"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2.成果形式要求</w:t>
      </w:r>
    </w:p>
    <w:p w14:paraId="2F3207F6">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成果形式</w:t>
      </w:r>
      <w:r>
        <w:rPr>
          <w:rFonts w:hint="eastAsia" w:ascii="宋体" w:hAnsi="宋体" w:cs="宋体"/>
          <w:color w:val="auto"/>
          <w:sz w:val="21"/>
          <w:szCs w:val="21"/>
          <w:highlight w:val="none"/>
          <w:lang w:eastAsia="zh-CN" w:bidi="ar"/>
        </w:rPr>
        <w:t>包括：纸质成果和电子成果。要求如下：</w:t>
      </w:r>
    </w:p>
    <w:p w14:paraId="763F7124">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1</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纸质成果：最终成果文</w:t>
      </w:r>
      <w:r>
        <w:rPr>
          <w:rFonts w:hint="eastAsia" w:ascii="宋体" w:hAnsi="宋体" w:cs="宋体"/>
          <w:color w:val="auto"/>
          <w:sz w:val="21"/>
          <w:szCs w:val="21"/>
          <w:highlight w:val="none"/>
          <w:lang w:eastAsia="zh-CN" w:bidi="ar"/>
        </w:rPr>
        <w:t>件需按规定签字或签章，并加盖单位公章</w:t>
      </w:r>
      <w:r>
        <w:rPr>
          <w:rFonts w:hint="eastAsia" w:ascii="宋体" w:hAnsi="宋体" w:cs="宋体"/>
          <w:color w:val="auto"/>
          <w:sz w:val="21"/>
          <w:szCs w:val="21"/>
          <w:highlight w:val="none"/>
          <w:lang w:bidi="ar"/>
        </w:rPr>
        <w:t>。</w:t>
      </w:r>
    </w:p>
    <w:p w14:paraId="54C732C4">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2</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电子成果：</w:t>
      </w:r>
      <w:r>
        <w:rPr>
          <w:rFonts w:hint="eastAsia" w:ascii="宋体" w:hAnsi="宋体" w:cs="宋体"/>
          <w:color w:val="auto"/>
          <w:sz w:val="21"/>
          <w:szCs w:val="21"/>
          <w:highlight w:val="none"/>
          <w:lang w:val="en-US" w:eastAsia="zh-CN" w:bidi="ar"/>
        </w:rPr>
        <w:t>所有最终成果应提供电子文件，包括可编辑文档（</w:t>
      </w:r>
      <w:r>
        <w:rPr>
          <w:rFonts w:hint="eastAsia" w:ascii="宋体" w:hAnsi="宋体" w:cs="宋体"/>
          <w:color w:val="auto"/>
          <w:szCs w:val="21"/>
          <w:highlight w:val="none"/>
          <w:lang w:bidi="ar"/>
        </w:rPr>
        <w:t>文字为WORD格式、图纸为可编辑的CAD格式</w:t>
      </w:r>
      <w:r>
        <w:rPr>
          <w:rFonts w:hint="eastAsia" w:ascii="宋体" w:hAnsi="宋体" w:cs="宋体"/>
          <w:color w:val="auto"/>
          <w:sz w:val="21"/>
          <w:szCs w:val="21"/>
          <w:highlight w:val="none"/>
          <w:lang w:val="en-US" w:eastAsia="zh-CN" w:bidi="ar"/>
        </w:rPr>
        <w:t>）和按要求签字、签章的成果文件PDF或扫描件。</w:t>
      </w:r>
    </w:p>
    <w:p w14:paraId="39C41AD6">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3.成果交付份数</w:t>
      </w:r>
    </w:p>
    <w:p w14:paraId="3727E2D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（1）中间成果报告，一式20份，或者满足报告评审的需要。</w:t>
      </w:r>
    </w:p>
    <w:p w14:paraId="5CABA5A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（2）最终成果报告纸质文件各5份。</w:t>
      </w:r>
    </w:p>
    <w:p w14:paraId="73289047">
      <w:pPr>
        <w:widowControl/>
        <w:spacing w:line="360" w:lineRule="auto"/>
        <w:ind w:firstLine="420" w:firstLineChars="200"/>
        <w:rPr>
          <w:rFonts w:hint="eastAsia" w:ascii="宋体" w:hAnsi="宋体" w:eastAsia="宋体" w:cs="宋体"/>
          <w:color w:val="auto"/>
          <w:szCs w:val="21"/>
          <w:highlight w:val="none"/>
          <w:lang w:eastAsia="zh-CN" w:bidi="ar"/>
        </w:rPr>
      </w:pP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3</w:t>
      </w:r>
      <w:r>
        <w:rPr>
          <w:rFonts w:hint="eastAsia" w:ascii="宋体" w:hAnsi="宋体" w:cs="宋体"/>
          <w:color w:val="auto"/>
          <w:szCs w:val="21"/>
          <w:highlight w:val="none"/>
          <w:lang w:eastAsia="zh-CN" w:bidi="ar"/>
        </w:rPr>
        <w:t>）</w:t>
      </w:r>
      <w:r>
        <w:rPr>
          <w:rFonts w:hint="eastAsia" w:ascii="宋体" w:hAnsi="宋体" w:cs="宋体"/>
          <w:color w:val="auto"/>
          <w:sz w:val="21"/>
          <w:szCs w:val="21"/>
          <w:highlight w:val="none"/>
          <w:lang w:val="en-US" w:eastAsia="zh-CN" w:bidi="ar"/>
        </w:rPr>
        <w:t>最终成果电子文件（包括可编辑文档和按要求签章的成果文件的PDF或扫描件）一式2份，光盘和U盘各1份贮存。</w:t>
      </w:r>
    </w:p>
    <w:p w14:paraId="38C98C32">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val="en-US" w:eastAsia="zh-CN" w:bidi="ar"/>
        </w:rPr>
        <w:t>4.</w:t>
      </w:r>
      <w:r>
        <w:rPr>
          <w:rFonts w:hint="eastAsia" w:ascii="宋体" w:hAnsi="宋体" w:cs="宋体"/>
          <w:color w:val="auto"/>
          <w:szCs w:val="21"/>
          <w:highlight w:val="none"/>
          <w:lang w:bidi="ar"/>
        </w:rPr>
        <w:t>成果交付地点</w:t>
      </w:r>
    </w:p>
    <w:p w14:paraId="3F28BA96">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Cs w:val="21"/>
          <w:highlight w:val="none"/>
          <w:lang w:eastAsia="zh-CN" w:bidi="ar"/>
        </w:rPr>
        <w:t>成果交付地点为</w:t>
      </w:r>
      <w:r>
        <w:rPr>
          <w:rFonts w:hint="eastAsia" w:ascii="宋体" w:hAnsi="宋体" w:cs="宋体"/>
          <w:color w:val="auto"/>
          <w:szCs w:val="21"/>
          <w:highlight w:val="none"/>
          <w:lang w:bidi="ar"/>
        </w:rPr>
        <w:t>采购人办公地点</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采购人可根据需要指定其他地点。</w:t>
      </w:r>
    </w:p>
    <w:p w14:paraId="048A643C">
      <w:pPr>
        <w:widowControl/>
        <w:spacing w:line="360" w:lineRule="auto"/>
        <w:ind w:firstLine="420" w:firstLineChars="200"/>
        <w:rPr>
          <w:rFonts w:hint="default" w:ascii="宋体" w:hAnsi="宋体" w:eastAsia="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5.成果验收</w:t>
      </w:r>
    </w:p>
    <w:p w14:paraId="58229E01">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按要求提</w:t>
      </w:r>
      <w:r>
        <w:rPr>
          <w:rFonts w:hint="eastAsia" w:ascii="宋体" w:hAnsi="宋体" w:cs="宋体"/>
          <w:color w:val="auto"/>
          <w:sz w:val="21"/>
          <w:szCs w:val="21"/>
          <w:highlight w:val="none"/>
          <w:lang w:eastAsia="zh-CN" w:bidi="ar"/>
        </w:rPr>
        <w:t>交</w:t>
      </w:r>
      <w:r>
        <w:rPr>
          <w:rFonts w:hint="eastAsia" w:ascii="宋体" w:hAnsi="宋体" w:cs="宋体"/>
          <w:color w:val="auto"/>
          <w:sz w:val="21"/>
          <w:szCs w:val="21"/>
          <w:highlight w:val="none"/>
          <w:lang w:bidi="ar"/>
        </w:rPr>
        <w:t>成果文件后，由</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组织专家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验收过程所产生的专家咨询费等相关费用由</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承担。</w:t>
      </w:r>
    </w:p>
    <w:p w14:paraId="0382B583">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（四）付款方式</w:t>
      </w:r>
    </w:p>
    <w:p w14:paraId="189E150A">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根据</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的工作进度，分期支付合同价款。</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根据工作进度，向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提交支付申请，并附相应的支持性证明文件。</w:t>
      </w:r>
    </w:p>
    <w:p w14:paraId="5078F432">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因本项目经费为财政性资金，由于财政资金未按时到位或财政资金管理原因暂时不能支付的，合同价款的支付时间相应顺延，并且</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不因此承担逾期付款的违约责任。</w:t>
      </w:r>
    </w:p>
    <w:p w14:paraId="44B31947">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 第一期付款</w:t>
      </w:r>
      <w:r>
        <w:rPr>
          <w:rFonts w:hint="eastAsia" w:ascii="宋体" w:hAnsi="宋体" w:cs="宋体"/>
          <w:color w:val="auto"/>
          <w:sz w:val="21"/>
          <w:szCs w:val="21"/>
          <w:highlight w:val="none"/>
          <w:lang w:eastAsia="zh-CN" w:bidi="ar"/>
        </w:rPr>
        <w:t>（预付款）</w:t>
      </w:r>
      <w:r>
        <w:rPr>
          <w:rFonts w:hint="eastAsia" w:ascii="宋体" w:hAnsi="宋体" w:cs="宋体"/>
          <w:color w:val="auto"/>
          <w:sz w:val="21"/>
          <w:szCs w:val="21"/>
          <w:highlight w:val="none"/>
          <w:lang w:bidi="ar"/>
        </w:rPr>
        <w:t>：合同签署后，由</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（联合体时，为牵头人）提交预付款支付申请，</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收到预付款支付申请后的14天内，向</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（联合体时，为牵头人）支付合同价的</w:t>
      </w:r>
      <w:r>
        <w:rPr>
          <w:rFonts w:hint="eastAsia" w:ascii="宋体" w:hAnsi="宋体" w:cs="宋体"/>
          <w:color w:val="auto"/>
          <w:sz w:val="21"/>
          <w:szCs w:val="21"/>
          <w:highlight w:val="none"/>
          <w:lang w:val="en-US" w:eastAsia="zh-CN" w:bidi="ar"/>
        </w:rPr>
        <w:t>3</w:t>
      </w:r>
      <w:r>
        <w:rPr>
          <w:rFonts w:hint="eastAsia" w:ascii="宋体" w:hAnsi="宋体" w:cs="宋体"/>
          <w:color w:val="auto"/>
          <w:sz w:val="21"/>
          <w:szCs w:val="21"/>
          <w:highlight w:val="none"/>
          <w:lang w:bidi="ar"/>
        </w:rPr>
        <w:t>0%作为预付款；</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应当提供等额的增值税普通发票；本合同履行后，预付款抵作</w:t>
      </w:r>
      <w:r>
        <w:rPr>
          <w:rFonts w:hint="eastAsia" w:ascii="宋体" w:hAnsi="宋体" w:cs="宋体"/>
          <w:color w:val="auto"/>
          <w:sz w:val="21"/>
          <w:szCs w:val="21"/>
          <w:highlight w:val="none"/>
          <w:lang w:eastAsia="zh-CN" w:bidi="ar"/>
        </w:rPr>
        <w:t>进度款</w:t>
      </w:r>
      <w:r>
        <w:rPr>
          <w:rFonts w:hint="eastAsia" w:ascii="宋体" w:hAnsi="宋体" w:cs="宋体"/>
          <w:color w:val="auto"/>
          <w:sz w:val="21"/>
          <w:szCs w:val="21"/>
          <w:highlight w:val="none"/>
          <w:lang w:bidi="ar"/>
        </w:rPr>
        <w:t>，如因发生不可抗力事件导致预付款已支付但合同无法继续履行的情况，</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（联合体时，为牵头人）应向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退还尚未开展工作内容对应的款项。</w:t>
      </w:r>
    </w:p>
    <w:p w14:paraId="507CE862">
      <w:pPr>
        <w:widowControl/>
        <w:spacing w:line="360" w:lineRule="auto"/>
        <w:ind w:firstLine="420" w:firstLineChars="200"/>
        <w:rPr>
          <w:rFonts w:ascii="宋体" w:hAnsi="宋体" w:cs="宋体"/>
          <w:color w:val="auto"/>
          <w:sz w:val="24"/>
          <w:highlight w:val="none"/>
          <w:lang w:bidi="ar"/>
        </w:rPr>
      </w:pPr>
      <w:r>
        <w:rPr>
          <w:rFonts w:hint="eastAsia" w:ascii="宋体" w:hAnsi="宋体" w:cs="宋体"/>
          <w:color w:val="auto"/>
          <w:sz w:val="21"/>
          <w:szCs w:val="21"/>
          <w:highlight w:val="none"/>
          <w:lang w:val="en-US" w:eastAsia="zh-CN" w:bidi="ar"/>
        </w:rPr>
        <w:t>2</w:t>
      </w:r>
      <w:r>
        <w:rPr>
          <w:rFonts w:hint="eastAsia" w:ascii="宋体" w:hAnsi="宋体" w:cs="宋体"/>
          <w:color w:val="auto"/>
          <w:sz w:val="21"/>
          <w:szCs w:val="21"/>
          <w:highlight w:val="none"/>
          <w:lang w:bidi="ar"/>
        </w:rPr>
        <w:t>. 第二期付款</w:t>
      </w:r>
      <w:r>
        <w:rPr>
          <w:rFonts w:hint="eastAsia" w:ascii="宋体" w:hAnsi="宋体" w:cs="宋体"/>
          <w:color w:val="auto"/>
          <w:sz w:val="21"/>
          <w:szCs w:val="21"/>
          <w:highlight w:val="none"/>
          <w:lang w:eastAsia="zh-CN" w:bidi="ar"/>
        </w:rPr>
        <w:t>（尾款）</w:t>
      </w:r>
      <w:r>
        <w:rPr>
          <w:rFonts w:hint="eastAsia" w:ascii="宋体" w:hAnsi="宋体" w:cs="宋体"/>
          <w:color w:val="auto"/>
          <w:sz w:val="21"/>
          <w:szCs w:val="21"/>
          <w:highlight w:val="none"/>
          <w:lang w:bidi="ar"/>
        </w:rPr>
        <w:t>：在</w:t>
      </w:r>
      <w:r>
        <w:rPr>
          <w:rFonts w:hint="eastAsia" w:ascii="宋体" w:hAnsi="宋体" w:cs="宋体"/>
          <w:color w:val="auto"/>
          <w:sz w:val="21"/>
          <w:szCs w:val="21"/>
          <w:highlight w:val="none"/>
          <w:lang w:eastAsia="zh-CN" w:bidi="ar"/>
        </w:rPr>
        <w:t>所有合同工作完成且评审验收合格</w:t>
      </w:r>
      <w:r>
        <w:rPr>
          <w:rFonts w:hint="eastAsia" w:ascii="宋体" w:hAnsi="宋体" w:cs="宋体"/>
          <w:color w:val="auto"/>
          <w:sz w:val="21"/>
          <w:szCs w:val="21"/>
          <w:highlight w:val="none"/>
          <w:lang w:bidi="ar"/>
        </w:rPr>
        <w:t>后，</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（联合体时，为牵头人）</w:t>
      </w:r>
      <w:r>
        <w:rPr>
          <w:rFonts w:hint="eastAsia" w:ascii="宋体" w:hAnsi="宋体" w:cs="宋体"/>
          <w:color w:val="auto"/>
          <w:sz w:val="21"/>
          <w:szCs w:val="21"/>
          <w:highlight w:val="none"/>
          <w:lang w:eastAsia="zh-CN" w:bidi="ar"/>
        </w:rPr>
        <w:t>向采购人</w:t>
      </w:r>
      <w:r>
        <w:rPr>
          <w:rFonts w:hint="eastAsia" w:ascii="宋体" w:hAnsi="宋体" w:cs="宋体"/>
          <w:color w:val="auto"/>
          <w:sz w:val="21"/>
          <w:szCs w:val="21"/>
          <w:highlight w:val="none"/>
          <w:lang w:bidi="ar"/>
        </w:rPr>
        <w:t>提交</w:t>
      </w:r>
      <w:r>
        <w:rPr>
          <w:rFonts w:hint="eastAsia" w:ascii="宋体" w:hAnsi="宋体" w:cs="宋体"/>
          <w:color w:val="auto"/>
          <w:sz w:val="21"/>
          <w:szCs w:val="21"/>
          <w:highlight w:val="none"/>
          <w:lang w:eastAsia="zh-CN" w:bidi="ar"/>
        </w:rPr>
        <w:t>尾款</w:t>
      </w:r>
      <w:r>
        <w:rPr>
          <w:rFonts w:hint="eastAsia" w:ascii="宋体" w:hAnsi="宋体" w:cs="宋体"/>
          <w:color w:val="auto"/>
          <w:sz w:val="21"/>
          <w:szCs w:val="21"/>
          <w:highlight w:val="none"/>
          <w:lang w:bidi="ar"/>
        </w:rPr>
        <w:t>支付申请</w:t>
      </w:r>
      <w:r>
        <w:rPr>
          <w:rFonts w:hint="eastAsia" w:ascii="宋体" w:hAnsi="宋体" w:cs="宋体"/>
          <w:color w:val="auto"/>
          <w:sz w:val="21"/>
          <w:szCs w:val="21"/>
          <w:highlight w:val="none"/>
          <w:lang w:eastAsia="zh-CN" w:bidi="ar"/>
        </w:rPr>
        <w:t>，并</w:t>
      </w:r>
      <w:r>
        <w:rPr>
          <w:rFonts w:hint="eastAsia" w:ascii="宋体" w:hAnsi="宋体" w:cs="宋体"/>
          <w:color w:val="auto"/>
          <w:sz w:val="21"/>
          <w:szCs w:val="21"/>
          <w:highlight w:val="none"/>
          <w:lang w:bidi="ar"/>
        </w:rPr>
        <w:t>提交</w:t>
      </w:r>
      <w:r>
        <w:rPr>
          <w:rFonts w:hint="eastAsia" w:ascii="宋体" w:hAnsi="宋体" w:cs="宋体"/>
          <w:color w:val="auto"/>
          <w:sz w:val="21"/>
          <w:szCs w:val="21"/>
          <w:highlight w:val="none"/>
          <w:lang w:eastAsia="zh-CN" w:bidi="ar"/>
        </w:rPr>
        <w:t>最终</w:t>
      </w:r>
      <w:r>
        <w:rPr>
          <w:rFonts w:hint="eastAsia" w:ascii="宋体" w:hAnsi="宋体" w:cs="宋体"/>
          <w:color w:val="auto"/>
          <w:sz w:val="21"/>
          <w:szCs w:val="21"/>
          <w:highlight w:val="none"/>
          <w:lang w:bidi="ar"/>
        </w:rPr>
        <w:t>成果</w:t>
      </w:r>
      <w:r>
        <w:rPr>
          <w:rFonts w:hint="eastAsia" w:ascii="宋体" w:hAnsi="宋体" w:cs="宋体"/>
          <w:color w:val="auto"/>
          <w:sz w:val="21"/>
          <w:szCs w:val="21"/>
          <w:highlight w:val="none"/>
          <w:lang w:eastAsia="zh-CN" w:bidi="ar"/>
        </w:rPr>
        <w:t>文件和评审验收合格等有关证明材料</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收到</w:t>
      </w:r>
      <w:r>
        <w:rPr>
          <w:rFonts w:hint="eastAsia" w:ascii="宋体" w:hAnsi="宋体" w:cs="宋体"/>
          <w:color w:val="auto"/>
          <w:sz w:val="21"/>
          <w:szCs w:val="21"/>
          <w:highlight w:val="none"/>
          <w:lang w:eastAsia="zh-CN" w:bidi="ar"/>
        </w:rPr>
        <w:t>尾款</w:t>
      </w:r>
      <w:r>
        <w:rPr>
          <w:rFonts w:hint="eastAsia" w:ascii="宋体" w:hAnsi="宋体" w:cs="宋体"/>
          <w:color w:val="auto"/>
          <w:sz w:val="21"/>
          <w:szCs w:val="21"/>
          <w:highlight w:val="none"/>
          <w:lang w:bidi="ar"/>
        </w:rPr>
        <w:t>支付申请后的14天内，向</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（联合体时，为牵头人）</w:t>
      </w:r>
      <w:r>
        <w:rPr>
          <w:rFonts w:hint="eastAsia" w:ascii="宋体" w:hAnsi="宋体" w:cs="宋体"/>
          <w:color w:val="auto"/>
          <w:sz w:val="21"/>
          <w:szCs w:val="21"/>
          <w:highlight w:val="none"/>
          <w:lang w:eastAsia="zh-CN" w:bidi="ar"/>
        </w:rPr>
        <w:t>支付至签约合同价的100%</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应当提供等额的增值税发票。</w:t>
      </w:r>
    </w:p>
    <w:p w14:paraId="740B92DC">
      <w:pPr>
        <w:widowControl/>
        <w:spacing w:line="360" w:lineRule="auto"/>
        <w:ind w:firstLine="422" w:firstLineChars="200"/>
        <w:outlineLvl w:val="2"/>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eastAsia="zh-CN" w:bidi="ar"/>
        </w:rPr>
        <w:t>（五）</w:t>
      </w:r>
      <w:r>
        <w:rPr>
          <w:rFonts w:hint="eastAsia" w:ascii="宋体" w:hAnsi="宋体" w:eastAsia="宋体" w:cs="宋体"/>
          <w:b/>
          <w:bCs/>
          <w:color w:val="auto"/>
          <w:sz w:val="21"/>
          <w:szCs w:val="21"/>
          <w:highlight w:val="none"/>
          <w:lang w:bidi="ar"/>
        </w:rPr>
        <w:t>履约保证金</w:t>
      </w:r>
    </w:p>
    <w:p w14:paraId="595D6855">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在签订合同之前，</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提交金额为签约合同价5%（或2%，如</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为中小微企业时）的履约保证金。</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未按约定提交履约保证金的，视为放弃中标资格，</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有权不予与其签订合同；因此给</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造成损失的，</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还应承担相应的赔偿责任。</w:t>
      </w:r>
    </w:p>
    <w:p w14:paraId="2E90F7C7">
      <w:pPr>
        <w:rPr>
          <w:color w:val="auto"/>
          <w:sz w:val="28"/>
          <w:szCs w:val="28"/>
          <w:highlight w:val="none"/>
        </w:rPr>
      </w:pPr>
      <w:bookmarkStart w:id="71" w:name="_Toc6863"/>
      <w:bookmarkStart w:id="72" w:name="_Toc23331"/>
      <w:bookmarkStart w:id="73" w:name="_Toc12517"/>
      <w:r>
        <w:rPr>
          <w:rFonts w:hint="eastAsia"/>
          <w:color w:val="auto"/>
          <w:sz w:val="28"/>
          <w:szCs w:val="28"/>
          <w:highlight w:val="none"/>
        </w:rPr>
        <w:br w:type="page"/>
      </w:r>
    </w:p>
    <w:p w14:paraId="3304DF77">
      <w:pPr>
        <w:pStyle w:val="2"/>
        <w:spacing w:before="0" w:after="0" w:line="360" w:lineRule="auto"/>
        <w:jc w:val="center"/>
        <w:rPr>
          <w:color w:val="auto"/>
          <w:sz w:val="28"/>
          <w:szCs w:val="28"/>
          <w:highlight w:val="none"/>
        </w:rPr>
      </w:pPr>
      <w:bookmarkStart w:id="74" w:name="_Toc26212"/>
      <w:bookmarkStart w:id="75" w:name="_Toc3595"/>
      <w:bookmarkStart w:id="76" w:name="_Toc5465"/>
      <w:bookmarkStart w:id="77" w:name="_Toc6744"/>
      <w:bookmarkStart w:id="78" w:name="_Toc27586"/>
      <w:bookmarkStart w:id="79" w:name="_Toc13276"/>
      <w:bookmarkStart w:id="80" w:name="_Toc16772"/>
      <w:bookmarkStart w:id="81" w:name="_Toc10480"/>
      <w:bookmarkStart w:id="82" w:name="_Toc5075"/>
      <w:bookmarkStart w:id="83" w:name="_Toc24083"/>
      <w:bookmarkStart w:id="84" w:name="_Toc22370"/>
      <w:bookmarkStart w:id="85" w:name="_Toc27254"/>
      <w:r>
        <w:rPr>
          <w:rFonts w:hint="eastAsia"/>
          <w:color w:val="auto"/>
          <w:sz w:val="28"/>
          <w:szCs w:val="28"/>
          <w:highlight w:val="none"/>
        </w:rPr>
        <w:t>第四章  评审办法</w:t>
      </w:r>
      <w:bookmarkEnd w:id="71"/>
      <w:bookmarkEnd w:id="72"/>
      <w:bookmarkEnd w:id="74"/>
      <w:bookmarkEnd w:id="75"/>
      <w:bookmarkEnd w:id="76"/>
      <w:bookmarkEnd w:id="77"/>
      <w:bookmarkEnd w:id="78"/>
      <w:bookmarkEnd w:id="79"/>
      <w:bookmarkEnd w:id="80"/>
      <w:bookmarkEnd w:id="81"/>
      <w:bookmarkEnd w:id="82"/>
      <w:bookmarkEnd w:id="83"/>
      <w:bookmarkEnd w:id="84"/>
      <w:bookmarkEnd w:id="85"/>
    </w:p>
    <w:p w14:paraId="65225332">
      <w:pPr>
        <w:spacing w:line="360" w:lineRule="auto"/>
        <w:jc w:val="center"/>
        <w:outlineLvl w:val="1"/>
        <w:rPr>
          <w:rFonts w:ascii="宋体" w:hAnsi="宋体"/>
          <w:b/>
          <w:color w:val="auto"/>
          <w:sz w:val="24"/>
          <w:highlight w:val="none"/>
        </w:rPr>
      </w:pPr>
      <w:bookmarkStart w:id="86" w:name="_Toc32309"/>
      <w:bookmarkStart w:id="87" w:name="_Toc14190"/>
      <w:bookmarkStart w:id="88" w:name="_Toc32449"/>
      <w:bookmarkStart w:id="89" w:name="_Toc28533"/>
      <w:bookmarkStart w:id="90" w:name="_Toc19504"/>
      <w:bookmarkStart w:id="91" w:name="_Toc16989"/>
      <w:bookmarkStart w:id="92" w:name="_Toc24809"/>
      <w:bookmarkStart w:id="93" w:name="_Toc2107"/>
      <w:bookmarkStart w:id="94" w:name="_Toc22297"/>
      <w:bookmarkStart w:id="95" w:name="_Toc20467"/>
      <w:bookmarkStart w:id="96" w:name="_Toc11870"/>
      <w:bookmarkStart w:id="97" w:name="_Toc17459"/>
      <w:bookmarkStart w:id="98" w:name="_Toc26385"/>
      <w:bookmarkStart w:id="99" w:name="_Toc21682"/>
      <w:r>
        <w:rPr>
          <w:rFonts w:hint="eastAsia" w:ascii="宋体" w:hAnsi="宋体"/>
          <w:b/>
          <w:color w:val="auto"/>
          <w:sz w:val="24"/>
          <w:highlight w:val="none"/>
        </w:rPr>
        <w:t>第一节  评审程序和评审方法</w:t>
      </w:r>
      <w:bookmarkEnd w:id="86"/>
      <w:bookmarkEnd w:id="87"/>
      <w:bookmarkEnd w:id="88"/>
      <w:bookmarkEnd w:id="89"/>
      <w:bookmarkEnd w:id="90"/>
      <w:bookmarkEnd w:id="91"/>
      <w:bookmarkEnd w:id="92"/>
      <w:bookmarkEnd w:id="93"/>
      <w:bookmarkEnd w:id="94"/>
      <w:bookmarkEnd w:id="95"/>
      <w:bookmarkEnd w:id="96"/>
      <w:bookmarkEnd w:id="97"/>
      <w:bookmarkEnd w:id="98"/>
      <w:bookmarkEnd w:id="99"/>
    </w:p>
    <w:bookmarkEnd w:id="73"/>
    <w:p w14:paraId="6B9EB64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根据《中华人民共和国政府采购法》《中华人民共和国民法典》《</w:t>
      </w:r>
      <w:r>
        <w:rPr>
          <w:rFonts w:hint="eastAsia" w:ascii="宋体" w:hAnsi="宋体" w:cs="宋体"/>
          <w:color w:val="auto"/>
          <w:szCs w:val="21"/>
          <w:highlight w:val="none"/>
          <w:lang w:eastAsia="zh-CN"/>
        </w:rPr>
        <w:t>广西壮族自治区水运发展中心</w:t>
      </w:r>
      <w:r>
        <w:rPr>
          <w:rFonts w:ascii="宋体" w:hAnsi="宋体" w:cs="宋体"/>
          <w:color w:val="auto"/>
          <w:szCs w:val="21"/>
          <w:highlight w:val="none"/>
        </w:rPr>
        <w:t>自行采购管理办法》等有关规定，采购人组建合议小组（评审小组）按本采购文件规定，对响应文件进行评审。</w:t>
      </w:r>
      <w:r>
        <w:rPr>
          <w:rFonts w:hint="eastAsia" w:ascii="宋体" w:hAnsi="宋体" w:cs="宋体"/>
          <w:color w:val="auto"/>
          <w:szCs w:val="21"/>
          <w:highlight w:val="none"/>
        </w:rPr>
        <w:t>本次采购采用综合评估法。</w:t>
      </w:r>
    </w:p>
    <w:p w14:paraId="083953B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一、资格审查</w:t>
      </w:r>
    </w:p>
    <w:p w14:paraId="1B6A4676">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（一）</w:t>
      </w:r>
      <w:r>
        <w:rPr>
          <w:rFonts w:hint="eastAsia" w:ascii="宋体" w:hAnsi="宋体"/>
          <w:color w:val="auto"/>
          <w:szCs w:val="21"/>
          <w:highlight w:val="none"/>
        </w:rPr>
        <w:t>评审小组依法对供应商的响应文件中资格证明文件进行审查。</w:t>
      </w:r>
    </w:p>
    <w:p w14:paraId="39288E29">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color w:val="auto"/>
          <w:szCs w:val="21"/>
          <w:highlight w:val="none"/>
        </w:rPr>
        <w:t>“信用中国”网站、中国政府采购网</w:t>
      </w:r>
      <w:r>
        <w:rPr>
          <w:rFonts w:hint="eastAsia" w:ascii="宋体" w:hAnsi="宋体" w:cs="宋体"/>
          <w:color w:val="auto"/>
          <w:szCs w:val="21"/>
          <w:highlight w:val="none"/>
        </w:rPr>
        <w:t>。</w:t>
      </w:r>
    </w:p>
    <w:p w14:paraId="60233D5A">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2.信用查询截止时点：</w:t>
      </w:r>
      <w:r>
        <w:rPr>
          <w:rFonts w:ascii="宋体" w:hAnsi="宋体" w:cs="宋体"/>
          <w:color w:val="auto"/>
          <w:szCs w:val="21"/>
          <w:highlight w:val="none"/>
        </w:rPr>
        <w:t>资格审查结束前</w:t>
      </w:r>
    </w:p>
    <w:p w14:paraId="392563E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3.查询记录和证据留存方式：将查询网站中的查询记录截图并作为评审资料保存。</w:t>
      </w:r>
    </w:p>
    <w:p w14:paraId="7C58C74B">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4.信用信息使用规则：</w:t>
      </w:r>
    </w:p>
    <w:p w14:paraId="2843016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对在“信用中国”网站、中国政府采购网被列入失信被执行人、重大税收违法案件当事人名单、政府采购严重违法失信行为记录名单及其他不符合《中华人民共和国政府采购法》第二十二条规定条件的供应商，不得参与本次采购活动。</w:t>
      </w:r>
    </w:p>
    <w:p w14:paraId="2ADDD50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（2)资格审查标准为本采购文件中载明对供应商资格要求的条件。资格审查采用合格制，凡符合采购文件规定的供应商资格要求的响应文件均通过资格审查。</w:t>
      </w:r>
    </w:p>
    <w:p w14:paraId="7E13C0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(3)供应商资格审查不通过的，其响应文件按无效响应处理。</w:t>
      </w:r>
    </w:p>
    <w:p w14:paraId="31C0A3BE">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(4)</w:t>
      </w:r>
      <w:r>
        <w:rPr>
          <w:rFonts w:hint="eastAsia"/>
          <w:color w:val="auto"/>
          <w:highlight w:val="none"/>
        </w:rPr>
        <w:t>凡是不满足资格审查中的任意一条，均为不通过资格审查。</w:t>
      </w:r>
    </w:p>
    <w:p w14:paraId="008B1140">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(5)</w:t>
      </w:r>
      <w:r>
        <w:rPr>
          <w:rFonts w:hint="eastAsia"/>
          <w:color w:val="auto"/>
          <w:highlight w:val="none"/>
        </w:rPr>
        <w:t>如果通过资格审查的投标供应商不足三家：</w:t>
      </w:r>
    </w:p>
    <w:p w14:paraId="7EF076D7">
      <w:pPr>
        <w:tabs>
          <w:tab w:val="left" w:pos="3150"/>
        </w:tabs>
        <w:spacing w:line="360" w:lineRule="auto"/>
        <w:ind w:firstLine="420" w:firstLineChars="200"/>
        <w:rPr>
          <w:color w:val="auto"/>
          <w:highlight w:val="none"/>
        </w:rPr>
      </w:pPr>
      <w:r>
        <w:rPr>
          <w:rFonts w:hint="eastAsia" w:ascii="宋体" w:hAnsi="宋体" w:cs="宋体"/>
          <w:color w:val="auto"/>
          <w:highlight w:val="none"/>
        </w:rPr>
        <w:t>①</w:t>
      </w:r>
      <w:r>
        <w:rPr>
          <w:rFonts w:hint="eastAsia"/>
          <w:color w:val="auto"/>
          <w:highlight w:val="none"/>
        </w:rPr>
        <w:t>延长采购公告时间，延期3个工作日。</w:t>
      </w:r>
    </w:p>
    <w:p w14:paraId="058C34E0">
      <w:pPr>
        <w:tabs>
          <w:tab w:val="left" w:pos="3150"/>
        </w:tabs>
        <w:spacing w:line="360" w:lineRule="auto"/>
        <w:ind w:firstLine="420" w:firstLineChars="200"/>
        <w:rPr>
          <w:color w:val="auto"/>
          <w:highlight w:val="none"/>
        </w:rPr>
      </w:pPr>
      <w:r>
        <w:rPr>
          <w:rFonts w:hint="eastAsia" w:ascii="宋体" w:hAnsi="宋体" w:cs="宋体"/>
          <w:color w:val="auto"/>
          <w:highlight w:val="none"/>
        </w:rPr>
        <w:t>②</w:t>
      </w:r>
      <w:r>
        <w:rPr>
          <w:rFonts w:hint="eastAsia"/>
          <w:color w:val="auto"/>
          <w:highlight w:val="none"/>
        </w:rPr>
        <w:t>延期时间截止，响应供应商为2家或2家以上的，按照正常采购流程开展。</w:t>
      </w:r>
    </w:p>
    <w:p w14:paraId="28F3AD09">
      <w:pPr>
        <w:snapToGrid w:val="0"/>
        <w:spacing w:line="360" w:lineRule="auto"/>
        <w:ind w:firstLine="420" w:firstLineChars="200"/>
        <w:jc w:val="left"/>
        <w:rPr>
          <w:rFonts w:ascii="宋体" w:hAnsi="宋体" w:cs="宋体"/>
          <w:color w:val="auto"/>
          <w:szCs w:val="21"/>
          <w:highlight w:val="none"/>
        </w:rPr>
      </w:pPr>
      <w:r>
        <w:rPr>
          <w:rFonts w:hint="eastAsia" w:ascii="仿宋" w:hAnsi="仿宋" w:eastAsia="仿宋" w:cs="仿宋"/>
          <w:color w:val="auto"/>
          <w:highlight w:val="none"/>
        </w:rPr>
        <w:t>③</w:t>
      </w:r>
      <w:r>
        <w:rPr>
          <w:rFonts w:hint="eastAsia"/>
          <w:color w:val="auto"/>
          <w:highlight w:val="none"/>
        </w:rPr>
        <w:t>延期时间截止，响应供应商为1家的，由</w:t>
      </w:r>
      <w:r>
        <w:rPr>
          <w:rFonts w:hint="eastAsia" w:ascii="宋体" w:hAnsi="宋体" w:cs="宋体"/>
          <w:color w:val="auto"/>
          <w:szCs w:val="21"/>
          <w:highlight w:val="none"/>
        </w:rPr>
        <w:t>采购人</w:t>
      </w:r>
      <w:r>
        <w:rPr>
          <w:rFonts w:hint="eastAsia"/>
          <w:color w:val="auto"/>
          <w:highlight w:val="none"/>
        </w:rPr>
        <w:t>审核供应商投标文件，</w:t>
      </w:r>
      <w:r>
        <w:rPr>
          <w:rFonts w:hint="eastAsia" w:ascii="宋体" w:hAnsi="宋体" w:cs="宋体"/>
          <w:color w:val="auto"/>
          <w:szCs w:val="21"/>
          <w:highlight w:val="none"/>
        </w:rPr>
        <w:t>确定满足采购方案的条件后，组成谈判小组与供应商谈判。根据采购人内部程序，确定中标人，签订采购合同、支付合同款等。</w:t>
      </w:r>
    </w:p>
    <w:p w14:paraId="7EB209C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二、符合性审查</w:t>
      </w:r>
    </w:p>
    <w:p w14:paraId="6777F258">
      <w:pPr>
        <w:spacing w:line="360" w:lineRule="auto"/>
        <w:ind w:firstLine="420" w:firstLineChars="200"/>
        <w:rPr>
          <w:rFonts w:ascii="宋体" w:hAnsi="宋体" w:cs="宋体"/>
          <w:color w:val="auto"/>
          <w:szCs w:val="21"/>
          <w:highlight w:val="none"/>
        </w:rPr>
      </w:pPr>
      <w:bookmarkStart w:id="100" w:name="_Hlk42528882"/>
      <w:r>
        <w:rPr>
          <w:rFonts w:hint="eastAsia" w:ascii="宋体" w:hAnsi="宋体" w:cs="宋体"/>
          <w:color w:val="auto"/>
          <w:szCs w:val="21"/>
          <w:highlight w:val="none"/>
        </w:rPr>
        <w:t>（一）由评审小组对</w:t>
      </w:r>
      <w:r>
        <w:rPr>
          <w:rFonts w:hint="eastAsia" w:ascii="宋体" w:hAnsi="宋体"/>
          <w:color w:val="auto"/>
          <w:szCs w:val="21"/>
          <w:highlight w:val="none"/>
        </w:rPr>
        <w:t>资格审查的合格供应商</w:t>
      </w:r>
      <w:r>
        <w:rPr>
          <w:rFonts w:hint="eastAsia" w:ascii="宋体" w:hAnsi="宋体" w:cs="宋体"/>
          <w:color w:val="auto"/>
          <w:szCs w:val="21"/>
          <w:highlight w:val="none"/>
        </w:rPr>
        <w:t>的响应文件进行符合性审查，以确定其是否满足采购文件的实质性要求。</w:t>
      </w:r>
    </w:p>
    <w:bookmarkEnd w:id="100"/>
    <w:p w14:paraId="72D2E5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631412">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三）评审小组要求供应商澄清、说明或者更正响应文件应当以正式函形式作出。供应商的澄清、说明或者更正应当以正式形式按照评审小组的要求作出明确的澄清、说明或者更正，未按评审小组的要求作出明确澄清、说明或者更正的供应商的响应文件将按照有利于采购人的原则由评审小组进行判定。供应商的澄清、说明或者更正必须由法定代表人或者其授权代表签字或加盖供应商公章</w:t>
      </w:r>
      <w:r>
        <w:rPr>
          <w:rFonts w:hint="eastAsia" w:ascii="宋体" w:hAnsi="宋体" w:cs="宋体"/>
          <w:color w:val="auto"/>
          <w:spacing w:val="-6"/>
          <w:szCs w:val="21"/>
          <w:highlight w:val="none"/>
        </w:rPr>
        <w:t>。</w:t>
      </w:r>
    </w:p>
    <w:p w14:paraId="7E6F0E20">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（四）</w:t>
      </w:r>
      <w:r>
        <w:rPr>
          <w:rFonts w:hint="eastAsia" w:ascii="宋体" w:hAnsi="宋体" w:cs="宋体"/>
          <w:color w:val="auto"/>
          <w:szCs w:val="21"/>
          <w:highlight w:val="none"/>
        </w:rPr>
        <w:t xml:space="preserve">响应文件报价出现前后不一致的，按照下列规定修正： </w:t>
      </w:r>
    </w:p>
    <w:p w14:paraId="649B47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571A1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447D6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9723E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7BD16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5C431A2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（五）商务技术及报价评审</w:t>
      </w:r>
    </w:p>
    <w:p w14:paraId="526D422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在评审时，如发现下列情形之一的，将被视为响应文件无效响应处理：</w:t>
      </w:r>
    </w:p>
    <w:p w14:paraId="710DF1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177BE0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（1）响应文件未按采购文件要求签署、盖章；</w:t>
      </w:r>
    </w:p>
    <w:p w14:paraId="6CDA58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2F037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（3）响应文件的实质性内容未使用中文表述、使用计量单位不符合采购文件要求；</w:t>
      </w:r>
    </w:p>
    <w:p w14:paraId="0AE3B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（4）响应文件中的文件资料因填写不齐全或者内容虚假或者出现其他情形而导致被评审小组认定无效；</w:t>
      </w:r>
    </w:p>
    <w:p w14:paraId="1F405E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（5）响应文件含有采购人不能接受的附加条件；</w:t>
      </w:r>
    </w:p>
    <w:p w14:paraId="4FB92A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（6）虚假投标，或者出现其他情形而导致被评审小组认定无效；</w:t>
      </w:r>
    </w:p>
    <w:p w14:paraId="64439326">
      <w:pPr>
        <w:spacing w:line="360" w:lineRule="auto"/>
        <w:ind w:firstLine="420" w:firstLineChars="200"/>
        <w:rPr>
          <w:rFonts w:ascii="宋体" w:hAnsi="宋体" w:cs="宋体"/>
          <w:color w:val="auto"/>
          <w:szCs w:val="21"/>
          <w:highlight w:val="none"/>
        </w:rPr>
      </w:pPr>
      <w:bookmarkStart w:id="101" w:name="_Hlk71704147"/>
      <w:r>
        <w:rPr>
          <w:rFonts w:hint="eastAsia" w:ascii="宋体" w:hAnsi="宋体" w:cs="宋体"/>
          <w:color w:val="auto"/>
          <w:szCs w:val="21"/>
          <w:highlight w:val="none"/>
        </w:rPr>
        <w:t>（7）采购文件未载明允许提供备选（替代）投标方案或明确不允许提供备选（替代）投标方案时，供应商提供了备选（替代）投标方案的；</w:t>
      </w:r>
      <w:bookmarkEnd w:id="101"/>
    </w:p>
    <w:p w14:paraId="1FCEF5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（8）响应文件标注的项目名称或者项目编号与采购文件标注的项目名称或者项目编号不一致的；</w:t>
      </w:r>
    </w:p>
    <w:p w14:paraId="2F68D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olor w:val="auto"/>
          <w:szCs w:val="21"/>
          <w:highlight w:val="none"/>
        </w:rPr>
        <w:t>采购文件明确不允许分包，响应文件拟分包的；</w:t>
      </w:r>
    </w:p>
    <w:p w14:paraId="2C5962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（10）未响应采购文件的采购内容、工期要求、质量要求等实质性要求；</w:t>
      </w:r>
    </w:p>
    <w:p w14:paraId="517409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（11）法律、法规和采购文件规定的其他无效情形。</w:t>
      </w:r>
    </w:p>
    <w:p w14:paraId="706E0B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3B7771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（1）响应文件未提供采购文件中规定的“投标报价表”；</w:t>
      </w:r>
    </w:p>
    <w:p w14:paraId="2367B3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（2）未采用人民币报价或者未按照采购文件标明的币种报价；</w:t>
      </w:r>
    </w:p>
    <w:p w14:paraId="47B6A6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投标分标进行报价或者存在漏项报价；供应商未就所投标分标的单项内容作唯一报价；供应商未就所投标分标的全部内容作完整唯一总价报价；供应商响应文件中存在有选择、有条件报价的（采购文件允许有备选方案或者其他约定的除外）；</w:t>
      </w:r>
    </w:p>
    <w:p w14:paraId="109E17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（4）报价超过最高限价的（如本项目公布了最高限价）；</w:t>
      </w:r>
      <w:bookmarkStart w:id="102" w:name="_Hlk42596405"/>
      <w:r>
        <w:rPr>
          <w:rFonts w:hint="eastAsia" w:ascii="宋体" w:hAnsi="宋体" w:cs="宋体"/>
          <w:color w:val="auto"/>
          <w:szCs w:val="21"/>
          <w:highlight w:val="none"/>
        </w:rPr>
        <w:t xml:space="preserve"> </w:t>
      </w:r>
      <w:bookmarkEnd w:id="102"/>
    </w:p>
    <w:p w14:paraId="7AF7DC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（5）修正后的报价，供应商不确认的；或者经供应商确认修正后的最后报价超过最高限价（如本项目公布了最高限价）；</w:t>
      </w:r>
    </w:p>
    <w:p w14:paraId="4E7CB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响应文件响应的标的数量及单位与采购文件要求实质性不一致的。</w:t>
      </w:r>
    </w:p>
    <w:p w14:paraId="54ED53D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三、比较与评分</w:t>
      </w:r>
    </w:p>
    <w:p w14:paraId="688040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（一）评审方法：综合评分法。</w:t>
      </w:r>
    </w:p>
    <w:p w14:paraId="127901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（二）由评审小组采用综合评分法对有效响应文件进行综合评分。</w:t>
      </w:r>
    </w:p>
    <w:p w14:paraId="77FE2C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（三）评审时，评审小组各成员应当对每个有效响应的文件进行评价、打分，然后汇总每个供应商每项评分因素的得分。</w:t>
      </w:r>
    </w:p>
    <w:p w14:paraId="5B095C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1.评审小组按照采购文件中规定的评审标准计算各供应商的报价得分。项目评审过程中，不得去掉最后报价中的最高报价和最低报价。</w:t>
      </w:r>
    </w:p>
    <w:p w14:paraId="32E545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2.以投标人的有效报价的算术平均值为基准价，报价与基准价的差取绝对值。</w:t>
      </w:r>
    </w:p>
    <w:p w14:paraId="075E9DEF">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（四）由评审小组根据综合评分情况，按照评审得分由高到低顺序推荐3名成交候选供应商，并编写评</w:t>
      </w:r>
      <w:r>
        <w:rPr>
          <w:rFonts w:hint="eastAsia" w:ascii="宋体" w:hAnsi="宋体"/>
          <w:color w:val="auto"/>
          <w:kern w:val="0"/>
          <w:szCs w:val="21"/>
          <w:highlight w:val="none"/>
        </w:rPr>
        <w:t>审报告。评审得分相同的，按照最后报价由低到高的顺序推荐。</w:t>
      </w:r>
    </w:p>
    <w:p w14:paraId="0225D0EA">
      <w:pPr>
        <w:spacing w:line="360" w:lineRule="auto"/>
        <w:ind w:firstLine="420" w:firstLineChars="200"/>
        <w:rPr>
          <w:rFonts w:ascii="宋体" w:hAnsi="宋体" w:cs="宋体"/>
          <w:color w:val="auto"/>
          <w:szCs w:val="21"/>
          <w:highlight w:val="none"/>
        </w:rPr>
      </w:pPr>
      <w:r>
        <w:rPr>
          <w:rFonts w:hint="eastAsia" w:ascii="宋体" w:hAnsi="宋体"/>
          <w:color w:val="auto"/>
          <w:kern w:val="0"/>
          <w:szCs w:val="21"/>
          <w:highlight w:val="none"/>
        </w:rPr>
        <w:t>（五）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507D1396">
      <w:pPr>
        <w:widowControl/>
        <w:spacing w:line="360" w:lineRule="auto"/>
        <w:jc w:val="center"/>
        <w:outlineLvl w:val="1"/>
        <w:rPr>
          <w:rFonts w:ascii="宋体" w:hAnsi="宋体"/>
          <w:b/>
          <w:color w:val="auto"/>
          <w:sz w:val="24"/>
          <w:highlight w:val="none"/>
        </w:rPr>
      </w:pPr>
      <w:r>
        <w:rPr>
          <w:rFonts w:ascii="宋体" w:hAnsi="宋体"/>
          <w:b/>
          <w:color w:val="auto"/>
          <w:sz w:val="32"/>
          <w:szCs w:val="32"/>
          <w:highlight w:val="none"/>
        </w:rPr>
        <w:br w:type="page"/>
      </w:r>
      <w:bookmarkStart w:id="103" w:name="_Toc30766"/>
      <w:bookmarkStart w:id="104" w:name="_Toc7508"/>
      <w:bookmarkStart w:id="105" w:name="_Toc5926"/>
      <w:bookmarkStart w:id="106" w:name="_Toc9041"/>
      <w:bookmarkStart w:id="107" w:name="_Toc11826"/>
      <w:bookmarkStart w:id="108" w:name="_Toc2435"/>
      <w:bookmarkStart w:id="109" w:name="_Toc8537"/>
      <w:bookmarkStart w:id="110" w:name="_Toc12111"/>
      <w:bookmarkStart w:id="111" w:name="_Toc31098"/>
      <w:bookmarkStart w:id="112" w:name="_Toc19299"/>
      <w:bookmarkStart w:id="113" w:name="_Toc12457"/>
      <w:bookmarkStart w:id="114" w:name="_Toc29563"/>
      <w:bookmarkStart w:id="115" w:name="_Toc11126"/>
      <w:bookmarkStart w:id="116" w:name="_Toc8831"/>
      <w:bookmarkStart w:id="117" w:name="_Toc26128"/>
      <w:r>
        <w:rPr>
          <w:rFonts w:hint="eastAsia" w:ascii="宋体" w:hAnsi="宋体"/>
          <w:b/>
          <w:color w:val="auto"/>
          <w:sz w:val="24"/>
          <w:highlight w:val="none"/>
        </w:rPr>
        <w:t>第二节  评审标准</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17931352">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评审小组将以采购文件为评审依据，对</w:t>
      </w:r>
      <w:r>
        <w:rPr>
          <w:rFonts w:hint="eastAsia" w:ascii="宋体" w:hAnsi="宋体"/>
          <w:bCs/>
          <w:color w:val="auto"/>
          <w:szCs w:val="21"/>
          <w:highlight w:val="none"/>
          <w:lang w:eastAsia="zh-CN"/>
        </w:rPr>
        <w:t>投标人</w:t>
      </w:r>
      <w:r>
        <w:rPr>
          <w:rFonts w:hint="eastAsia" w:ascii="宋体" w:hAnsi="宋体"/>
          <w:bCs/>
          <w:color w:val="auto"/>
          <w:szCs w:val="21"/>
          <w:highlight w:val="none"/>
        </w:rPr>
        <w:t>的报价、技术、商务等方面内容按百分制打分。（计分方法按四舍五入取至百分位）</w:t>
      </w:r>
    </w:p>
    <w:tbl>
      <w:tblPr>
        <w:tblStyle w:val="24"/>
        <w:tblW w:w="9118" w:type="dxa"/>
        <w:jc w:val="center"/>
        <w:tblLayout w:type="fixed"/>
        <w:tblCellMar>
          <w:top w:w="28" w:type="dxa"/>
          <w:left w:w="28" w:type="dxa"/>
          <w:bottom w:w="28" w:type="dxa"/>
          <w:right w:w="28" w:type="dxa"/>
        </w:tblCellMar>
      </w:tblPr>
      <w:tblGrid>
        <w:gridCol w:w="592"/>
        <w:gridCol w:w="1385"/>
        <w:gridCol w:w="7141"/>
      </w:tblGrid>
      <w:tr w14:paraId="0873908C">
        <w:tblPrEx>
          <w:tblCellMar>
            <w:top w:w="28" w:type="dxa"/>
            <w:left w:w="28" w:type="dxa"/>
            <w:bottom w:w="28" w:type="dxa"/>
            <w:right w:w="28" w:type="dxa"/>
          </w:tblCellMar>
        </w:tblPrEx>
        <w:trPr>
          <w:trHeight w:val="40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3215C2A5">
            <w:pPr>
              <w:spacing w:line="264"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385" w:type="dxa"/>
            <w:tcBorders>
              <w:top w:val="single" w:color="000000" w:sz="4" w:space="0"/>
              <w:left w:val="single" w:color="000000" w:sz="4" w:space="0"/>
              <w:bottom w:val="single" w:color="000000" w:sz="4" w:space="0"/>
              <w:right w:val="single" w:color="000000" w:sz="4" w:space="0"/>
            </w:tcBorders>
            <w:vAlign w:val="center"/>
          </w:tcPr>
          <w:p w14:paraId="1F72ACB5">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7141" w:type="dxa"/>
            <w:tcBorders>
              <w:top w:val="single" w:color="000000" w:sz="4" w:space="0"/>
              <w:left w:val="single" w:color="000000" w:sz="4" w:space="0"/>
              <w:bottom w:val="single" w:color="000000" w:sz="4" w:space="0"/>
              <w:right w:val="single" w:color="000000" w:sz="4" w:space="0"/>
            </w:tcBorders>
            <w:vAlign w:val="center"/>
          </w:tcPr>
          <w:p w14:paraId="6A508BE3">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评分标准</w:t>
            </w:r>
          </w:p>
        </w:tc>
      </w:tr>
      <w:tr w14:paraId="0C8E1539">
        <w:tblPrEx>
          <w:tblCellMar>
            <w:top w:w="28" w:type="dxa"/>
            <w:left w:w="28" w:type="dxa"/>
            <w:bottom w:w="28" w:type="dxa"/>
            <w:right w:w="28" w:type="dxa"/>
          </w:tblCellMar>
        </w:tblPrEx>
        <w:trPr>
          <w:trHeight w:val="164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1CAC359B">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一</w:t>
            </w:r>
          </w:p>
        </w:tc>
        <w:tc>
          <w:tcPr>
            <w:tcW w:w="1385" w:type="dxa"/>
            <w:tcBorders>
              <w:top w:val="single" w:color="000000" w:sz="4" w:space="0"/>
              <w:left w:val="single" w:color="000000" w:sz="4" w:space="0"/>
              <w:bottom w:val="single" w:color="000000" w:sz="4" w:space="0"/>
              <w:right w:val="single" w:color="000000" w:sz="4" w:space="0"/>
            </w:tcBorders>
            <w:vAlign w:val="center"/>
          </w:tcPr>
          <w:p w14:paraId="7143D028">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价格</w:t>
            </w:r>
          </w:p>
          <w:p w14:paraId="67C0D360">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（满分10分）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7F6E8BA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以投标人的有效报价的算术平均值为基准价。有效报价为：投标人的报价未超过最高控制价，且投标人符合参与条件要求。</w:t>
            </w:r>
          </w:p>
          <w:p w14:paraId="01815249">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偏差率=100%×（报价-基准价）/基准价。</w:t>
            </w:r>
          </w:p>
          <w:p w14:paraId="14F87E7E">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若投标人报价&gt;评标基准价，则得分=10-∣偏差率∣×100×0.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p>
          <w:p w14:paraId="13D1F37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若投标人报价≤评标基准价，则得分=10-∣偏差率∣×100×0.</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p>
          <w:p w14:paraId="63902A49">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注：分数取小数点后两位。</w:t>
            </w:r>
          </w:p>
        </w:tc>
      </w:tr>
      <w:tr w14:paraId="092F8C1C">
        <w:tblPrEx>
          <w:tblCellMar>
            <w:top w:w="28" w:type="dxa"/>
            <w:left w:w="28" w:type="dxa"/>
            <w:bottom w:w="28" w:type="dxa"/>
            <w:right w:w="28" w:type="dxa"/>
          </w:tblCellMar>
        </w:tblPrEx>
        <w:trPr>
          <w:trHeight w:val="632" w:hRule="atLeast"/>
          <w:jc w:val="center"/>
        </w:trPr>
        <w:tc>
          <w:tcPr>
            <w:tcW w:w="592" w:type="dxa"/>
            <w:tcBorders>
              <w:top w:val="single" w:color="000000" w:sz="4" w:space="0"/>
              <w:left w:val="single" w:color="000000" w:sz="4" w:space="0"/>
              <w:bottom w:val="single" w:color="auto" w:sz="4" w:space="0"/>
              <w:right w:val="single" w:color="auto" w:sz="4" w:space="0"/>
            </w:tcBorders>
            <w:vAlign w:val="center"/>
          </w:tcPr>
          <w:p w14:paraId="1188173B">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二</w:t>
            </w:r>
          </w:p>
        </w:tc>
        <w:tc>
          <w:tcPr>
            <w:tcW w:w="1385" w:type="dxa"/>
            <w:tcBorders>
              <w:top w:val="single" w:color="000000" w:sz="4" w:space="0"/>
              <w:left w:val="single" w:color="auto" w:sz="4" w:space="0"/>
              <w:bottom w:val="single" w:color="000000" w:sz="4" w:space="0"/>
              <w:right w:val="single" w:color="000000" w:sz="4" w:space="0"/>
            </w:tcBorders>
            <w:vAlign w:val="center"/>
          </w:tcPr>
          <w:p w14:paraId="6DF6DA27">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资信业绩</w:t>
            </w:r>
          </w:p>
          <w:p w14:paraId="595D1BA4">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tc>
        <w:tc>
          <w:tcPr>
            <w:tcW w:w="7141" w:type="dxa"/>
            <w:tcBorders>
              <w:top w:val="nil"/>
              <w:left w:val="single" w:color="000000" w:sz="4" w:space="0"/>
              <w:bottom w:val="single" w:color="000000" w:sz="4" w:space="0"/>
              <w:right w:val="single" w:color="000000" w:sz="4" w:space="0"/>
            </w:tcBorders>
            <w:vAlign w:val="center"/>
          </w:tcPr>
          <w:p w14:paraId="496B0DE6">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1.自2021年1月1日起至投标截止之日止，投标人完成类似项目（码头、航道或锚地工程）的海洋生态环境现状调查（包含水质、海洋生物体质量、海洋生态及渔业资源，不可缺项且至少有一季包含沉积物）业绩，且该项目</w:t>
            </w:r>
            <w:r>
              <w:rPr>
                <w:rFonts w:hint="eastAsia" w:ascii="宋体" w:hAnsi="宋体" w:cs="宋体"/>
                <w:bCs w:val="0"/>
                <w:color w:val="auto"/>
                <w:spacing w:val="0"/>
                <w:kern w:val="2"/>
                <w:sz w:val="21"/>
                <w:szCs w:val="21"/>
                <w:highlight w:val="none"/>
                <w:lang w:eastAsia="zh-CN"/>
              </w:rPr>
              <w:t>环境影响报告书、海域使用论证报告或水产种质资源保护区影响专题论证报告</w:t>
            </w:r>
            <w:r>
              <w:rPr>
                <w:rFonts w:hint="eastAsia" w:ascii="宋体" w:hAnsi="宋体" w:eastAsia="宋体" w:cs="宋体"/>
                <w:bCs w:val="0"/>
                <w:color w:val="auto"/>
                <w:spacing w:val="0"/>
                <w:kern w:val="2"/>
                <w:sz w:val="21"/>
                <w:szCs w:val="21"/>
                <w:highlight w:val="none"/>
              </w:rPr>
              <w:t>已获得批复的，每个业绩得5分，本项满分10分。</w:t>
            </w:r>
          </w:p>
          <w:p w14:paraId="213082C4">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cs="宋体"/>
                <w:bCs w:val="0"/>
                <w:spacing w:val="0"/>
                <w:kern w:val="2"/>
                <w:sz w:val="21"/>
                <w:szCs w:val="21"/>
              </w:rPr>
              <w:t>2.自2021年1月1日起至投标截止之日止，投标人完成类似项目（含码头、航道或锚地工程等）的海洋水文动力现状调查（包含盐度、潮流、悬沙、潮位，不可缺项）业绩，且该项目</w:t>
            </w:r>
            <w:r>
              <w:rPr>
                <w:rFonts w:hint="eastAsia" w:ascii="宋体" w:hAnsi="宋体" w:cs="宋体"/>
                <w:bCs w:val="0"/>
                <w:color w:val="auto"/>
                <w:spacing w:val="0"/>
                <w:kern w:val="2"/>
                <w:sz w:val="21"/>
                <w:szCs w:val="21"/>
                <w:highlight w:val="none"/>
                <w:lang w:eastAsia="zh-CN"/>
              </w:rPr>
              <w:t>环境影响报告书、海域使用论证报告或水产种质资源保护区影响专题论证报告</w:t>
            </w:r>
            <w:r>
              <w:rPr>
                <w:rFonts w:hint="eastAsia" w:ascii="宋体" w:hAnsi="宋体" w:cs="宋体"/>
                <w:bCs w:val="0"/>
                <w:spacing w:val="0"/>
                <w:kern w:val="2"/>
                <w:sz w:val="21"/>
                <w:szCs w:val="21"/>
              </w:rPr>
              <w:t>已获得批复的，每个业绩得5分，本项满分10分。</w:t>
            </w:r>
          </w:p>
          <w:p w14:paraId="42CD3984">
            <w:pPr>
              <w:pStyle w:val="34"/>
              <w:spacing w:after="0" w:line="264" w:lineRule="auto"/>
              <w:ind w:firstLine="420" w:firstLineChars="200"/>
              <w:jc w:val="both"/>
              <w:rPr>
                <w:rFonts w:hint="default" w:ascii="宋体" w:hAnsi="宋体" w:eastAsia="宋体" w:cs="宋体"/>
                <w:bCs w:val="0"/>
                <w:color w:val="auto"/>
                <w:spacing w:val="0"/>
                <w:kern w:val="2"/>
                <w:sz w:val="21"/>
                <w:szCs w:val="21"/>
                <w:highlight w:val="none"/>
                <w:lang w:val="en-US" w:eastAsia="zh-CN"/>
              </w:rPr>
            </w:pPr>
            <w:r>
              <w:rPr>
                <w:rFonts w:hint="eastAsia" w:ascii="宋体" w:hAnsi="宋体" w:cs="宋体"/>
                <w:bCs w:val="0"/>
                <w:color w:val="auto"/>
                <w:spacing w:val="0"/>
                <w:kern w:val="2"/>
                <w:sz w:val="21"/>
                <w:szCs w:val="21"/>
                <w:highlight w:val="none"/>
                <w:lang w:val="en-US" w:eastAsia="zh-CN"/>
              </w:rPr>
              <w:t>3.上述业绩涉及国家级</w:t>
            </w:r>
            <w:r>
              <w:rPr>
                <w:rFonts w:hint="eastAsia" w:ascii="宋体" w:hAnsi="宋体" w:cs="宋体"/>
                <w:bCs w:val="0"/>
                <w:color w:val="auto"/>
                <w:spacing w:val="0"/>
                <w:kern w:val="2"/>
                <w:sz w:val="21"/>
                <w:szCs w:val="21"/>
                <w:highlight w:val="none"/>
                <w:lang w:eastAsia="zh-CN"/>
              </w:rPr>
              <w:t>水产种质资源保护区影响专题论证的，</w:t>
            </w:r>
            <w:r>
              <w:rPr>
                <w:rFonts w:hint="eastAsia" w:ascii="宋体" w:hAnsi="宋体" w:cs="宋体"/>
                <w:bCs w:val="0"/>
                <w:spacing w:val="0"/>
                <w:kern w:val="2"/>
                <w:sz w:val="21"/>
                <w:szCs w:val="21"/>
              </w:rPr>
              <w:t>每个业绩</w:t>
            </w:r>
            <w:r>
              <w:rPr>
                <w:rFonts w:hint="eastAsia" w:ascii="宋体" w:hAnsi="宋体" w:cs="宋体"/>
                <w:bCs w:val="0"/>
                <w:spacing w:val="0"/>
                <w:kern w:val="2"/>
                <w:sz w:val="21"/>
                <w:szCs w:val="21"/>
                <w:lang w:eastAsia="zh-CN"/>
              </w:rPr>
              <w:t>加</w:t>
            </w:r>
            <w:r>
              <w:rPr>
                <w:rFonts w:hint="eastAsia" w:ascii="宋体" w:hAnsi="宋体" w:cs="宋体"/>
                <w:bCs w:val="0"/>
                <w:spacing w:val="0"/>
                <w:kern w:val="2"/>
                <w:sz w:val="21"/>
                <w:szCs w:val="21"/>
              </w:rPr>
              <w:t>2分，本项满分</w:t>
            </w:r>
            <w:r>
              <w:rPr>
                <w:rFonts w:hint="eastAsia" w:ascii="宋体" w:hAnsi="宋体" w:cs="宋体"/>
                <w:bCs w:val="0"/>
                <w:spacing w:val="0"/>
                <w:kern w:val="2"/>
                <w:sz w:val="21"/>
                <w:szCs w:val="21"/>
                <w:lang w:val="en-US" w:eastAsia="zh-CN"/>
              </w:rPr>
              <w:t>4</w:t>
            </w:r>
            <w:r>
              <w:rPr>
                <w:rFonts w:hint="eastAsia" w:ascii="宋体" w:hAnsi="宋体" w:cs="宋体"/>
                <w:bCs w:val="0"/>
                <w:spacing w:val="0"/>
                <w:kern w:val="2"/>
                <w:sz w:val="21"/>
                <w:szCs w:val="21"/>
              </w:rPr>
              <w:t>分。</w:t>
            </w:r>
          </w:p>
          <w:p w14:paraId="0B21DC0A">
            <w:pPr>
              <w:pStyle w:val="34"/>
              <w:spacing w:after="0" w:line="264" w:lineRule="auto"/>
              <w:ind w:firstLine="420" w:firstLineChars="200"/>
              <w:jc w:val="both"/>
              <w:rPr>
                <w:color w:val="auto"/>
                <w:highlight w:val="none"/>
              </w:rPr>
            </w:pPr>
            <w:r>
              <w:rPr>
                <w:rFonts w:hint="eastAsia" w:ascii="宋体" w:hAnsi="宋体" w:eastAsia="宋体" w:cs="宋体"/>
                <w:bCs w:val="0"/>
                <w:color w:val="auto"/>
                <w:spacing w:val="0"/>
                <w:kern w:val="2"/>
                <w:sz w:val="21"/>
                <w:szCs w:val="21"/>
                <w:highlight w:val="none"/>
              </w:rPr>
              <w:t>注：1.业绩时间以签订合同时间为准；2.业绩须提供以下证明材料扫描件或复印件：</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1</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业绩合同（至少包含首页和盖章页，且须体现服务内容）；</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2</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业绩对应的海洋生态、水文动力环境现状调查分析评价报告（至少包含封面和著录页）和CMA检测报告（至少包含封面和体现检测项目页，检测报告由第三方检测机构出具的须附投标人与检测机构签订的合同）；</w:t>
            </w:r>
            <w:r>
              <w:rPr>
                <w:rFonts w:hint="eastAsia" w:ascii="宋体" w:hAnsi="宋体" w:eastAsia="宋体" w:cs="宋体"/>
                <w:bCs w:val="0"/>
                <w:color w:val="auto"/>
                <w:spacing w:val="0"/>
                <w:kern w:val="2"/>
                <w:sz w:val="21"/>
                <w:szCs w:val="21"/>
                <w:highlight w:val="none"/>
              </w:rPr>
              <w:fldChar w:fldCharType="begin"/>
            </w:r>
            <w:r>
              <w:rPr>
                <w:rFonts w:hint="eastAsia" w:ascii="宋体" w:hAnsi="宋体" w:eastAsia="宋体" w:cs="宋体"/>
                <w:bCs w:val="0"/>
                <w:color w:val="auto"/>
                <w:spacing w:val="0"/>
                <w:kern w:val="2"/>
                <w:sz w:val="21"/>
                <w:szCs w:val="21"/>
                <w:highlight w:val="none"/>
              </w:rPr>
              <w:instrText xml:space="preserve"> = 3 \* GB3 </w:instrText>
            </w:r>
            <w:r>
              <w:rPr>
                <w:rFonts w:hint="eastAsia" w:ascii="宋体" w:hAnsi="宋体" w:eastAsia="宋体" w:cs="宋体"/>
                <w:bCs w:val="0"/>
                <w:color w:val="auto"/>
                <w:spacing w:val="0"/>
                <w:kern w:val="2"/>
                <w:sz w:val="21"/>
                <w:szCs w:val="21"/>
                <w:highlight w:val="none"/>
              </w:rPr>
              <w:fldChar w:fldCharType="separate"/>
            </w:r>
            <w:r>
              <w:rPr>
                <w:rFonts w:hint="eastAsia" w:ascii="宋体" w:hAnsi="宋体" w:eastAsia="宋体" w:cs="宋体"/>
                <w:bCs w:val="0"/>
                <w:color w:val="auto"/>
                <w:spacing w:val="0"/>
                <w:kern w:val="2"/>
                <w:sz w:val="21"/>
                <w:szCs w:val="21"/>
                <w:highlight w:val="none"/>
              </w:rPr>
              <w:t>③</w:t>
            </w:r>
            <w:r>
              <w:rPr>
                <w:rFonts w:hint="eastAsia" w:ascii="宋体" w:hAnsi="宋体" w:eastAsia="宋体" w:cs="宋体"/>
                <w:bCs w:val="0"/>
                <w:color w:val="auto"/>
                <w:spacing w:val="0"/>
                <w:kern w:val="2"/>
                <w:sz w:val="21"/>
                <w:szCs w:val="21"/>
                <w:highlight w:val="none"/>
              </w:rPr>
              <w:fldChar w:fldCharType="end"/>
            </w:r>
            <w:r>
              <w:rPr>
                <w:rFonts w:hint="eastAsia" w:ascii="宋体" w:hAnsi="宋体" w:eastAsia="宋体" w:cs="宋体"/>
                <w:bCs w:val="0"/>
                <w:color w:val="auto"/>
                <w:spacing w:val="0"/>
                <w:kern w:val="2"/>
                <w:sz w:val="21"/>
                <w:szCs w:val="21"/>
                <w:highlight w:val="none"/>
              </w:rPr>
              <w:t>业绩对应的项目</w:t>
            </w:r>
            <w:r>
              <w:rPr>
                <w:rFonts w:hint="eastAsia" w:ascii="宋体" w:hAnsi="宋体" w:cs="宋体"/>
                <w:bCs w:val="0"/>
                <w:color w:val="auto"/>
                <w:spacing w:val="0"/>
                <w:kern w:val="2"/>
                <w:sz w:val="21"/>
                <w:szCs w:val="21"/>
                <w:highlight w:val="none"/>
                <w:lang w:eastAsia="zh-CN"/>
              </w:rPr>
              <w:t>环境影响报告书、海域使用论证报告或水产种质资源保护区影响专题论证报告</w:t>
            </w:r>
            <w:r>
              <w:rPr>
                <w:rFonts w:hint="eastAsia" w:ascii="宋体" w:hAnsi="宋体" w:eastAsia="宋体" w:cs="宋体"/>
                <w:bCs w:val="0"/>
                <w:color w:val="auto"/>
                <w:spacing w:val="0"/>
                <w:kern w:val="2"/>
                <w:sz w:val="21"/>
                <w:szCs w:val="21"/>
                <w:highlight w:val="none"/>
              </w:rPr>
              <w:t>批复</w:t>
            </w:r>
            <w:r>
              <w:rPr>
                <w:rFonts w:hint="eastAsia" w:ascii="宋体" w:hAnsi="宋体" w:cs="宋体"/>
                <w:bCs w:val="0"/>
                <w:color w:val="auto"/>
                <w:spacing w:val="0"/>
                <w:kern w:val="2"/>
                <w:sz w:val="21"/>
                <w:szCs w:val="21"/>
                <w:highlight w:val="none"/>
                <w:lang w:eastAsia="zh-CN"/>
              </w:rPr>
              <w:t>文件。</w:t>
            </w:r>
            <w:r>
              <w:rPr>
                <w:rFonts w:hint="eastAsia" w:ascii="宋体" w:hAnsi="宋体" w:cs="宋体"/>
                <w:bCs w:val="0"/>
                <w:color w:val="auto"/>
                <w:spacing w:val="0"/>
                <w:kern w:val="2"/>
                <w:sz w:val="21"/>
                <w:szCs w:val="21"/>
                <w:highlight w:val="none"/>
              </w:rPr>
              <w:t>（3）证明材料均加盖公章。</w:t>
            </w:r>
            <w:r>
              <w:rPr>
                <w:rFonts w:hint="eastAsia" w:ascii="宋体" w:hAnsi="宋体" w:eastAsia="宋体" w:cs="宋体"/>
                <w:bCs w:val="0"/>
                <w:color w:val="auto"/>
                <w:spacing w:val="0"/>
                <w:kern w:val="2"/>
                <w:sz w:val="21"/>
                <w:szCs w:val="21"/>
                <w:highlight w:val="none"/>
              </w:rPr>
              <w:t>未按要求提供相关证明材料的不得分。</w:t>
            </w:r>
          </w:p>
        </w:tc>
      </w:tr>
      <w:tr w14:paraId="124095C7">
        <w:tblPrEx>
          <w:tblCellMar>
            <w:top w:w="28" w:type="dxa"/>
            <w:left w:w="28" w:type="dxa"/>
            <w:bottom w:w="28" w:type="dxa"/>
            <w:right w:w="28" w:type="dxa"/>
          </w:tblCellMar>
        </w:tblPrEx>
        <w:trPr>
          <w:trHeight w:val="1372"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70A8A053">
            <w:pPr>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三</w:t>
            </w:r>
          </w:p>
        </w:tc>
        <w:tc>
          <w:tcPr>
            <w:tcW w:w="1385" w:type="dxa"/>
            <w:tcBorders>
              <w:top w:val="single" w:color="000000" w:sz="4" w:space="0"/>
              <w:left w:val="single" w:color="auto" w:sz="4" w:space="0"/>
              <w:bottom w:val="single" w:color="000000" w:sz="4" w:space="0"/>
              <w:right w:val="single" w:color="000000" w:sz="4" w:space="0"/>
            </w:tcBorders>
            <w:vAlign w:val="center"/>
          </w:tcPr>
          <w:p w14:paraId="77D0218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人员设备配置</w:t>
            </w:r>
          </w:p>
          <w:p w14:paraId="7E1B20DA">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6A237DCF">
            <w:pPr>
              <w:pStyle w:val="34"/>
              <w:spacing w:before="0" w:after="0" w:line="264" w:lineRule="auto"/>
              <w:ind w:firstLine="420" w:firstLineChars="200"/>
              <w:rPr>
                <w:rFonts w:hint="eastAsia" w:ascii="宋体" w:hAnsi="宋体" w:cs="宋体"/>
                <w:bCs w:val="0"/>
                <w:color w:val="auto"/>
                <w:spacing w:val="0"/>
                <w:kern w:val="2"/>
                <w:sz w:val="21"/>
                <w:szCs w:val="21"/>
                <w:highlight w:val="none"/>
              </w:rPr>
            </w:pPr>
            <w:r>
              <w:rPr>
                <w:rFonts w:hint="eastAsia" w:ascii="宋体" w:hAnsi="宋体" w:cs="宋体"/>
                <w:bCs w:val="0"/>
                <w:color w:val="auto"/>
                <w:spacing w:val="0"/>
                <w:kern w:val="2"/>
                <w:sz w:val="21"/>
                <w:szCs w:val="21"/>
                <w:highlight w:val="none"/>
              </w:rPr>
              <w:t>拟投入人员具有正高级职称，并持有省级及以上生态环境主管部门颁发的环境监测上岗证书或环境影响评价工程师职业资格证书的，每人</w:t>
            </w:r>
            <w:r>
              <w:rPr>
                <w:rFonts w:hint="eastAsia" w:ascii="宋体" w:hAnsi="宋体" w:cs="宋体"/>
                <w:bCs w:val="0"/>
                <w:color w:val="auto"/>
                <w:spacing w:val="0"/>
                <w:kern w:val="2"/>
                <w:sz w:val="21"/>
                <w:szCs w:val="21"/>
                <w:highlight w:val="none"/>
                <w:lang w:eastAsia="zh-CN"/>
              </w:rPr>
              <w:t>得</w:t>
            </w:r>
            <w:r>
              <w:rPr>
                <w:rFonts w:hint="eastAsia" w:ascii="宋体" w:hAnsi="宋体" w:cs="宋体"/>
                <w:bCs w:val="0"/>
                <w:color w:val="auto"/>
                <w:spacing w:val="0"/>
                <w:kern w:val="2"/>
                <w:sz w:val="21"/>
                <w:szCs w:val="21"/>
                <w:highlight w:val="none"/>
              </w:rPr>
              <w:t>3分；具有副高级职称，并持有省级及以上生态环境主管部门颁发的环境监测上岗证书或环境影响评价工程师职业资格证书的，每人</w:t>
            </w:r>
            <w:r>
              <w:rPr>
                <w:rFonts w:hint="eastAsia" w:ascii="宋体" w:hAnsi="宋体" w:cs="宋体"/>
                <w:bCs w:val="0"/>
                <w:color w:val="auto"/>
                <w:spacing w:val="0"/>
                <w:kern w:val="2"/>
                <w:sz w:val="21"/>
                <w:szCs w:val="21"/>
                <w:highlight w:val="none"/>
                <w:lang w:eastAsia="zh-CN"/>
              </w:rPr>
              <w:t>得</w:t>
            </w:r>
            <w:r>
              <w:rPr>
                <w:rFonts w:hint="eastAsia" w:ascii="宋体" w:hAnsi="宋体" w:cs="宋体"/>
                <w:bCs w:val="0"/>
                <w:color w:val="auto"/>
                <w:spacing w:val="0"/>
                <w:kern w:val="2"/>
                <w:sz w:val="21"/>
                <w:szCs w:val="21"/>
                <w:highlight w:val="none"/>
              </w:rPr>
              <w:t>2分。本项满分20分。</w:t>
            </w:r>
          </w:p>
          <w:p w14:paraId="76E189AD">
            <w:pPr>
              <w:pStyle w:val="34"/>
              <w:spacing w:before="0" w:after="0" w:line="264"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bCs w:val="0"/>
                <w:color w:val="auto"/>
                <w:spacing w:val="0"/>
                <w:kern w:val="2"/>
                <w:sz w:val="21"/>
                <w:szCs w:val="21"/>
                <w:highlight w:val="none"/>
              </w:rPr>
              <w:t>注：提供职称证书、资格证书复印件作为评审依据证明材料均需加盖公章，未按要求提供相关证明材料的不得分</w:t>
            </w:r>
          </w:p>
        </w:tc>
      </w:tr>
      <w:tr w14:paraId="788A70E0">
        <w:tblPrEx>
          <w:tblCellMar>
            <w:top w:w="28" w:type="dxa"/>
            <w:left w:w="28" w:type="dxa"/>
            <w:bottom w:w="28" w:type="dxa"/>
            <w:right w:w="28" w:type="dxa"/>
          </w:tblCellMar>
        </w:tblPrEx>
        <w:trPr>
          <w:trHeight w:val="789"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0CF16A0C">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四</w:t>
            </w:r>
          </w:p>
        </w:tc>
        <w:tc>
          <w:tcPr>
            <w:tcW w:w="1385" w:type="dxa"/>
            <w:tcBorders>
              <w:top w:val="single" w:color="000000" w:sz="4" w:space="0"/>
              <w:left w:val="single" w:color="auto" w:sz="4" w:space="0"/>
              <w:bottom w:val="single" w:color="000000" w:sz="4" w:space="0"/>
              <w:right w:val="single" w:color="000000" w:sz="4" w:space="0"/>
            </w:tcBorders>
            <w:vAlign w:val="center"/>
          </w:tcPr>
          <w:p w14:paraId="7353BBF3">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lang w:eastAsia="zh-CN"/>
              </w:rPr>
              <w:t>调查与评价</w:t>
            </w:r>
            <w:r>
              <w:rPr>
                <w:rFonts w:hint="eastAsia" w:ascii="宋体" w:hAnsi="宋体" w:cs="宋体"/>
                <w:color w:val="auto"/>
                <w:szCs w:val="21"/>
                <w:highlight w:val="none"/>
              </w:rPr>
              <w:t>方案</w:t>
            </w:r>
          </w:p>
          <w:p w14:paraId="0E0E0A0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46</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17A1D46C">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优：</w:t>
            </w:r>
            <w:r>
              <w:rPr>
                <w:rFonts w:hint="eastAsia" w:ascii="宋体" w:hAnsi="宋体" w:cs="宋体"/>
                <w:color w:val="auto"/>
                <w:szCs w:val="21"/>
                <w:highlight w:val="none"/>
              </w:rPr>
              <w:t>工作思路清晰，内容详实，对本项目重点要点分析准确到位，进度计划安排合理，各阶段工作安排得当，进度控制措施合理、可行，提出的工作保障措施可行、针对性强，能很好地满足采购需求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p w14:paraId="716E324A">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良：</w:t>
            </w:r>
            <w:r>
              <w:rPr>
                <w:rFonts w:hint="eastAsia" w:ascii="宋体" w:hAnsi="宋体" w:cs="宋体"/>
                <w:color w:val="auto"/>
                <w:szCs w:val="21"/>
                <w:highlight w:val="none"/>
              </w:rPr>
              <w:t>工作思路较清晰，内容较详实，对本项目重点要点分析比较准确到位，进度计划安排较合理，提出的工作保障措施可行、针对性较强，满足采购需求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39</w:t>
            </w:r>
            <w:r>
              <w:rPr>
                <w:rFonts w:hint="eastAsia" w:ascii="宋体" w:hAnsi="宋体" w:cs="宋体"/>
                <w:color w:val="auto"/>
                <w:szCs w:val="21"/>
                <w:highlight w:val="none"/>
              </w:rPr>
              <w:t>分；</w:t>
            </w:r>
          </w:p>
          <w:p w14:paraId="6999481F">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中：</w:t>
            </w:r>
            <w:r>
              <w:rPr>
                <w:rFonts w:hint="eastAsia" w:ascii="宋体" w:hAnsi="宋体" w:cs="宋体"/>
                <w:color w:val="auto"/>
                <w:szCs w:val="21"/>
                <w:highlight w:val="none"/>
              </w:rPr>
              <w:t>工作思路基本清晰，内容基本详实，对本项目重点要点分析基本准确到位，进度计划工期安排一般，提出的工作保障措施基本可行、针对性一般，基本满足采购需求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32</w:t>
            </w:r>
            <w:r>
              <w:rPr>
                <w:rFonts w:hint="eastAsia" w:ascii="宋体" w:hAnsi="宋体" w:cs="宋体"/>
                <w:color w:val="auto"/>
                <w:szCs w:val="21"/>
                <w:highlight w:val="none"/>
              </w:rPr>
              <w:t>分；</w:t>
            </w:r>
          </w:p>
          <w:p w14:paraId="5BD28164">
            <w:pPr>
              <w:widowControl/>
              <w:spacing w:line="264" w:lineRule="auto"/>
              <w:ind w:firstLine="422" w:firstLineChars="200"/>
              <w:textAlignment w:val="center"/>
              <w:rPr>
                <w:rFonts w:hint="eastAsia" w:ascii="宋体" w:hAnsi="宋体" w:cs="宋体"/>
                <w:b/>
                <w:color w:val="auto"/>
                <w:szCs w:val="21"/>
                <w:highlight w:val="none"/>
              </w:rPr>
            </w:pPr>
            <w:r>
              <w:rPr>
                <w:rFonts w:hint="eastAsia" w:ascii="宋体" w:hAnsi="宋体" w:cs="宋体"/>
                <w:b/>
                <w:color w:val="auto"/>
                <w:szCs w:val="21"/>
                <w:highlight w:val="none"/>
              </w:rPr>
              <w:t>差：方案不能满足采购需求</w:t>
            </w:r>
            <w:r>
              <w:rPr>
                <w:rFonts w:hint="eastAsia" w:ascii="宋体" w:hAnsi="宋体" w:cs="宋体"/>
                <w:b/>
                <w:color w:val="auto"/>
                <w:szCs w:val="21"/>
                <w:highlight w:val="none"/>
                <w:lang w:eastAsia="zh-CN"/>
              </w:rPr>
              <w:t>的，得</w:t>
            </w:r>
            <w:r>
              <w:rPr>
                <w:rFonts w:hint="eastAsia" w:ascii="宋体" w:hAnsi="宋体" w:cs="宋体"/>
                <w:b/>
                <w:color w:val="auto"/>
                <w:szCs w:val="21"/>
                <w:highlight w:val="none"/>
              </w:rPr>
              <w:t>0分。</w:t>
            </w:r>
          </w:p>
        </w:tc>
      </w:tr>
      <w:tr w14:paraId="625A7B65">
        <w:tblPrEx>
          <w:tblCellMar>
            <w:top w:w="28" w:type="dxa"/>
            <w:left w:w="28" w:type="dxa"/>
            <w:bottom w:w="28" w:type="dxa"/>
            <w:right w:w="28" w:type="dxa"/>
          </w:tblCellMar>
        </w:tblPrEx>
        <w:trPr>
          <w:trHeight w:val="413"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11E988EF">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五</w:t>
            </w:r>
          </w:p>
        </w:tc>
        <w:tc>
          <w:tcPr>
            <w:tcW w:w="8526" w:type="dxa"/>
            <w:gridSpan w:val="2"/>
            <w:tcBorders>
              <w:top w:val="single" w:color="000000" w:sz="4" w:space="0"/>
              <w:left w:val="single" w:color="auto" w:sz="4" w:space="0"/>
              <w:bottom w:val="single" w:color="000000" w:sz="4" w:space="0"/>
              <w:right w:val="single" w:color="000000" w:sz="4" w:space="0"/>
            </w:tcBorders>
            <w:vAlign w:val="center"/>
          </w:tcPr>
          <w:p w14:paraId="4DB4D6B6">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总分=价格分+业绩分+人员配置分+</w:t>
            </w:r>
            <w:r>
              <w:rPr>
                <w:rFonts w:hint="eastAsia" w:ascii="宋体" w:hAnsi="宋体" w:cs="宋体"/>
                <w:color w:val="auto"/>
                <w:szCs w:val="21"/>
                <w:highlight w:val="none"/>
                <w:lang w:eastAsia="zh-CN"/>
              </w:rPr>
              <w:t>调查与评价</w:t>
            </w:r>
            <w:r>
              <w:rPr>
                <w:rFonts w:hint="eastAsia" w:ascii="宋体" w:hAnsi="宋体" w:cs="宋体"/>
                <w:color w:val="auto"/>
                <w:szCs w:val="21"/>
                <w:highlight w:val="none"/>
              </w:rPr>
              <w:t>方案分</w:t>
            </w:r>
          </w:p>
        </w:tc>
      </w:tr>
    </w:tbl>
    <w:p w14:paraId="6B867BB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bCs/>
          <w:color w:val="auto"/>
          <w:szCs w:val="21"/>
          <w:highlight w:val="none"/>
        </w:rPr>
      </w:pPr>
    </w:p>
    <w:p w14:paraId="5F987331">
      <w:pPr>
        <w:rPr>
          <w:color w:val="auto"/>
          <w:highlight w:val="none"/>
        </w:rPr>
      </w:pPr>
      <w:r>
        <w:rPr>
          <w:rFonts w:hint="eastAsia"/>
          <w:color w:val="auto"/>
          <w:highlight w:val="none"/>
        </w:rPr>
        <w:br w:type="page"/>
      </w:r>
    </w:p>
    <w:p w14:paraId="23DF3DC9">
      <w:pPr>
        <w:pStyle w:val="10"/>
        <w:rPr>
          <w:color w:val="auto"/>
          <w:highlight w:val="none"/>
        </w:rPr>
      </w:pPr>
    </w:p>
    <w:p w14:paraId="750F3B1C">
      <w:pPr>
        <w:rPr>
          <w:color w:val="auto"/>
          <w:highlight w:val="none"/>
        </w:rPr>
      </w:pPr>
    </w:p>
    <w:p w14:paraId="25F21A85">
      <w:pPr>
        <w:pStyle w:val="2"/>
        <w:spacing w:before="0" w:after="0" w:line="579" w:lineRule="auto"/>
        <w:jc w:val="center"/>
        <w:rPr>
          <w:color w:val="auto"/>
          <w:sz w:val="28"/>
          <w:szCs w:val="28"/>
          <w:highlight w:val="none"/>
        </w:rPr>
      </w:pPr>
      <w:bookmarkStart w:id="118" w:name="_Toc18602"/>
      <w:bookmarkStart w:id="119" w:name="_Toc15131"/>
      <w:bookmarkStart w:id="120" w:name="_Toc5116"/>
      <w:bookmarkStart w:id="121" w:name="_Toc31079"/>
      <w:bookmarkStart w:id="122" w:name="_Toc13809"/>
      <w:bookmarkStart w:id="123" w:name="_Toc9218"/>
      <w:bookmarkStart w:id="124" w:name="_Toc1499"/>
      <w:bookmarkStart w:id="125" w:name="_Toc7276"/>
      <w:bookmarkStart w:id="126" w:name="_Toc2378"/>
      <w:bookmarkStart w:id="127" w:name="_Toc16244"/>
      <w:bookmarkStart w:id="128" w:name="_Toc31993"/>
      <w:bookmarkStart w:id="129" w:name="_Toc1264"/>
      <w:bookmarkStart w:id="130" w:name="_Toc29925"/>
      <w:bookmarkStart w:id="131" w:name="_Toc9844"/>
      <w:r>
        <w:rPr>
          <w:rFonts w:hint="eastAsia"/>
          <w:color w:val="auto"/>
          <w:sz w:val="28"/>
          <w:szCs w:val="28"/>
          <w:highlight w:val="none"/>
        </w:rPr>
        <w:t>第五章 响应文件格式</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28C68315">
      <w:pPr>
        <w:spacing w:line="240" w:lineRule="atLeast"/>
        <w:rPr>
          <w:rFonts w:ascii="仿宋_GB2312" w:hAnsi="仿宋_GB2312" w:eastAsia="仿宋_GB2312" w:cs="仿宋_GB2312"/>
          <w:bCs/>
          <w:color w:val="auto"/>
          <w:sz w:val="32"/>
          <w:szCs w:val="32"/>
          <w:highlight w:val="none"/>
        </w:rPr>
      </w:pPr>
    </w:p>
    <w:p w14:paraId="643C196C">
      <w:pPr>
        <w:snapToGrid w:val="0"/>
        <w:spacing w:before="120" w:beforeLines="50" w:after="50" w:line="360" w:lineRule="auto"/>
        <w:jc w:val="left"/>
        <w:rPr>
          <w:rFonts w:ascii="宋体" w:hAnsi="宋体"/>
          <w:b/>
          <w:color w:val="auto"/>
          <w:sz w:val="24"/>
          <w:highlight w:val="none"/>
        </w:rPr>
      </w:pPr>
      <w:bookmarkStart w:id="132" w:name="_Toc35611438"/>
      <w:bookmarkStart w:id="133" w:name="_Toc35611516"/>
      <w:bookmarkStart w:id="134" w:name="_Toc71365925"/>
      <w:bookmarkStart w:id="135" w:name="_Toc31723070"/>
      <w:bookmarkStart w:id="136" w:name="_Toc31728084"/>
      <w:bookmarkStart w:id="137" w:name="_Toc44229899"/>
      <w:r>
        <w:rPr>
          <w:b/>
          <w:color w:val="auto"/>
          <w:sz w:val="32"/>
          <w:szCs w:val="32"/>
          <w:highlight w:val="none"/>
        </w:rPr>
        <w:br w:type="page"/>
      </w:r>
      <w:bookmarkEnd w:id="132"/>
      <w:bookmarkEnd w:id="133"/>
      <w:bookmarkEnd w:id="134"/>
      <w:bookmarkEnd w:id="135"/>
      <w:bookmarkEnd w:id="136"/>
      <w:bookmarkEnd w:id="137"/>
    </w:p>
    <w:p w14:paraId="05B2FA97">
      <w:pPr>
        <w:snapToGrid w:val="0"/>
        <w:spacing w:before="120"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5457F360">
      <w:pPr>
        <w:snapToGrid w:val="0"/>
        <w:spacing w:before="120" w:beforeLines="50" w:after="50"/>
        <w:rPr>
          <w:rFonts w:ascii="宋体" w:hAnsi="宋体"/>
          <w:color w:val="auto"/>
          <w:sz w:val="24"/>
          <w:szCs w:val="20"/>
          <w:highlight w:val="none"/>
        </w:rPr>
      </w:pPr>
    </w:p>
    <w:p w14:paraId="233DE10E">
      <w:pPr>
        <w:snapToGrid w:val="0"/>
        <w:spacing w:before="120" w:beforeLines="50" w:line="360" w:lineRule="auto"/>
        <w:jc w:val="center"/>
        <w:rPr>
          <w:rFonts w:ascii="黑体" w:hAnsi="黑体" w:eastAsia="黑体" w:cs="黑体"/>
          <w:color w:val="auto"/>
          <w:sz w:val="36"/>
          <w:szCs w:val="36"/>
          <w:highlight w:val="none"/>
        </w:rPr>
      </w:pPr>
      <w:r>
        <w:rPr>
          <w:rFonts w:hint="eastAsia" w:ascii="宋体" w:hAnsi="宋体" w:cs="宋体"/>
          <w:b/>
          <w:bCs/>
          <w:color w:val="auto"/>
          <w:sz w:val="36"/>
          <w:szCs w:val="36"/>
          <w:highlight w:val="none"/>
        </w:rPr>
        <w:t>钦州港20万吨级进港航道一期工程秋季海洋生态和水文动力环境现状调查与评价服务采购</w:t>
      </w:r>
    </w:p>
    <w:p w14:paraId="3638B3BC">
      <w:pPr>
        <w:snapToGrid w:val="0"/>
        <w:spacing w:before="120" w:beforeLines="50" w:after="50"/>
        <w:jc w:val="center"/>
        <w:rPr>
          <w:rFonts w:ascii="宋体" w:hAnsi="宋体" w:cs="宋体"/>
          <w:bCs/>
          <w:color w:val="auto"/>
          <w:sz w:val="32"/>
          <w:szCs w:val="32"/>
          <w:highlight w:val="none"/>
        </w:rPr>
      </w:pPr>
    </w:p>
    <w:p w14:paraId="7ECD192E">
      <w:pPr>
        <w:snapToGrid w:val="0"/>
        <w:spacing w:before="120" w:beforeLines="50" w:after="50"/>
        <w:jc w:val="center"/>
        <w:rPr>
          <w:rFonts w:ascii="黑体" w:hAnsi="黑体" w:eastAsia="黑体" w:cs="黑体"/>
          <w:bCs/>
          <w:color w:val="auto"/>
          <w:sz w:val="84"/>
          <w:szCs w:val="84"/>
          <w:highlight w:val="none"/>
        </w:rPr>
      </w:pPr>
      <w:r>
        <w:rPr>
          <w:rFonts w:hint="eastAsia" w:ascii="黑体" w:hAnsi="黑体" w:eastAsia="黑体" w:cs="黑体"/>
          <w:bCs/>
          <w:color w:val="auto"/>
          <w:sz w:val="84"/>
          <w:szCs w:val="84"/>
          <w:highlight w:val="none"/>
        </w:rPr>
        <w:t>响 应 文 件</w:t>
      </w:r>
    </w:p>
    <w:p w14:paraId="5D274D21">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p>
    <w:p w14:paraId="73D622CE">
      <w:pPr>
        <w:snapToGrid w:val="0"/>
        <w:spacing w:before="120" w:beforeLines="50" w:after="50"/>
        <w:jc w:val="center"/>
        <w:rPr>
          <w:rFonts w:ascii="方正小标宋简体" w:hAnsi="方正小标宋简体" w:eastAsia="方正小标宋简体" w:cs="方正小标宋简体"/>
          <w:bCs/>
          <w:color w:val="auto"/>
          <w:sz w:val="32"/>
          <w:szCs w:val="32"/>
          <w:highlight w:val="none"/>
        </w:rPr>
      </w:pPr>
    </w:p>
    <w:p w14:paraId="3214BA98">
      <w:pPr>
        <w:snapToGrid w:val="0"/>
        <w:spacing w:before="120" w:beforeLines="50" w:after="50"/>
        <w:rPr>
          <w:rFonts w:ascii="宋体" w:hAnsi="宋体"/>
          <w:bCs/>
          <w:color w:val="auto"/>
          <w:sz w:val="24"/>
          <w:szCs w:val="20"/>
          <w:highlight w:val="none"/>
        </w:rPr>
      </w:pPr>
    </w:p>
    <w:p w14:paraId="41941762">
      <w:pPr>
        <w:snapToGrid w:val="0"/>
        <w:spacing w:before="120" w:beforeLines="50" w:after="50"/>
        <w:rPr>
          <w:rFonts w:ascii="宋体" w:hAnsi="宋体"/>
          <w:bCs/>
          <w:color w:val="auto"/>
          <w:sz w:val="24"/>
          <w:szCs w:val="20"/>
          <w:highlight w:val="none"/>
        </w:rPr>
      </w:pPr>
    </w:p>
    <w:p w14:paraId="011F923C">
      <w:pPr>
        <w:snapToGrid w:val="0"/>
        <w:spacing w:before="120" w:beforeLines="50" w:after="50"/>
        <w:rPr>
          <w:rFonts w:ascii="宋体" w:hAnsi="宋体"/>
          <w:bCs/>
          <w:color w:val="auto"/>
          <w:sz w:val="24"/>
          <w:szCs w:val="20"/>
          <w:highlight w:val="none"/>
        </w:rPr>
      </w:pPr>
    </w:p>
    <w:p w14:paraId="6B9DCA68">
      <w:pPr>
        <w:snapToGrid w:val="0"/>
        <w:spacing w:before="120" w:beforeLines="50" w:after="50"/>
        <w:ind w:firstLine="640" w:firstLineChars="200"/>
        <w:rPr>
          <w:rFonts w:ascii="宋体" w:hAnsi="宋体" w:cs="仿宋_GB2312"/>
          <w:bCs/>
          <w:color w:val="auto"/>
          <w:sz w:val="32"/>
          <w:szCs w:val="32"/>
          <w:highlight w:val="none"/>
        </w:rPr>
      </w:pPr>
    </w:p>
    <w:p w14:paraId="28781C0B">
      <w:pPr>
        <w:snapToGrid w:val="0"/>
        <w:spacing w:before="120" w:beforeLines="50" w:after="50"/>
        <w:ind w:firstLine="720" w:firstLineChars="225"/>
        <w:rPr>
          <w:rFonts w:ascii="宋体" w:hAnsi="宋体" w:cs="仿宋_GB2312"/>
          <w:bCs/>
          <w:color w:val="auto"/>
          <w:sz w:val="32"/>
          <w:szCs w:val="32"/>
          <w:highlight w:val="none"/>
        </w:rPr>
      </w:pPr>
    </w:p>
    <w:p w14:paraId="0BFCADD2">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（盖单位公章）</w:t>
      </w:r>
    </w:p>
    <w:p w14:paraId="40B11F34">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法定代表人或其委托代理人：</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（签字）</w:t>
      </w:r>
    </w:p>
    <w:p w14:paraId="08622B40">
      <w:pPr>
        <w:snapToGrid w:val="0"/>
        <w:spacing w:before="120" w:beforeLines="50" w:after="50"/>
        <w:ind w:firstLine="720" w:firstLineChars="225"/>
        <w:rPr>
          <w:rFonts w:ascii="宋体" w:hAnsi="宋体" w:cs="仿宋_GB2312"/>
          <w:bCs/>
          <w:color w:val="auto"/>
          <w:sz w:val="32"/>
          <w:szCs w:val="32"/>
          <w:highlight w:val="none"/>
        </w:rPr>
      </w:pPr>
    </w:p>
    <w:p w14:paraId="35C82ADA">
      <w:pPr>
        <w:pStyle w:val="5"/>
        <w:snapToGrid w:val="0"/>
        <w:spacing w:before="50" w:after="50"/>
        <w:ind w:firstLine="720" w:firstLineChars="225"/>
        <w:rPr>
          <w:rFonts w:ascii="宋体" w:hAnsi="宋体" w:cs="仿宋_GB2312"/>
          <w:bCs/>
          <w:color w:val="auto"/>
          <w:sz w:val="32"/>
          <w:szCs w:val="32"/>
          <w:highlight w:val="none"/>
        </w:rPr>
      </w:pPr>
    </w:p>
    <w:p w14:paraId="3D35DCE8">
      <w:pPr>
        <w:pStyle w:val="5"/>
        <w:snapToGrid w:val="0"/>
        <w:spacing w:before="50" w:after="50"/>
        <w:ind w:firstLine="720" w:firstLineChars="225"/>
        <w:rPr>
          <w:rFonts w:ascii="宋体" w:hAnsi="宋体" w:cs="仿宋_GB2312"/>
          <w:bCs/>
          <w:color w:val="auto"/>
          <w:sz w:val="32"/>
          <w:szCs w:val="32"/>
          <w:highlight w:val="none"/>
        </w:rPr>
      </w:pPr>
    </w:p>
    <w:p w14:paraId="2E8087B6">
      <w:pPr>
        <w:pStyle w:val="5"/>
        <w:snapToGrid w:val="0"/>
        <w:spacing w:before="50" w:after="50"/>
        <w:ind w:firstLine="720" w:firstLineChars="225"/>
        <w:rPr>
          <w:rFonts w:ascii="宋体" w:hAnsi="宋体" w:cs="仿宋_GB2312"/>
          <w:bCs/>
          <w:color w:val="auto"/>
          <w:sz w:val="32"/>
          <w:szCs w:val="32"/>
          <w:highlight w:val="none"/>
        </w:rPr>
      </w:pPr>
    </w:p>
    <w:p w14:paraId="341C3B28">
      <w:pPr>
        <w:pStyle w:val="5"/>
        <w:snapToGrid w:val="0"/>
        <w:spacing w:before="50" w:after="50"/>
        <w:ind w:firstLine="1280" w:firstLineChars="400"/>
        <w:rPr>
          <w:rFonts w:ascii="宋体" w:hAnsi="宋体" w:cs="仿宋_GB2312"/>
          <w:bCs/>
          <w:color w:val="auto"/>
          <w:sz w:val="32"/>
          <w:szCs w:val="32"/>
          <w:highlight w:val="none"/>
        </w:rPr>
      </w:pPr>
    </w:p>
    <w:p w14:paraId="37996249">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月</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日</w:t>
      </w:r>
    </w:p>
    <w:p w14:paraId="4621B798">
      <w:pPr>
        <w:snapToGrid w:val="0"/>
        <w:spacing w:before="120" w:beforeLines="50" w:after="50" w:line="360" w:lineRule="auto"/>
        <w:jc w:val="center"/>
        <w:outlineLvl w:val="1"/>
        <w:rPr>
          <w:rFonts w:ascii="宋体" w:hAnsi="宋体"/>
          <w:b/>
          <w:bCs/>
          <w:color w:val="auto"/>
          <w:sz w:val="36"/>
          <w:szCs w:val="36"/>
          <w:highlight w:val="none"/>
        </w:rPr>
      </w:pPr>
      <w:r>
        <w:rPr>
          <w:rFonts w:ascii="宋体" w:hAnsi="宋体"/>
          <w:color w:val="auto"/>
          <w:sz w:val="24"/>
          <w:highlight w:val="none"/>
        </w:rPr>
        <w:br w:type="page"/>
      </w:r>
      <w:bookmarkStart w:id="138" w:name="_Toc28937"/>
      <w:bookmarkStart w:id="139" w:name="_Toc19485"/>
      <w:bookmarkStart w:id="140" w:name="_Toc5315"/>
      <w:bookmarkStart w:id="141" w:name="_Toc14725"/>
      <w:bookmarkStart w:id="142" w:name="_Toc30735"/>
      <w:bookmarkStart w:id="143" w:name="_Toc14424"/>
      <w:bookmarkStart w:id="144" w:name="_Toc15878"/>
      <w:bookmarkStart w:id="145" w:name="_Toc26665"/>
      <w:bookmarkStart w:id="146" w:name="_Toc5241"/>
      <w:bookmarkStart w:id="147" w:name="_Toc25747"/>
      <w:bookmarkStart w:id="148" w:name="_Toc13495"/>
      <w:bookmarkStart w:id="149" w:name="_Toc16677"/>
      <w:bookmarkStart w:id="150" w:name="_Toc13623"/>
      <w:bookmarkStart w:id="151" w:name="_Toc6595"/>
      <w:r>
        <w:rPr>
          <w:rFonts w:hint="eastAsia" w:ascii="宋体" w:hAnsi="宋体"/>
          <w:b/>
          <w:bCs/>
          <w:color w:val="auto"/>
          <w:sz w:val="36"/>
          <w:szCs w:val="36"/>
          <w:highlight w:val="none"/>
        </w:rPr>
        <w:t>目录</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614AA498">
      <w:pPr>
        <w:snapToGrid w:val="0"/>
        <w:spacing w:before="120" w:beforeLines="50" w:after="50"/>
        <w:rPr>
          <w:rFonts w:ascii="宋体" w:hAnsi="宋体"/>
          <w:color w:val="auto"/>
          <w:sz w:val="24"/>
          <w:szCs w:val="20"/>
          <w:highlight w:val="none"/>
        </w:rPr>
      </w:pPr>
    </w:p>
    <w:p w14:paraId="6DA1A67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一、投标函</w:t>
      </w:r>
    </w:p>
    <w:p w14:paraId="1BE9904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二、法定代表人身份证明（适用于无委托代理人的情况）</w:t>
      </w:r>
    </w:p>
    <w:p w14:paraId="2AA7050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二、授权委托书（适用于有委托代理人的情况）</w:t>
      </w:r>
    </w:p>
    <w:p w14:paraId="7D65506E">
      <w:pPr>
        <w:snapToGrid w:val="0"/>
        <w:spacing w:before="120" w:beforeLines="50" w:after="50"/>
        <w:ind w:firstLine="480" w:firstLineChars="200"/>
        <w:rPr>
          <w:rFonts w:hint="eastAsia" w:ascii="宋体" w:hAnsi="宋体"/>
          <w:color w:val="auto"/>
          <w:sz w:val="24"/>
          <w:szCs w:val="20"/>
          <w:highlight w:val="none"/>
        </w:rPr>
      </w:pPr>
      <w:r>
        <w:rPr>
          <w:rFonts w:hint="eastAsia" w:ascii="宋体" w:hAnsi="宋体"/>
          <w:color w:val="auto"/>
          <w:sz w:val="24"/>
          <w:szCs w:val="20"/>
          <w:highlight w:val="none"/>
        </w:rPr>
        <w:t>三、联合体协议书（</w:t>
      </w:r>
      <w:r>
        <w:rPr>
          <w:rFonts w:hint="eastAsia" w:ascii="宋体" w:hAnsi="宋体"/>
          <w:color w:val="auto"/>
          <w:sz w:val="24"/>
          <w:szCs w:val="20"/>
          <w:highlight w:val="none"/>
          <w:lang w:eastAsia="zh-CN"/>
        </w:rPr>
        <w:t>如有</w:t>
      </w:r>
      <w:r>
        <w:rPr>
          <w:rFonts w:hint="eastAsia" w:ascii="宋体" w:hAnsi="宋体"/>
          <w:color w:val="auto"/>
          <w:sz w:val="24"/>
          <w:szCs w:val="20"/>
          <w:highlight w:val="none"/>
        </w:rPr>
        <w:t>）</w:t>
      </w:r>
    </w:p>
    <w:p w14:paraId="4183113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lang w:eastAsia="zh-CN"/>
        </w:rPr>
        <w:t>四</w:t>
      </w:r>
      <w:r>
        <w:rPr>
          <w:rFonts w:hint="eastAsia" w:ascii="宋体" w:hAnsi="宋体"/>
          <w:color w:val="auto"/>
          <w:sz w:val="24"/>
          <w:szCs w:val="20"/>
          <w:highlight w:val="none"/>
        </w:rPr>
        <w:t>、报价清单</w:t>
      </w:r>
    </w:p>
    <w:p w14:paraId="00DAB57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lang w:eastAsia="zh-CN"/>
        </w:rPr>
        <w:t>五</w:t>
      </w:r>
      <w:r>
        <w:rPr>
          <w:rFonts w:hint="eastAsia" w:ascii="宋体" w:hAnsi="宋体"/>
          <w:color w:val="auto"/>
          <w:sz w:val="24"/>
          <w:szCs w:val="20"/>
          <w:highlight w:val="none"/>
        </w:rPr>
        <w:t>、资格审查资料</w:t>
      </w:r>
    </w:p>
    <w:p w14:paraId="6342BB2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(一)投标人基本情况表</w:t>
      </w:r>
    </w:p>
    <w:p w14:paraId="6BEA6655">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(二)近年的业绩证明文件</w:t>
      </w:r>
    </w:p>
    <w:p w14:paraId="686FA126">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(三)供应商信用及守法证明材料</w:t>
      </w:r>
    </w:p>
    <w:p w14:paraId="6A91796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(四)拟投入的主要人员表</w:t>
      </w:r>
    </w:p>
    <w:p w14:paraId="67DD5C2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lang w:eastAsia="zh-CN"/>
        </w:rPr>
        <w:t>六</w:t>
      </w:r>
      <w:r>
        <w:rPr>
          <w:rFonts w:hint="eastAsia" w:ascii="宋体" w:hAnsi="宋体"/>
          <w:color w:val="auto"/>
          <w:sz w:val="24"/>
          <w:szCs w:val="20"/>
          <w:highlight w:val="none"/>
        </w:rPr>
        <w:t>、</w:t>
      </w:r>
      <w:r>
        <w:rPr>
          <w:rFonts w:hint="eastAsia" w:ascii="宋体" w:hAnsi="宋体"/>
          <w:color w:val="auto"/>
          <w:sz w:val="24"/>
          <w:szCs w:val="20"/>
          <w:highlight w:val="none"/>
          <w:lang w:eastAsia="zh-CN"/>
        </w:rPr>
        <w:t>调查与评价</w:t>
      </w:r>
      <w:r>
        <w:rPr>
          <w:rFonts w:hint="eastAsia" w:ascii="宋体" w:hAnsi="宋体"/>
          <w:color w:val="auto"/>
          <w:sz w:val="24"/>
          <w:szCs w:val="20"/>
          <w:highlight w:val="none"/>
        </w:rPr>
        <w:t>方案</w:t>
      </w:r>
    </w:p>
    <w:p w14:paraId="79B2A09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lang w:eastAsia="zh-CN"/>
        </w:rPr>
        <w:t>七</w:t>
      </w:r>
      <w:r>
        <w:rPr>
          <w:rFonts w:hint="eastAsia" w:ascii="宋体" w:hAnsi="宋体"/>
          <w:color w:val="auto"/>
          <w:sz w:val="24"/>
          <w:szCs w:val="20"/>
          <w:highlight w:val="none"/>
        </w:rPr>
        <w:t>、其他资料</w:t>
      </w:r>
    </w:p>
    <w:p w14:paraId="030A5F1C">
      <w:pPr>
        <w:spacing w:line="300" w:lineRule="auto"/>
        <w:rPr>
          <w:rFonts w:ascii="宋体" w:hAnsi="宋体"/>
          <w:color w:val="auto"/>
          <w:szCs w:val="21"/>
          <w:highlight w:val="none"/>
        </w:rPr>
      </w:pPr>
    </w:p>
    <w:p w14:paraId="0A014649">
      <w:pPr>
        <w:spacing w:line="300" w:lineRule="auto"/>
        <w:rPr>
          <w:rFonts w:ascii="宋体" w:hAnsi="宋体"/>
          <w:color w:val="auto"/>
          <w:szCs w:val="21"/>
          <w:highlight w:val="none"/>
        </w:rPr>
      </w:pPr>
    </w:p>
    <w:p w14:paraId="60EE60F1">
      <w:pPr>
        <w:spacing w:line="300" w:lineRule="auto"/>
        <w:rPr>
          <w:rFonts w:ascii="宋体" w:hAnsi="宋体"/>
          <w:color w:val="auto"/>
          <w:szCs w:val="21"/>
          <w:highlight w:val="none"/>
        </w:rPr>
      </w:pPr>
    </w:p>
    <w:p w14:paraId="12E6A4BD">
      <w:pPr>
        <w:spacing w:line="300" w:lineRule="auto"/>
        <w:rPr>
          <w:rFonts w:ascii="宋体" w:hAnsi="宋体"/>
          <w:color w:val="auto"/>
          <w:szCs w:val="21"/>
          <w:highlight w:val="none"/>
        </w:rPr>
      </w:pPr>
    </w:p>
    <w:p w14:paraId="1FC873C1">
      <w:pPr>
        <w:jc w:val="center"/>
        <w:outlineLvl w:val="1"/>
        <w:rPr>
          <w:rFonts w:ascii="黑体" w:hAnsi="黑体" w:eastAsia="黑体" w:cs="黑体"/>
          <w:color w:val="auto"/>
          <w:sz w:val="36"/>
          <w:szCs w:val="36"/>
          <w:highlight w:val="none"/>
        </w:rPr>
      </w:pPr>
      <w:r>
        <w:rPr>
          <w:rFonts w:ascii="宋体" w:hAnsi="宋体"/>
          <w:color w:val="auto"/>
          <w:szCs w:val="21"/>
          <w:highlight w:val="none"/>
        </w:rPr>
        <w:br w:type="page"/>
      </w:r>
      <w:bookmarkStart w:id="152" w:name="_Toc10457"/>
      <w:bookmarkStart w:id="153" w:name="_Toc23999"/>
      <w:bookmarkStart w:id="154" w:name="_Toc32689"/>
      <w:bookmarkStart w:id="155" w:name="_Toc29629"/>
      <w:bookmarkStart w:id="156" w:name="_Toc12166"/>
      <w:bookmarkStart w:id="157" w:name="_Toc1932"/>
      <w:bookmarkStart w:id="158" w:name="_Toc30651"/>
      <w:bookmarkStart w:id="159" w:name="_Toc26818"/>
      <w:bookmarkStart w:id="160" w:name="_Toc5505"/>
      <w:bookmarkStart w:id="161" w:name="_Toc22844"/>
      <w:bookmarkStart w:id="162" w:name="_Toc31846"/>
      <w:bookmarkStart w:id="163" w:name="_Toc16202"/>
      <w:bookmarkStart w:id="164" w:name="_Toc1292"/>
      <w:bookmarkStart w:id="165" w:name="_Toc11407"/>
      <w:r>
        <w:rPr>
          <w:rFonts w:hint="eastAsia" w:ascii="黑体" w:hAnsi="黑体" w:eastAsia="黑体" w:cs="黑体"/>
          <w:color w:val="auto"/>
          <w:sz w:val="36"/>
          <w:szCs w:val="36"/>
          <w:highlight w:val="none"/>
        </w:rPr>
        <w:t>一、投标函</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4F23C989">
      <w:pPr>
        <w:spacing w:line="320" w:lineRule="exact"/>
        <w:jc w:val="center"/>
        <w:rPr>
          <w:rFonts w:ascii="宋体" w:hAnsi="宋体"/>
          <w:b/>
          <w:color w:val="auto"/>
          <w:sz w:val="32"/>
          <w:szCs w:val="32"/>
          <w:highlight w:val="none"/>
        </w:rPr>
      </w:pPr>
    </w:p>
    <w:p w14:paraId="27D30725">
      <w:pPr>
        <w:jc w:val="center"/>
        <w:rPr>
          <w:rFonts w:ascii="宋体" w:hAnsi="宋体"/>
          <w:b/>
          <w:color w:val="auto"/>
          <w:sz w:val="32"/>
          <w:szCs w:val="32"/>
          <w:highlight w:val="none"/>
        </w:rPr>
      </w:pPr>
      <w:r>
        <w:rPr>
          <w:rFonts w:hint="eastAsia" w:ascii="宋体" w:hAnsi="宋体"/>
          <w:b/>
          <w:color w:val="auto"/>
          <w:sz w:val="32"/>
          <w:szCs w:val="32"/>
          <w:highlight w:val="none"/>
        </w:rPr>
        <w:t>投标函</w:t>
      </w:r>
    </w:p>
    <w:p w14:paraId="4706E6C2">
      <w:pPr>
        <w:spacing w:line="320" w:lineRule="exact"/>
        <w:jc w:val="center"/>
        <w:rPr>
          <w:rFonts w:ascii="宋体" w:hAnsi="宋体"/>
          <w:color w:val="auto"/>
          <w:sz w:val="24"/>
          <w:szCs w:val="20"/>
          <w:highlight w:val="none"/>
        </w:rPr>
      </w:pPr>
    </w:p>
    <w:p w14:paraId="25A07742">
      <w:pPr>
        <w:spacing w:line="360" w:lineRule="auto"/>
        <w:contextualSpacing/>
        <w:rPr>
          <w:rFonts w:ascii="宋体" w:hAnsi="宋体" w:cs="宋体"/>
          <w:color w:val="auto"/>
          <w:sz w:val="24"/>
          <w:highlight w:val="none"/>
        </w:rPr>
      </w:pPr>
      <w:r>
        <w:rPr>
          <w:rFonts w:hint="eastAsia" w:ascii="宋体" w:hAnsi="宋体" w:cs="宋体"/>
          <w:color w:val="auto"/>
          <w:sz w:val="24"/>
          <w:highlight w:val="none"/>
          <w:u w:val="single"/>
          <w:lang w:eastAsia="zh-CN"/>
        </w:rPr>
        <w:t>广西壮族自治区水运发展中心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4143A4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钦州港20万吨级进港航道一期工程秋季海洋生态和水文动力环境现状调查与评价服务</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none"/>
          <w:lang w:eastAsia="zh-CN"/>
        </w:rPr>
        <w:t>采购文件的全部内容</w:t>
      </w:r>
      <w:r>
        <w:rPr>
          <w:rFonts w:hint="eastAsia" w:ascii="宋体" w:hAnsi="宋体" w:cs="宋体"/>
          <w:color w:val="auto"/>
          <w:sz w:val="24"/>
          <w:highlight w:val="none"/>
        </w:rPr>
        <w:t>，愿意以人民币（大写）</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的投标总报价（其中，增值税税率为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日历天，按合同约定完成</w:t>
      </w:r>
      <w:r>
        <w:rPr>
          <w:rFonts w:hint="eastAsia" w:ascii="宋体" w:hAnsi="宋体" w:cs="宋体"/>
          <w:color w:val="auto"/>
          <w:sz w:val="24"/>
          <w:highlight w:val="none"/>
          <w:lang w:eastAsia="zh-CN"/>
        </w:rPr>
        <w:t>调查、评价</w:t>
      </w:r>
      <w:r>
        <w:rPr>
          <w:rFonts w:hint="eastAsia" w:ascii="宋体" w:hAnsi="宋体" w:cs="宋体"/>
          <w:color w:val="auto"/>
          <w:sz w:val="24"/>
          <w:highlight w:val="none"/>
        </w:rPr>
        <w:t>工作。</w:t>
      </w:r>
    </w:p>
    <w:p w14:paraId="4651286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2.我方的响应文件包括下列内容：：</w:t>
      </w:r>
    </w:p>
    <w:p w14:paraId="4D9CE0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（1）投标函；</w:t>
      </w:r>
    </w:p>
    <w:p w14:paraId="2B5E26B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（2）法定代表人身份证明或授权委托书；</w:t>
      </w:r>
    </w:p>
    <w:p w14:paraId="0B8C07A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联合体协议书（</w:t>
      </w:r>
      <w:r>
        <w:rPr>
          <w:rFonts w:hint="eastAsia" w:ascii="宋体" w:hAnsi="宋体" w:cs="宋体"/>
          <w:color w:val="auto"/>
          <w:sz w:val="24"/>
          <w:highlight w:val="none"/>
          <w:lang w:eastAsia="zh-CN"/>
        </w:rPr>
        <w:t>如有</w:t>
      </w:r>
      <w:r>
        <w:rPr>
          <w:rFonts w:hint="eastAsia" w:ascii="宋体" w:hAnsi="宋体" w:cs="宋体"/>
          <w:color w:val="auto"/>
          <w:sz w:val="24"/>
          <w:highlight w:val="none"/>
        </w:rPr>
        <w:t>）</w:t>
      </w:r>
    </w:p>
    <w:p w14:paraId="7592CA6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）报价清单；</w:t>
      </w:r>
    </w:p>
    <w:p w14:paraId="0873960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）资格审查资料；</w:t>
      </w:r>
    </w:p>
    <w:p w14:paraId="7A98833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w:t>
      </w:r>
      <w:r>
        <w:rPr>
          <w:rFonts w:hint="eastAsia" w:ascii="宋体" w:hAnsi="宋体" w:cs="宋体"/>
          <w:color w:val="auto"/>
          <w:sz w:val="24"/>
          <w:highlight w:val="none"/>
          <w:lang w:eastAsia="zh-CN"/>
        </w:rPr>
        <w:t>调查与评价</w:t>
      </w:r>
      <w:r>
        <w:rPr>
          <w:rFonts w:hint="eastAsia" w:ascii="宋体" w:hAnsi="宋体" w:cs="宋体"/>
          <w:color w:val="auto"/>
          <w:sz w:val="24"/>
          <w:highlight w:val="none"/>
        </w:rPr>
        <w:t>方案。</w:t>
      </w:r>
    </w:p>
    <w:p w14:paraId="594D623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响应文件的上述组成部分如存在内容不一致的，以投标函为准。</w:t>
      </w:r>
    </w:p>
    <w:p w14:paraId="4D7F332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3.我方承诺在采购文件规定的投标有效期内不撤销响应文件。</w:t>
      </w:r>
    </w:p>
    <w:p w14:paraId="5BB6517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4.如我方中标，我方承诺：</w:t>
      </w:r>
    </w:p>
    <w:p w14:paraId="6EF5453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（1）在收到中标通知书后，在中标通知书规定的期限内与你方签订合同；</w:t>
      </w:r>
    </w:p>
    <w:p w14:paraId="1B45134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1CB768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（3）在合同约定的期限内完成合同规定的全部义务。</w:t>
      </w:r>
    </w:p>
    <w:p w14:paraId="11B9D9A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5.我方在此声明，所递交的响应文件及有关资料内容完整、真实和准确。</w:t>
      </w:r>
    </w:p>
    <w:p w14:paraId="0FD88A2D">
      <w:pPr>
        <w:pStyle w:val="12"/>
        <w:tabs>
          <w:tab w:val="left" w:pos="939"/>
        </w:tabs>
        <w:spacing w:line="360" w:lineRule="auto"/>
        <w:ind w:left="0" w:leftChars="0" w:firstLine="480" w:firstLineChars="200"/>
        <w:rPr>
          <w:rFonts w:ascii="宋体" w:hAnsi="宋体" w:cs="宋体"/>
          <w:color w:val="auto"/>
          <w:sz w:val="24"/>
          <w:highlight w:val="none"/>
        </w:rPr>
      </w:pPr>
    </w:p>
    <w:p w14:paraId="741EA3AF">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4FE2CEC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31396F6C">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097F88C1">
      <w:pPr>
        <w:rPr>
          <w:rFonts w:ascii="宋体" w:hAnsi="宋体" w:cs="仿宋_GB2312"/>
          <w:color w:val="auto"/>
          <w:sz w:val="24"/>
          <w:highlight w:val="none"/>
        </w:rPr>
      </w:pPr>
      <w:r>
        <w:rPr>
          <w:rFonts w:hint="eastAsia" w:ascii="宋体" w:hAnsi="宋体" w:cs="仿宋_GB2312"/>
          <w:color w:val="auto"/>
          <w:sz w:val="24"/>
          <w:highlight w:val="none"/>
        </w:rPr>
        <w:br w:type="page"/>
      </w:r>
    </w:p>
    <w:p w14:paraId="6656C914">
      <w:pPr>
        <w:snapToGrid w:val="0"/>
        <w:spacing w:line="360" w:lineRule="auto"/>
        <w:jc w:val="center"/>
        <w:outlineLvl w:val="1"/>
        <w:rPr>
          <w:rFonts w:ascii="黑体" w:hAnsi="黑体" w:eastAsia="黑体" w:cs="黑体"/>
          <w:color w:val="auto"/>
          <w:sz w:val="36"/>
          <w:szCs w:val="36"/>
          <w:highlight w:val="none"/>
        </w:rPr>
      </w:pPr>
      <w:bookmarkStart w:id="166" w:name="_Toc9303"/>
      <w:bookmarkStart w:id="167" w:name="_Toc27814"/>
      <w:bookmarkStart w:id="168" w:name="_Toc9179"/>
      <w:bookmarkStart w:id="169" w:name="_Toc21814"/>
      <w:bookmarkStart w:id="170" w:name="_Toc354"/>
      <w:bookmarkStart w:id="171" w:name="_Toc24718"/>
      <w:bookmarkStart w:id="172" w:name="_Toc32548"/>
      <w:bookmarkStart w:id="173" w:name="_Toc10185"/>
      <w:bookmarkStart w:id="174" w:name="_Toc18934"/>
      <w:bookmarkStart w:id="175" w:name="_Toc19398"/>
      <w:bookmarkStart w:id="176" w:name="_Toc11484"/>
      <w:bookmarkStart w:id="177" w:name="_Toc15603"/>
      <w:bookmarkStart w:id="178" w:name="_Toc21225"/>
      <w:bookmarkStart w:id="179" w:name="_Toc20335"/>
      <w:r>
        <w:rPr>
          <w:rFonts w:hint="eastAsia" w:ascii="黑体" w:hAnsi="黑体" w:eastAsia="黑体" w:cs="黑体"/>
          <w:color w:val="auto"/>
          <w:sz w:val="36"/>
          <w:szCs w:val="36"/>
          <w:highlight w:val="none"/>
        </w:rPr>
        <w:t>二、法定代表人身份证明</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5A9F5C84">
      <w:pPr>
        <w:snapToGrid w:val="0"/>
        <w:spacing w:line="360" w:lineRule="auto"/>
        <w:ind w:firstLine="480" w:firstLineChars="200"/>
        <w:rPr>
          <w:rFonts w:ascii="宋体" w:hAnsi="宋体" w:cs="仿宋_GB2312"/>
          <w:color w:val="auto"/>
          <w:sz w:val="24"/>
          <w:highlight w:val="none"/>
        </w:rPr>
      </w:pPr>
    </w:p>
    <w:p w14:paraId="0F982FDA">
      <w:pPr>
        <w:pStyle w:val="34"/>
        <w:jc w:val="center"/>
        <w:rPr>
          <w:color w:val="auto"/>
          <w:highlight w:val="none"/>
        </w:rPr>
      </w:pPr>
      <w:r>
        <w:rPr>
          <w:rFonts w:hint="eastAsia" w:ascii="宋体" w:hAnsi="宋体"/>
          <w:b/>
          <w:color w:val="auto"/>
          <w:sz w:val="28"/>
          <w:szCs w:val="28"/>
          <w:highlight w:val="none"/>
        </w:rPr>
        <w:t>法定代表人身份证明</w:t>
      </w:r>
    </w:p>
    <w:p w14:paraId="7C818078">
      <w:pPr>
        <w:pStyle w:val="34"/>
        <w:rPr>
          <w:rFonts w:ascii="宋体" w:hAnsi="宋体" w:cs="仿宋_GB2312"/>
          <w:color w:val="auto"/>
          <w:highlight w:val="none"/>
        </w:rPr>
      </w:pPr>
    </w:p>
    <w:p w14:paraId="02C2EE68">
      <w:pPr>
        <w:pStyle w:val="10"/>
        <w:rPr>
          <w:color w:val="auto"/>
          <w:highlight w:val="none"/>
        </w:rPr>
      </w:pPr>
    </w:p>
    <w:p w14:paraId="30634F48">
      <w:pPr>
        <w:snapToGrid w:val="0"/>
        <w:spacing w:line="360" w:lineRule="auto"/>
        <w:ind w:firstLine="480" w:firstLineChars="200"/>
        <w:rPr>
          <w:rFonts w:ascii="宋体" w:hAnsi="宋体" w:cs="仿宋_GB2312"/>
          <w:color w:val="auto"/>
          <w:sz w:val="24"/>
          <w:highlight w:val="none"/>
          <w:u w:val="singl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3DE0C7BB">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姓名：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性别：</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职务：</w:t>
      </w:r>
      <w:r>
        <w:rPr>
          <w:rFonts w:hint="eastAsia" w:ascii="宋体" w:hAnsi="宋体" w:cs="仿宋_GB2312"/>
          <w:color w:val="auto"/>
          <w:sz w:val="24"/>
          <w:highlight w:val="none"/>
          <w:u w:val="single"/>
        </w:rPr>
        <w:t xml:space="preserve">         </w:t>
      </w:r>
    </w:p>
    <w:p w14:paraId="64153C95">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（供应商名称）的法定代表人。</w:t>
      </w:r>
    </w:p>
    <w:p w14:paraId="5BD07546">
      <w:pPr>
        <w:pStyle w:val="10"/>
        <w:ind w:firstLine="1200" w:firstLineChars="500"/>
        <w:rPr>
          <w:color w:val="auto"/>
          <w:highlight w:val="none"/>
        </w:rPr>
      </w:pPr>
      <w:r>
        <w:rPr>
          <w:rFonts w:hint="eastAsia" w:ascii="宋体" w:hAnsi="宋体" w:cs="仿宋_GB2312"/>
          <w:color w:val="auto"/>
          <w:sz w:val="24"/>
          <w:highlight w:val="none"/>
        </w:rPr>
        <w:t>特此证明。</w:t>
      </w:r>
    </w:p>
    <w:p w14:paraId="0B539523">
      <w:pPr>
        <w:snapToGrid w:val="0"/>
        <w:spacing w:line="360" w:lineRule="auto"/>
        <w:ind w:firstLine="480" w:firstLineChars="200"/>
        <w:rPr>
          <w:rFonts w:ascii="宋体" w:hAnsi="宋体" w:cs="仿宋_GB2312"/>
          <w:color w:val="auto"/>
          <w:sz w:val="24"/>
          <w:highlight w:val="none"/>
        </w:rPr>
      </w:pPr>
    </w:p>
    <w:p w14:paraId="59DF698C">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附：法定代表人身份证复印件</w:t>
      </w:r>
    </w:p>
    <w:p w14:paraId="58777729">
      <w:pPr>
        <w:pStyle w:val="10"/>
        <w:rPr>
          <w:color w:val="auto"/>
          <w:highlight w:val="none"/>
        </w:rPr>
      </w:pPr>
    </w:p>
    <w:p w14:paraId="4BD3BDBC">
      <w:pPr>
        <w:pStyle w:val="10"/>
        <w:rPr>
          <w:color w:val="auto"/>
          <w:highlight w:val="none"/>
        </w:rPr>
      </w:pPr>
    </w:p>
    <w:p w14:paraId="2BBDDE12">
      <w:pPr>
        <w:pStyle w:val="10"/>
        <w:rPr>
          <w:color w:val="auto"/>
          <w:highlight w:val="none"/>
        </w:rPr>
      </w:pPr>
    </w:p>
    <w:p w14:paraId="37622EC1">
      <w:pPr>
        <w:pStyle w:val="5"/>
        <w:overflowPunct w:val="0"/>
        <w:spacing w:line="520" w:lineRule="exact"/>
        <w:ind w:firstLine="0"/>
        <w:jc w:val="center"/>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14:paraId="2C5C0C71">
      <w:pPr>
        <w:pStyle w:val="5"/>
        <w:overflowPunct w:val="0"/>
        <w:spacing w:line="520" w:lineRule="exact"/>
        <w:ind w:firstLine="4800" w:firstLineChars="2000"/>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22E908A5">
      <w:pPr>
        <w:pStyle w:val="10"/>
        <w:rPr>
          <w:color w:val="auto"/>
          <w:highlight w:val="none"/>
        </w:rPr>
      </w:pPr>
    </w:p>
    <w:p w14:paraId="46B9BE28">
      <w:pPr>
        <w:rPr>
          <w:color w:val="auto"/>
          <w:highlight w:val="none"/>
        </w:rPr>
      </w:pPr>
      <w:r>
        <w:rPr>
          <w:color w:val="auto"/>
          <w:highlight w:val="none"/>
        </w:rPr>
        <w:br w:type="page"/>
      </w:r>
    </w:p>
    <w:p w14:paraId="2D1D5536">
      <w:pPr>
        <w:snapToGrid w:val="0"/>
        <w:spacing w:line="360" w:lineRule="auto"/>
        <w:jc w:val="center"/>
        <w:outlineLvl w:val="1"/>
        <w:rPr>
          <w:rFonts w:ascii="黑体" w:hAnsi="黑体" w:eastAsia="黑体" w:cs="黑体"/>
          <w:color w:val="auto"/>
          <w:sz w:val="36"/>
          <w:szCs w:val="36"/>
          <w:highlight w:val="none"/>
        </w:rPr>
      </w:pPr>
      <w:bookmarkStart w:id="180" w:name="_Toc23930"/>
      <w:bookmarkStart w:id="181" w:name="_Toc3398"/>
      <w:bookmarkStart w:id="182" w:name="_Toc31451"/>
      <w:bookmarkStart w:id="183" w:name="_Toc12118"/>
      <w:bookmarkStart w:id="184" w:name="_Toc29113"/>
      <w:bookmarkStart w:id="185" w:name="_Toc20885"/>
      <w:bookmarkStart w:id="186" w:name="_Toc12372"/>
      <w:bookmarkStart w:id="187" w:name="_Toc21187"/>
      <w:bookmarkStart w:id="188" w:name="_Toc9459"/>
      <w:bookmarkStart w:id="189" w:name="_Toc6859"/>
      <w:bookmarkStart w:id="190" w:name="_Toc6776"/>
      <w:bookmarkStart w:id="191" w:name="_Toc16593"/>
      <w:bookmarkStart w:id="192" w:name="_Toc10444"/>
      <w:bookmarkStart w:id="193" w:name="_Toc12470"/>
      <w:r>
        <w:rPr>
          <w:rFonts w:hint="eastAsia" w:ascii="黑体" w:hAnsi="黑体" w:eastAsia="黑体" w:cs="黑体"/>
          <w:color w:val="auto"/>
          <w:sz w:val="36"/>
          <w:szCs w:val="36"/>
          <w:highlight w:val="none"/>
        </w:rPr>
        <w:t>二、授权委托书</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39112A56">
      <w:pPr>
        <w:snapToGrid w:val="0"/>
        <w:spacing w:line="360" w:lineRule="auto"/>
        <w:ind w:firstLine="480" w:firstLineChars="200"/>
        <w:rPr>
          <w:rFonts w:ascii="宋体" w:hAnsi="宋体" w:cs="仿宋_GB2312"/>
          <w:color w:val="auto"/>
          <w:sz w:val="24"/>
          <w:highlight w:val="none"/>
        </w:rPr>
      </w:pPr>
    </w:p>
    <w:p w14:paraId="44E3268E">
      <w:pPr>
        <w:pStyle w:val="34"/>
        <w:jc w:val="center"/>
        <w:rPr>
          <w:rFonts w:ascii="宋体" w:hAnsi="宋体" w:cs="仿宋_GB2312"/>
          <w:color w:val="auto"/>
          <w:highlight w:val="none"/>
        </w:rPr>
      </w:pPr>
      <w:r>
        <w:rPr>
          <w:rFonts w:hint="eastAsia" w:ascii="宋体" w:hAnsi="宋体"/>
          <w:b/>
          <w:color w:val="auto"/>
          <w:sz w:val="28"/>
          <w:szCs w:val="28"/>
          <w:highlight w:val="none"/>
        </w:rPr>
        <w:t>授权委托书</w:t>
      </w:r>
    </w:p>
    <w:p w14:paraId="0614598F">
      <w:pPr>
        <w:pStyle w:val="10"/>
        <w:rPr>
          <w:color w:val="auto"/>
          <w:highlight w:val="none"/>
        </w:rPr>
      </w:pPr>
    </w:p>
    <w:p w14:paraId="1EA0AFCF">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本人</w:t>
      </w:r>
      <w:r>
        <w:rPr>
          <w:rFonts w:hint="eastAsia" w:ascii="宋体" w:hAnsi="宋体"/>
          <w:color w:val="auto"/>
          <w:sz w:val="24"/>
          <w:highlight w:val="none"/>
          <w:u w:val="single"/>
        </w:rPr>
        <w:t xml:space="preserve">           </w:t>
      </w:r>
      <w:r>
        <w:rPr>
          <w:rFonts w:ascii="宋体" w:hAnsi="宋体"/>
          <w:color w:val="auto"/>
          <w:sz w:val="24"/>
          <w:highlight w:val="none"/>
        </w:rPr>
        <w:t>(姓名)系</w:t>
      </w:r>
      <w:r>
        <w:rPr>
          <w:rFonts w:hint="eastAsia"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供应商</w:t>
      </w:r>
      <w:r>
        <w:rPr>
          <w:rFonts w:ascii="宋体" w:hAnsi="宋体"/>
          <w:color w:val="auto"/>
          <w:sz w:val="24"/>
          <w:highlight w:val="none"/>
        </w:rPr>
        <w:t>名称)的法定代表人，</w:t>
      </w:r>
      <w:r>
        <w:rPr>
          <w:rFonts w:hint="eastAsia" w:ascii="宋体" w:hAnsi="宋体"/>
          <w:color w:val="auto"/>
          <w:sz w:val="24"/>
          <w:highlight w:val="none"/>
        </w:rPr>
        <w:t>现委托</w:t>
      </w:r>
      <w:r>
        <w:rPr>
          <w:rFonts w:hint="eastAsia" w:ascii="宋体" w:hAnsi="宋体"/>
          <w:color w:val="auto"/>
          <w:sz w:val="24"/>
          <w:highlight w:val="none"/>
          <w:u w:val="single"/>
        </w:rPr>
        <w:t xml:space="preserve">     </w:t>
      </w:r>
      <w:r>
        <w:rPr>
          <w:rFonts w:ascii="宋体" w:hAnsi="宋体"/>
          <w:color w:val="auto"/>
          <w:sz w:val="24"/>
          <w:highlight w:val="none"/>
        </w:rPr>
        <w:t xml:space="preserve"> (姓名)</w:t>
      </w:r>
      <w:r>
        <w:rPr>
          <w:rFonts w:hint="eastAsia" w:ascii="宋体" w:hAnsi="宋体"/>
          <w:color w:val="auto"/>
          <w:sz w:val="24"/>
          <w:highlight w:val="none"/>
        </w:rPr>
        <w:t>为我方代理人。代理人根据授权，以我方名义签署、澄清确认、递交、撤回、修改</w:t>
      </w:r>
      <w:r>
        <w:rPr>
          <w:rFonts w:hint="eastAsia" w:ascii="宋体" w:hAnsi="宋体"/>
          <w:color w:val="auto"/>
          <w:sz w:val="24"/>
          <w:highlight w:val="none"/>
          <w:u w:val="single"/>
        </w:rPr>
        <w:t>钦州港20万吨级进港航道一期工程秋季海洋生态和水文动力环境现状调查与评价服务（项目名称）</w:t>
      </w:r>
      <w:r>
        <w:rPr>
          <w:rFonts w:hint="eastAsia" w:ascii="宋体" w:hAnsi="宋体"/>
          <w:color w:val="auto"/>
          <w:sz w:val="24"/>
          <w:highlight w:val="none"/>
        </w:rPr>
        <w:t>响应文件和处理有关事宜，其法律后果由我方承担。</w:t>
      </w:r>
    </w:p>
    <w:p w14:paraId="4CA59201">
      <w:pPr>
        <w:spacing w:line="400" w:lineRule="exact"/>
        <w:ind w:firstLine="480"/>
        <w:rPr>
          <w:rFonts w:ascii="宋体" w:hAnsi="宋体"/>
          <w:color w:val="auto"/>
          <w:sz w:val="24"/>
          <w:highlight w:val="none"/>
        </w:rPr>
      </w:pPr>
      <w:r>
        <w:rPr>
          <w:rFonts w:hint="eastAsia" w:ascii="宋体" w:hAnsi="宋体"/>
          <w:color w:val="auto"/>
          <w:sz w:val="24"/>
          <w:highlight w:val="none"/>
        </w:rPr>
        <w:t>委托</w:t>
      </w:r>
      <w:r>
        <w:rPr>
          <w:rFonts w:ascii="宋体" w:hAnsi="宋体"/>
          <w:color w:val="auto"/>
          <w:sz w:val="24"/>
          <w:highlight w:val="none"/>
        </w:rPr>
        <w:t>期限</w:t>
      </w:r>
      <w:r>
        <w:rPr>
          <w:rFonts w:hint="eastAsia" w:ascii="宋体" w:hAnsi="宋体"/>
          <w:color w:val="auto"/>
          <w:sz w:val="24"/>
          <w:highlight w:val="none"/>
        </w:rPr>
        <w:t>：</w:t>
      </w:r>
      <w:r>
        <w:rPr>
          <w:rFonts w:ascii="宋体" w:hAnsi="宋体"/>
          <w:color w:val="auto"/>
          <w:sz w:val="24"/>
          <w:highlight w:val="none"/>
        </w:rPr>
        <w:t>自</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日起至</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日止。</w:t>
      </w:r>
    </w:p>
    <w:p w14:paraId="1E991BBE">
      <w:pPr>
        <w:spacing w:line="400" w:lineRule="exact"/>
        <w:ind w:firstLine="480"/>
        <w:rPr>
          <w:rFonts w:ascii="宋体" w:hAnsi="宋体"/>
          <w:color w:val="auto"/>
          <w:sz w:val="24"/>
          <w:highlight w:val="none"/>
        </w:rPr>
      </w:pPr>
      <w:r>
        <w:rPr>
          <w:rFonts w:hint="eastAsia" w:ascii="宋体" w:hAnsi="宋体"/>
          <w:color w:val="auto"/>
          <w:sz w:val="24"/>
          <w:highlight w:val="none"/>
        </w:rPr>
        <w:t>代理人无转委托权。</w:t>
      </w:r>
    </w:p>
    <w:p w14:paraId="4AE7422B">
      <w:pPr>
        <w:spacing w:line="400" w:lineRule="exact"/>
        <w:rPr>
          <w:rFonts w:ascii="宋体" w:hAnsi="宋体"/>
          <w:color w:val="auto"/>
          <w:sz w:val="24"/>
          <w:highlight w:val="none"/>
        </w:rPr>
      </w:pPr>
    </w:p>
    <w:p w14:paraId="1454E02C">
      <w:pPr>
        <w:spacing w:line="400" w:lineRule="exact"/>
        <w:ind w:firstLine="600" w:firstLineChars="250"/>
        <w:rPr>
          <w:rFonts w:ascii="宋体" w:hAnsi="宋体"/>
          <w:color w:val="auto"/>
          <w:sz w:val="24"/>
          <w:highlight w:val="none"/>
        </w:rPr>
      </w:pPr>
      <w:r>
        <w:rPr>
          <w:rFonts w:hint="eastAsia" w:ascii="宋体" w:hAnsi="宋体"/>
          <w:color w:val="auto"/>
          <w:sz w:val="24"/>
          <w:highlight w:val="none"/>
        </w:rPr>
        <w:t>附：</w:t>
      </w:r>
      <w:r>
        <w:rPr>
          <w:rFonts w:hint="eastAsia" w:ascii="宋体" w:hAnsi="宋体" w:cs="仿宋_GB2312"/>
          <w:color w:val="auto"/>
          <w:sz w:val="24"/>
          <w:highlight w:val="none"/>
        </w:rPr>
        <w:t>法定代表人身份证复印件及</w:t>
      </w:r>
      <w:r>
        <w:rPr>
          <w:rFonts w:hint="eastAsia" w:ascii="宋体" w:hAnsi="宋体"/>
          <w:snapToGrid w:val="0"/>
          <w:color w:val="auto"/>
          <w:kern w:val="0"/>
          <w:sz w:val="24"/>
          <w:highlight w:val="none"/>
        </w:rPr>
        <w:t>委托代理人身份证复印件</w:t>
      </w:r>
    </w:p>
    <w:p w14:paraId="4C0C0F2A">
      <w:pPr>
        <w:spacing w:line="400" w:lineRule="exact"/>
        <w:ind w:firstLine="480"/>
        <w:rPr>
          <w:rFonts w:ascii="宋体" w:hAnsi="宋体"/>
          <w:color w:val="auto"/>
          <w:sz w:val="24"/>
          <w:highlight w:val="none"/>
        </w:rPr>
      </w:pPr>
    </w:p>
    <w:p w14:paraId="2442AB76">
      <w:pPr>
        <w:spacing w:line="400" w:lineRule="exact"/>
        <w:rPr>
          <w:rFonts w:ascii="宋体" w:hAnsi="宋体"/>
          <w:color w:val="auto"/>
          <w:sz w:val="24"/>
          <w:highlight w:val="none"/>
        </w:rPr>
      </w:pPr>
    </w:p>
    <w:p w14:paraId="3557799A">
      <w:pPr>
        <w:pStyle w:val="34"/>
        <w:rPr>
          <w:color w:val="auto"/>
          <w:highlight w:val="none"/>
        </w:rPr>
      </w:pPr>
    </w:p>
    <w:p w14:paraId="4596C845">
      <w:pPr>
        <w:spacing w:line="400" w:lineRule="exact"/>
        <w:rPr>
          <w:rFonts w:ascii="宋体" w:hAnsi="宋体"/>
          <w:color w:val="auto"/>
          <w:sz w:val="24"/>
          <w:highlight w:val="none"/>
        </w:rPr>
      </w:pPr>
    </w:p>
    <w:p w14:paraId="4618D973">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供应商：</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color w:val="auto"/>
          <w:sz w:val="24"/>
          <w:highlight w:val="none"/>
        </w:rPr>
        <w:t>盖单位公章</w:t>
      </w:r>
      <w:r>
        <w:rPr>
          <w:rFonts w:hint="eastAsia" w:ascii="宋体" w:hAnsi="宋体"/>
          <w:color w:val="auto"/>
          <w:sz w:val="24"/>
          <w:highlight w:val="none"/>
        </w:rPr>
        <w:t>）</w:t>
      </w:r>
    </w:p>
    <w:p w14:paraId="28A66C90">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法定代表人：</w:t>
      </w: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p w14:paraId="3A9DDB5F">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163A1638">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委托代理人：</w:t>
      </w:r>
      <w:r>
        <w:rPr>
          <w:rFonts w:hint="eastAsia" w:ascii="宋体" w:hAnsi="宋体"/>
          <w:color w:val="auto"/>
          <w:sz w:val="24"/>
          <w:highlight w:val="none"/>
          <w:u w:val="single"/>
        </w:rPr>
        <w:t xml:space="preserve">                       </w:t>
      </w:r>
      <w:r>
        <w:rPr>
          <w:rFonts w:hint="eastAsia" w:ascii="宋体" w:hAnsi="宋体"/>
          <w:color w:val="auto"/>
          <w:sz w:val="24"/>
          <w:highlight w:val="none"/>
        </w:rPr>
        <w:t>（签字）</w:t>
      </w:r>
    </w:p>
    <w:p w14:paraId="62973767">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5F70659E">
      <w:pPr>
        <w:spacing w:line="720" w:lineRule="auto"/>
        <w:ind w:firstLine="5040" w:firstLineChars="2100"/>
        <w:rPr>
          <w:rFonts w:ascii="宋体" w:hAnsi="宋体"/>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93BE9C2">
      <w:pPr>
        <w:pStyle w:val="10"/>
        <w:tabs>
          <w:tab w:val="left" w:leader="dot" w:pos="480"/>
        </w:tabs>
        <w:rPr>
          <w:bCs/>
          <w:color w:val="auto"/>
          <w:highlight w:val="none"/>
        </w:rPr>
      </w:pPr>
    </w:p>
    <w:p w14:paraId="7FFD7DBB">
      <w:pPr>
        <w:rPr>
          <w:bCs/>
          <w:color w:val="auto"/>
          <w:highlight w:val="none"/>
        </w:rPr>
      </w:pPr>
      <w:r>
        <w:rPr>
          <w:bCs/>
          <w:color w:val="auto"/>
          <w:highlight w:val="none"/>
        </w:rPr>
        <w:br w:type="page"/>
      </w:r>
    </w:p>
    <w:p w14:paraId="230C0DA4">
      <w:pPr>
        <w:snapToGrid w:val="0"/>
        <w:spacing w:line="360" w:lineRule="auto"/>
        <w:jc w:val="center"/>
        <w:outlineLvl w:val="1"/>
        <w:rPr>
          <w:rFonts w:ascii="宋体" w:hAnsi="宋体" w:cs="黑体"/>
          <w:color w:val="auto"/>
          <w:sz w:val="36"/>
          <w:szCs w:val="36"/>
        </w:rPr>
      </w:pPr>
      <w:bookmarkStart w:id="194" w:name="_Toc18417"/>
      <w:bookmarkStart w:id="195" w:name="_Toc5958"/>
      <w:bookmarkStart w:id="196" w:name="_Toc24577"/>
      <w:bookmarkStart w:id="197" w:name="_Toc6981"/>
      <w:bookmarkStart w:id="198" w:name="_Toc27609"/>
      <w:bookmarkStart w:id="199" w:name="_Toc601"/>
      <w:bookmarkStart w:id="200" w:name="_Toc705"/>
      <w:bookmarkStart w:id="201" w:name="_Toc23582"/>
      <w:r>
        <w:rPr>
          <w:rFonts w:hint="eastAsia" w:ascii="黑体" w:hAnsi="黑体" w:eastAsia="黑体" w:cs="黑体"/>
          <w:color w:val="auto"/>
          <w:sz w:val="36"/>
          <w:szCs w:val="36"/>
        </w:rPr>
        <w:t>三、</w:t>
      </w:r>
      <w:r>
        <w:rPr>
          <w:rFonts w:ascii="黑体" w:hAnsi="黑体" w:eastAsia="黑体" w:cs="黑体"/>
          <w:color w:val="auto"/>
          <w:sz w:val="36"/>
          <w:szCs w:val="36"/>
        </w:rPr>
        <w:t>联合体协议书</w:t>
      </w:r>
      <w:r>
        <w:rPr>
          <w:rFonts w:hint="eastAsia" w:ascii="黑体" w:hAnsi="黑体" w:eastAsia="黑体" w:cs="黑体"/>
          <w:color w:val="auto"/>
          <w:sz w:val="36"/>
          <w:szCs w:val="36"/>
        </w:rPr>
        <w:t>（</w:t>
      </w:r>
      <w:r>
        <w:rPr>
          <w:rFonts w:hint="eastAsia" w:ascii="黑体" w:hAnsi="黑体" w:eastAsia="黑体" w:cs="黑体"/>
          <w:color w:val="auto"/>
          <w:sz w:val="36"/>
          <w:szCs w:val="36"/>
          <w:lang w:eastAsia="zh-CN"/>
        </w:rPr>
        <w:t>如有</w:t>
      </w:r>
      <w:r>
        <w:rPr>
          <w:rFonts w:hint="eastAsia" w:ascii="黑体" w:hAnsi="黑体" w:eastAsia="黑体" w:cs="黑体"/>
          <w:color w:val="auto"/>
          <w:sz w:val="36"/>
          <w:szCs w:val="36"/>
        </w:rPr>
        <w:t>）</w:t>
      </w:r>
      <w:bookmarkEnd w:id="194"/>
      <w:bookmarkEnd w:id="195"/>
      <w:bookmarkEnd w:id="196"/>
      <w:bookmarkEnd w:id="197"/>
      <w:bookmarkEnd w:id="198"/>
      <w:bookmarkEnd w:id="199"/>
      <w:bookmarkEnd w:id="200"/>
      <w:bookmarkEnd w:id="201"/>
    </w:p>
    <w:p w14:paraId="6419D2CD">
      <w:pPr>
        <w:pStyle w:val="34"/>
        <w:jc w:val="center"/>
        <w:rPr>
          <w:rFonts w:ascii="宋体" w:hAnsi="宋体"/>
          <w:b/>
          <w:sz w:val="28"/>
          <w:szCs w:val="28"/>
        </w:rPr>
      </w:pPr>
      <w:r>
        <w:rPr>
          <w:rFonts w:hint="eastAsia" w:ascii="宋体" w:hAnsi="宋体"/>
          <w:b/>
          <w:sz w:val="28"/>
          <w:szCs w:val="28"/>
        </w:rPr>
        <w:t>联合体协议书</w:t>
      </w:r>
      <w:r>
        <w:rPr>
          <w:rFonts w:ascii="宋体" w:hAnsi="宋体"/>
          <w:b/>
          <w:sz w:val="28"/>
          <w:szCs w:val="28"/>
        </w:rPr>
        <w:t xml:space="preserve"> </w:t>
      </w:r>
    </w:p>
    <w:p w14:paraId="1D28735A">
      <w:pPr>
        <w:pStyle w:val="10"/>
        <w:rPr>
          <w:rFonts w:hint="eastAsia"/>
        </w:rPr>
      </w:pPr>
    </w:p>
    <w:p w14:paraId="74F92C21">
      <w:pPr>
        <w:overflowPunct w:val="0"/>
        <w:spacing w:line="360" w:lineRule="auto"/>
        <w:ind w:firstLine="480" w:firstLineChars="200"/>
        <w:contextualSpacing/>
        <w:rPr>
          <w:rFonts w:ascii="宋体" w:hAnsi="宋体"/>
          <w:sz w:val="24"/>
        </w:rPr>
      </w:pPr>
      <w:r>
        <w:rPr>
          <w:rFonts w:ascii="宋体" w:hAnsi="宋体"/>
          <w:sz w:val="24"/>
          <w:u w:val="single"/>
        </w:rPr>
        <w:t xml:space="preserve">      </w:t>
      </w:r>
      <w:r>
        <w:rPr>
          <w:rFonts w:ascii="宋体" w:hAnsi="宋体"/>
          <w:sz w:val="24"/>
        </w:rPr>
        <w:t>（所有成员单位名称）自愿组成</w:t>
      </w:r>
      <w:r>
        <w:rPr>
          <w:rFonts w:ascii="宋体" w:hAnsi="宋体"/>
          <w:sz w:val="24"/>
          <w:u w:val="single"/>
        </w:rPr>
        <w:t xml:space="preserve">      </w:t>
      </w:r>
      <w:r>
        <w:rPr>
          <w:rFonts w:ascii="宋体" w:hAnsi="宋体"/>
          <w:sz w:val="24"/>
        </w:rPr>
        <w:t>（联合体名称）联合体，共同参加</w:t>
      </w:r>
      <w:r>
        <w:rPr>
          <w:rFonts w:ascii="宋体" w:hAnsi="宋体"/>
          <w:sz w:val="24"/>
          <w:u w:val="single"/>
        </w:rPr>
        <w:t xml:space="preserve">      </w:t>
      </w:r>
      <w:r>
        <w:rPr>
          <w:rFonts w:ascii="宋体" w:hAnsi="宋体"/>
          <w:sz w:val="24"/>
        </w:rPr>
        <w:t>（项目名称）采购项目</w:t>
      </w:r>
      <w:r>
        <w:rPr>
          <w:rFonts w:hint="eastAsia" w:ascii="宋体" w:hAnsi="宋体"/>
          <w:sz w:val="24"/>
        </w:rPr>
        <w:t>投标</w:t>
      </w:r>
      <w:r>
        <w:rPr>
          <w:rFonts w:ascii="宋体" w:hAnsi="宋体"/>
          <w:sz w:val="24"/>
        </w:rPr>
        <w:t>。现就联合体参与</w:t>
      </w:r>
      <w:r>
        <w:rPr>
          <w:rFonts w:hint="eastAsia" w:ascii="宋体" w:hAnsi="宋体"/>
          <w:sz w:val="24"/>
        </w:rPr>
        <w:t>投标</w:t>
      </w:r>
      <w:r>
        <w:rPr>
          <w:rFonts w:ascii="宋体" w:hAnsi="宋体"/>
          <w:sz w:val="24"/>
        </w:rPr>
        <w:t>事宜订立如下协议。</w:t>
      </w:r>
    </w:p>
    <w:p w14:paraId="67DBF6F2">
      <w:pPr>
        <w:overflowPunct w:val="0"/>
        <w:spacing w:line="360" w:lineRule="auto"/>
        <w:ind w:firstLine="480" w:firstLineChars="200"/>
        <w:contextualSpacing/>
        <w:rPr>
          <w:rFonts w:ascii="宋体" w:hAnsi="宋体"/>
          <w:sz w:val="24"/>
        </w:rPr>
      </w:pPr>
      <w:r>
        <w:rPr>
          <w:rFonts w:ascii="宋体" w:hAnsi="宋体"/>
          <w:sz w:val="24"/>
        </w:rPr>
        <w:t>1.</w:t>
      </w:r>
      <w:r>
        <w:rPr>
          <w:rFonts w:ascii="宋体" w:hAnsi="宋体"/>
          <w:sz w:val="24"/>
          <w:u w:val="single"/>
        </w:rPr>
        <w:t xml:space="preserve"> </w:t>
      </w:r>
      <w:r>
        <w:rPr>
          <w:rFonts w:ascii="宋体" w:hAnsi="宋体"/>
          <w:sz w:val="24"/>
          <w:u w:val="single"/>
        </w:rPr>
        <w:tab/>
      </w:r>
      <w:r>
        <w:rPr>
          <w:rFonts w:ascii="宋体" w:hAnsi="宋体"/>
          <w:sz w:val="24"/>
          <w:u w:val="single"/>
        </w:rPr>
        <w:t xml:space="preserve">   </w:t>
      </w:r>
      <w:r>
        <w:rPr>
          <w:rFonts w:ascii="宋体" w:hAnsi="宋体"/>
          <w:sz w:val="24"/>
        </w:rPr>
        <w:t>（某成员单位名称）为</w:t>
      </w:r>
      <w:r>
        <w:rPr>
          <w:rFonts w:ascii="宋体" w:hAnsi="宋体"/>
          <w:sz w:val="24"/>
          <w:u w:val="single"/>
        </w:rPr>
        <w:t xml:space="preserve">     </w:t>
      </w:r>
      <w:r>
        <w:rPr>
          <w:rFonts w:ascii="宋体" w:hAnsi="宋体"/>
          <w:sz w:val="24"/>
        </w:rPr>
        <w:t>（联合体名称）牵头人。</w:t>
      </w:r>
    </w:p>
    <w:p w14:paraId="682E9AC7">
      <w:pPr>
        <w:overflowPunct w:val="0"/>
        <w:spacing w:line="360" w:lineRule="auto"/>
        <w:ind w:firstLine="480" w:firstLineChars="200"/>
        <w:contextualSpacing/>
        <w:rPr>
          <w:rFonts w:ascii="宋体" w:hAnsi="宋体"/>
          <w:sz w:val="24"/>
        </w:rPr>
      </w:pPr>
      <w:r>
        <w:rPr>
          <w:rFonts w:ascii="宋体" w:hAnsi="宋体"/>
          <w:sz w:val="24"/>
        </w:rPr>
        <w:t>2.联合体各成员授权牵头人代表联合体参加</w:t>
      </w:r>
      <w:r>
        <w:rPr>
          <w:rFonts w:hint="eastAsia" w:ascii="宋体" w:hAnsi="宋体"/>
          <w:sz w:val="24"/>
        </w:rPr>
        <w:t>投标</w:t>
      </w:r>
      <w:r>
        <w:rPr>
          <w:rFonts w:ascii="宋体" w:hAnsi="宋体"/>
          <w:sz w:val="24"/>
        </w:rPr>
        <w:t>活动，签署文件及对文件的盖章，提交和接收相关的资料、信息及指示，进行合同磋商活动，负责合同实施阶段的组织和协调工作，以及处理与本</w:t>
      </w:r>
      <w:r>
        <w:rPr>
          <w:rFonts w:hint="eastAsia" w:ascii="宋体" w:hAnsi="宋体"/>
          <w:sz w:val="24"/>
        </w:rPr>
        <w:t>采购</w:t>
      </w:r>
      <w:r>
        <w:rPr>
          <w:rFonts w:ascii="宋体" w:hAnsi="宋体"/>
          <w:sz w:val="24"/>
        </w:rPr>
        <w:t>项目有关的一切事宜。</w:t>
      </w:r>
    </w:p>
    <w:p w14:paraId="464DDFC3">
      <w:pPr>
        <w:overflowPunct w:val="0"/>
        <w:spacing w:line="360" w:lineRule="auto"/>
        <w:ind w:firstLine="480" w:firstLineChars="200"/>
        <w:contextualSpacing/>
        <w:rPr>
          <w:rFonts w:ascii="宋体" w:hAnsi="宋体"/>
          <w:sz w:val="24"/>
        </w:rPr>
      </w:pPr>
      <w:r>
        <w:rPr>
          <w:rFonts w:ascii="宋体" w:hAnsi="宋体"/>
          <w:sz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7EFD004F">
      <w:pPr>
        <w:overflowPunct w:val="0"/>
        <w:spacing w:line="360" w:lineRule="auto"/>
        <w:ind w:firstLine="480" w:firstLineChars="200"/>
        <w:contextualSpacing/>
        <w:rPr>
          <w:rFonts w:ascii="宋体" w:hAnsi="宋体"/>
          <w:sz w:val="24"/>
        </w:rPr>
      </w:pPr>
      <w:r>
        <w:rPr>
          <w:rFonts w:ascii="宋体" w:hAnsi="宋体"/>
          <w:sz w:val="24"/>
        </w:rPr>
        <w:t>4.联合体各成员单位内部的职责分工如下：</w:t>
      </w:r>
      <w:r>
        <w:rPr>
          <w:rFonts w:ascii="宋体" w:hAnsi="宋体"/>
          <w:sz w:val="24"/>
          <w:u w:val="single"/>
        </w:rPr>
        <w:t xml:space="preserve">       </w:t>
      </w:r>
      <w:r>
        <w:rPr>
          <w:rFonts w:ascii="宋体" w:hAnsi="宋体"/>
          <w:sz w:val="24"/>
        </w:rPr>
        <w:t>。</w:t>
      </w:r>
    </w:p>
    <w:p w14:paraId="4EBE00D3">
      <w:pPr>
        <w:overflowPunct w:val="0"/>
        <w:spacing w:line="360" w:lineRule="auto"/>
        <w:ind w:firstLine="480" w:firstLineChars="200"/>
        <w:contextualSpacing/>
        <w:rPr>
          <w:rFonts w:ascii="宋体" w:hAnsi="宋体"/>
          <w:sz w:val="24"/>
        </w:rPr>
      </w:pPr>
      <w:r>
        <w:rPr>
          <w:rFonts w:ascii="宋体" w:hAnsi="宋体"/>
          <w:sz w:val="24"/>
        </w:rPr>
        <w:t>5.本</w:t>
      </w:r>
      <w:r>
        <w:rPr>
          <w:rFonts w:ascii="宋体" w:hAnsi="宋体"/>
          <w:spacing w:val="-6"/>
          <w:sz w:val="24"/>
        </w:rPr>
        <w:t>协议书自所有成员单位法定代表人（单位负责人）或者其委托代理人签字或者盖单位章之日起生效，合同履行完毕后自动失效。</w:t>
      </w:r>
    </w:p>
    <w:p w14:paraId="2FA25280">
      <w:pPr>
        <w:overflowPunct w:val="0"/>
        <w:spacing w:line="360" w:lineRule="auto"/>
        <w:ind w:firstLine="480" w:firstLineChars="200"/>
        <w:contextualSpacing/>
        <w:rPr>
          <w:rFonts w:ascii="宋体" w:hAnsi="宋体"/>
          <w:sz w:val="24"/>
        </w:rPr>
      </w:pPr>
      <w:r>
        <w:rPr>
          <w:rFonts w:ascii="宋体" w:hAnsi="宋体"/>
          <w:sz w:val="24"/>
        </w:rPr>
        <w:t>6.本协议书一式</w:t>
      </w:r>
      <w:r>
        <w:rPr>
          <w:rFonts w:ascii="宋体" w:hAnsi="宋体"/>
          <w:sz w:val="24"/>
          <w:u w:val="single"/>
        </w:rPr>
        <w:t xml:space="preserve"> </w:t>
      </w:r>
      <w:r>
        <w:rPr>
          <w:rFonts w:ascii="宋体" w:hAnsi="宋体"/>
          <w:sz w:val="24"/>
          <w:u w:val="single"/>
        </w:rPr>
        <w:tab/>
      </w:r>
      <w:r>
        <w:rPr>
          <w:rFonts w:ascii="宋体" w:hAnsi="宋体"/>
          <w:sz w:val="24"/>
        </w:rPr>
        <w:t>份，联合体成员和采购人各执壹份。</w:t>
      </w:r>
    </w:p>
    <w:p w14:paraId="52573AD3">
      <w:pPr>
        <w:overflowPunct w:val="0"/>
        <w:spacing w:line="360" w:lineRule="auto"/>
        <w:ind w:firstLine="420" w:firstLineChars="175"/>
        <w:contextualSpacing/>
        <w:rPr>
          <w:rFonts w:ascii="宋体" w:hAnsi="宋体"/>
          <w:sz w:val="24"/>
        </w:rPr>
      </w:pPr>
    </w:p>
    <w:p w14:paraId="6BD63E71">
      <w:pPr>
        <w:overflowPunct w:val="0"/>
        <w:spacing w:line="360" w:lineRule="auto"/>
        <w:ind w:firstLine="420" w:firstLineChars="175"/>
        <w:contextualSpacing/>
        <w:rPr>
          <w:rFonts w:ascii="宋体" w:hAnsi="宋体"/>
          <w:sz w:val="24"/>
          <w:u w:val="single"/>
        </w:rPr>
      </w:pPr>
      <w:r>
        <w:rPr>
          <w:rFonts w:ascii="宋体" w:hAnsi="宋体"/>
          <w:sz w:val="24"/>
        </w:rPr>
        <w:t>联合体牵头人名称（盖公章）：</w:t>
      </w:r>
      <w:r>
        <w:rPr>
          <w:rFonts w:ascii="宋体" w:hAnsi="宋体"/>
          <w:sz w:val="24"/>
          <w:u w:val="single"/>
        </w:rPr>
        <w:t xml:space="preserve">               </w:t>
      </w:r>
    </w:p>
    <w:p w14:paraId="65CBE9FE">
      <w:pPr>
        <w:overflowPunct w:val="0"/>
        <w:spacing w:line="360" w:lineRule="auto"/>
        <w:ind w:firstLine="420" w:firstLineChars="175"/>
        <w:contextualSpacing/>
        <w:rPr>
          <w:rFonts w:ascii="宋体" w:hAnsi="宋体"/>
          <w:sz w:val="24"/>
          <w:u w:val="single"/>
        </w:rPr>
      </w:pPr>
      <w:r>
        <w:rPr>
          <w:rFonts w:ascii="宋体" w:hAnsi="宋体"/>
          <w:sz w:val="24"/>
        </w:rPr>
        <w:t>法定代表人（单位负责人）或者其委托代理人（签字</w:t>
      </w:r>
      <w:r>
        <w:rPr>
          <w:rFonts w:hint="eastAsia" w:ascii="宋体" w:hAnsi="宋体"/>
          <w:sz w:val="24"/>
        </w:rPr>
        <w:t>或盖章</w:t>
      </w:r>
      <w:r>
        <w:rPr>
          <w:rFonts w:ascii="宋体" w:hAnsi="宋体"/>
          <w:sz w:val="24"/>
        </w:rPr>
        <w:t>）：</w:t>
      </w:r>
      <w:r>
        <w:rPr>
          <w:rFonts w:ascii="宋体" w:hAnsi="宋体"/>
          <w:sz w:val="24"/>
          <w:u w:val="single"/>
        </w:rPr>
        <w:t xml:space="preserve">               </w:t>
      </w:r>
    </w:p>
    <w:p w14:paraId="0A9F269A">
      <w:pPr>
        <w:overflowPunct w:val="0"/>
        <w:spacing w:line="360" w:lineRule="auto"/>
        <w:ind w:firstLine="420" w:firstLineChars="175"/>
        <w:contextualSpacing/>
        <w:rPr>
          <w:rFonts w:ascii="宋体" w:hAnsi="宋体"/>
          <w:sz w:val="24"/>
        </w:rPr>
      </w:pPr>
      <w:r>
        <w:rPr>
          <w:rFonts w:ascii="宋体" w:hAnsi="宋体"/>
          <w:sz w:val="24"/>
        </w:rPr>
        <w:t xml:space="preserve"> </w:t>
      </w:r>
    </w:p>
    <w:p w14:paraId="36DCD8F8">
      <w:pPr>
        <w:overflowPunct w:val="0"/>
        <w:spacing w:line="360" w:lineRule="auto"/>
        <w:ind w:firstLine="420" w:firstLineChars="175"/>
        <w:contextualSpacing/>
        <w:rPr>
          <w:rFonts w:ascii="宋体" w:hAnsi="宋体"/>
          <w:sz w:val="24"/>
          <w:u w:val="single"/>
        </w:rPr>
      </w:pPr>
      <w:r>
        <w:rPr>
          <w:rFonts w:ascii="宋体" w:hAnsi="宋体"/>
          <w:sz w:val="24"/>
        </w:rPr>
        <w:t>联合体成员名称（盖公章）：</w:t>
      </w:r>
      <w:r>
        <w:rPr>
          <w:rFonts w:ascii="宋体" w:hAnsi="宋体"/>
          <w:sz w:val="24"/>
          <w:u w:val="single"/>
        </w:rPr>
        <w:t xml:space="preserve">                </w:t>
      </w:r>
    </w:p>
    <w:p w14:paraId="7875983E">
      <w:pPr>
        <w:overflowPunct w:val="0"/>
        <w:spacing w:line="360" w:lineRule="auto"/>
        <w:ind w:firstLine="420" w:firstLineChars="175"/>
        <w:contextualSpacing/>
        <w:rPr>
          <w:rFonts w:ascii="宋体" w:hAnsi="宋体"/>
          <w:sz w:val="24"/>
          <w:u w:val="single"/>
        </w:rPr>
      </w:pPr>
      <w:r>
        <w:rPr>
          <w:rFonts w:ascii="宋体" w:hAnsi="宋体"/>
          <w:sz w:val="24"/>
        </w:rPr>
        <w:t>法定代表人（单位负责人）或者其委托代理人（签字</w:t>
      </w:r>
      <w:r>
        <w:rPr>
          <w:rFonts w:hint="eastAsia" w:ascii="宋体" w:hAnsi="宋体"/>
          <w:sz w:val="24"/>
        </w:rPr>
        <w:t>或盖章</w:t>
      </w:r>
      <w:r>
        <w:rPr>
          <w:rFonts w:ascii="宋体" w:hAnsi="宋体"/>
          <w:sz w:val="24"/>
        </w:rPr>
        <w:t>）：</w:t>
      </w:r>
      <w:r>
        <w:rPr>
          <w:rFonts w:ascii="宋体" w:hAnsi="宋体"/>
          <w:sz w:val="24"/>
          <w:u w:val="single"/>
        </w:rPr>
        <w:t xml:space="preserve">            </w:t>
      </w:r>
    </w:p>
    <w:p w14:paraId="7FFF014B">
      <w:pPr>
        <w:overflowPunct w:val="0"/>
        <w:spacing w:line="360" w:lineRule="auto"/>
        <w:ind w:firstLine="420" w:firstLineChars="175"/>
        <w:contextualSpacing/>
        <w:rPr>
          <w:rFonts w:ascii="宋体" w:hAnsi="宋体"/>
          <w:sz w:val="24"/>
        </w:rPr>
      </w:pPr>
      <w:r>
        <w:rPr>
          <w:rFonts w:ascii="宋体" w:hAnsi="宋体"/>
          <w:sz w:val="24"/>
        </w:rPr>
        <w:t xml:space="preserve"> </w:t>
      </w:r>
    </w:p>
    <w:p w14:paraId="5F380667">
      <w:pPr>
        <w:spacing w:line="360" w:lineRule="auto"/>
        <w:ind w:right="480" w:firstLine="240" w:firstLineChars="100"/>
        <w:contextualSpacing/>
        <w:jc w:val="center"/>
        <w:rPr>
          <w:rFonts w:hint="eastAsia" w:ascii="宋体" w:hAnsi="宋体"/>
          <w:sz w:val="24"/>
        </w:rPr>
      </w:pPr>
      <w:r>
        <w:rPr>
          <w:rFonts w:ascii="宋体" w:hAnsi="宋体"/>
          <w:sz w:val="24"/>
        </w:rPr>
        <w:t xml:space="preserve">                                      日期：</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u w:val="single"/>
        </w:rPr>
        <w:tab/>
      </w:r>
      <w:r>
        <w:rPr>
          <w:rFonts w:ascii="宋体" w:hAnsi="宋体"/>
          <w:sz w:val="24"/>
        </w:rPr>
        <w:t>月</w:t>
      </w:r>
      <w:r>
        <w:rPr>
          <w:rFonts w:ascii="宋体" w:hAnsi="宋体"/>
          <w:sz w:val="24"/>
          <w:u w:val="single"/>
        </w:rPr>
        <w:t xml:space="preserve">  </w:t>
      </w:r>
      <w:r>
        <w:rPr>
          <w:rFonts w:ascii="宋体" w:hAnsi="宋体"/>
          <w:sz w:val="24"/>
          <w:u w:val="single"/>
        </w:rPr>
        <w:tab/>
      </w:r>
      <w:r>
        <w:rPr>
          <w:rFonts w:ascii="宋体" w:hAnsi="宋体"/>
          <w:sz w:val="24"/>
        </w:rPr>
        <w:t>日</w:t>
      </w:r>
    </w:p>
    <w:p w14:paraId="161AD008">
      <w:pPr>
        <w:pStyle w:val="10"/>
        <w:tabs>
          <w:tab w:val="left" w:leader="dot" w:pos="480"/>
        </w:tabs>
        <w:rPr>
          <w:bCs/>
          <w:color w:val="auto"/>
          <w:highlight w:val="none"/>
        </w:rPr>
      </w:pPr>
    </w:p>
    <w:p w14:paraId="69FC7B66">
      <w:pPr>
        <w:pStyle w:val="10"/>
        <w:tabs>
          <w:tab w:val="left" w:leader="dot" w:pos="480"/>
        </w:tabs>
        <w:rPr>
          <w:bCs/>
          <w:color w:val="auto"/>
          <w:highlight w:val="none"/>
        </w:rPr>
      </w:pPr>
    </w:p>
    <w:p w14:paraId="71019823">
      <w:pPr>
        <w:rPr>
          <w:bCs/>
          <w:color w:val="auto"/>
          <w:highlight w:val="none"/>
        </w:rPr>
      </w:pPr>
      <w:r>
        <w:rPr>
          <w:bCs/>
          <w:color w:val="auto"/>
          <w:highlight w:val="none"/>
        </w:rPr>
        <w:br w:type="page"/>
      </w:r>
    </w:p>
    <w:p w14:paraId="617DA7A8">
      <w:pPr>
        <w:snapToGrid w:val="0"/>
        <w:spacing w:line="360" w:lineRule="auto"/>
        <w:jc w:val="center"/>
        <w:outlineLvl w:val="1"/>
        <w:rPr>
          <w:rFonts w:ascii="黑体" w:hAnsi="黑体" w:eastAsia="黑体" w:cs="黑体"/>
          <w:color w:val="auto"/>
          <w:sz w:val="36"/>
          <w:szCs w:val="36"/>
          <w:highlight w:val="none"/>
        </w:rPr>
      </w:pPr>
      <w:bookmarkStart w:id="202" w:name="_Toc6781"/>
      <w:bookmarkStart w:id="203" w:name="_Toc18291"/>
      <w:bookmarkStart w:id="204" w:name="_Toc15671"/>
      <w:bookmarkStart w:id="205" w:name="_Toc26089"/>
      <w:bookmarkStart w:id="206" w:name="_Toc1684"/>
      <w:bookmarkStart w:id="207" w:name="_Toc30368"/>
      <w:bookmarkStart w:id="208" w:name="_Toc13843"/>
      <w:bookmarkStart w:id="209" w:name="_Toc8009"/>
      <w:bookmarkStart w:id="210" w:name="_Toc23053"/>
      <w:bookmarkStart w:id="211" w:name="_Toc20507"/>
      <w:bookmarkStart w:id="212" w:name="_Toc2083"/>
      <w:bookmarkStart w:id="213" w:name="_Toc2974"/>
      <w:bookmarkStart w:id="214" w:name="_Toc2709"/>
      <w:bookmarkStart w:id="215" w:name="_Toc9567"/>
      <w:r>
        <w:rPr>
          <w:rFonts w:hint="eastAsia" w:ascii="黑体" w:hAnsi="黑体" w:eastAsia="黑体" w:cs="黑体"/>
          <w:color w:val="auto"/>
          <w:sz w:val="36"/>
          <w:szCs w:val="36"/>
          <w:highlight w:val="none"/>
          <w:lang w:eastAsia="zh-CN"/>
        </w:rPr>
        <w:t>四</w:t>
      </w:r>
      <w:r>
        <w:rPr>
          <w:rFonts w:hint="eastAsia" w:ascii="黑体" w:hAnsi="黑体" w:eastAsia="黑体" w:cs="黑体"/>
          <w:color w:val="auto"/>
          <w:sz w:val="36"/>
          <w:szCs w:val="36"/>
          <w:highlight w:val="none"/>
        </w:rPr>
        <w:t>、报价清单</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0857CC25">
      <w:pPr>
        <w:jc w:val="center"/>
        <w:outlineLvl w:val="2"/>
        <w:rPr>
          <w:rFonts w:ascii="黑体" w:hAnsi="宋体" w:eastAsia="方正小标宋简体"/>
          <w:color w:val="auto"/>
          <w:sz w:val="24"/>
          <w:highlight w:val="none"/>
        </w:rPr>
      </w:pPr>
      <w:bookmarkStart w:id="216" w:name="_Toc32344"/>
      <w:bookmarkStart w:id="217" w:name="_Toc10738"/>
      <w:r>
        <w:rPr>
          <w:rFonts w:hint="eastAsia" w:ascii="宋体" w:hAnsi="宋体" w:cs="宋体"/>
          <w:b/>
          <w:color w:val="auto"/>
          <w:sz w:val="32"/>
          <w:szCs w:val="32"/>
          <w:highlight w:val="none"/>
        </w:rPr>
        <w:t>（一）报价文件说明</w:t>
      </w:r>
      <w:bookmarkEnd w:id="216"/>
      <w:bookmarkEnd w:id="217"/>
    </w:p>
    <w:p w14:paraId="23927D48">
      <w:pPr>
        <w:rPr>
          <w:rFonts w:ascii="黑体" w:hAnsi="宋体" w:eastAsia="黑体"/>
          <w:color w:val="auto"/>
          <w:sz w:val="24"/>
          <w:highlight w:val="none"/>
        </w:rPr>
      </w:pPr>
    </w:p>
    <w:p w14:paraId="2DD731A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1.“报价清单”应与“供应商须知”“采购内容及要求”“合同条款”等一起使用。</w:t>
      </w:r>
    </w:p>
    <w:p w14:paraId="0A348F87">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2.本次采购采用总价包干，投标报价包含为完成</w:t>
      </w:r>
      <w:r>
        <w:rPr>
          <w:rFonts w:hint="eastAsia" w:ascii="宋体" w:hAnsi="宋体"/>
          <w:color w:val="auto"/>
          <w:sz w:val="24"/>
          <w:highlight w:val="none"/>
          <w:u w:val="single"/>
          <w:lang w:val="en-US" w:eastAsia="zh-CN"/>
        </w:rPr>
        <w:t xml:space="preserve"> 钦州港20万吨级进港航道一期工程秋季海洋生态和水文动力环境现状调查与评价服务 </w:t>
      </w:r>
      <w:r>
        <w:rPr>
          <w:rFonts w:hint="eastAsia" w:ascii="宋体" w:hAnsi="宋体"/>
          <w:color w:val="auto"/>
          <w:sz w:val="24"/>
          <w:highlight w:val="none"/>
        </w:rPr>
        <w:t>项目的全部工作以及</w:t>
      </w:r>
      <w:r>
        <w:rPr>
          <w:rFonts w:hint="eastAsia" w:ascii="宋体" w:hAnsi="宋体"/>
          <w:color w:val="auto"/>
          <w:sz w:val="24"/>
          <w:highlight w:val="none"/>
          <w:lang w:eastAsia="zh-CN"/>
        </w:rPr>
        <w:t>全过程</w:t>
      </w:r>
      <w:r>
        <w:rPr>
          <w:rFonts w:hint="eastAsia" w:ascii="宋体" w:hAnsi="宋体"/>
          <w:color w:val="auto"/>
          <w:sz w:val="24"/>
          <w:highlight w:val="none"/>
        </w:rPr>
        <w:t>可能发生的各种费用</w:t>
      </w:r>
      <w:r>
        <w:rPr>
          <w:rFonts w:hint="eastAsia" w:ascii="宋体" w:hAnsi="宋体"/>
          <w:color w:val="auto"/>
          <w:sz w:val="24"/>
          <w:highlight w:val="none"/>
          <w:lang w:eastAsia="zh-CN"/>
        </w:rPr>
        <w:t>，</w:t>
      </w:r>
      <w:r>
        <w:rPr>
          <w:rFonts w:hint="eastAsia" w:ascii="宋体" w:hAnsi="宋体"/>
          <w:color w:val="auto"/>
          <w:sz w:val="24"/>
          <w:highlight w:val="none"/>
        </w:rPr>
        <w:t>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12F9B6B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3.投标报价为一次报价，此次报价即最终报价，不再就价格问题另行协商。</w:t>
      </w:r>
    </w:p>
    <w:p w14:paraId="36CBF915">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4.“报价清单”中报价应以人民币为单位。</w:t>
      </w:r>
    </w:p>
    <w:p w14:paraId="26F57FF6">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5.报价应为含税价格，并且能够提供增值税发票。</w:t>
      </w:r>
    </w:p>
    <w:p w14:paraId="707BB52B">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6.供应商应在“报价清单”后附</w:t>
      </w:r>
      <w:bookmarkStart w:id="218" w:name="_Hlk203661040"/>
      <w:r>
        <w:rPr>
          <w:rFonts w:hint="eastAsia" w:ascii="宋体" w:hAnsi="宋体"/>
          <w:color w:val="auto"/>
          <w:sz w:val="24"/>
          <w:highlight w:val="none"/>
        </w:rPr>
        <w:t>计算说明</w:t>
      </w:r>
      <w:bookmarkEnd w:id="218"/>
      <w:r>
        <w:rPr>
          <w:rFonts w:hint="eastAsia" w:ascii="宋体" w:hAnsi="宋体"/>
          <w:color w:val="auto"/>
          <w:sz w:val="24"/>
          <w:highlight w:val="none"/>
        </w:rPr>
        <w:t>，包括计算方法、取费依据等，以便采购人对供应商报价的合理性作出判断。</w:t>
      </w:r>
    </w:p>
    <w:p w14:paraId="04BE7E21">
      <w:pPr>
        <w:rPr>
          <w:b/>
          <w:bCs/>
          <w:color w:val="auto"/>
          <w:sz w:val="24"/>
          <w:highlight w:val="none"/>
        </w:rPr>
      </w:pPr>
      <w:r>
        <w:rPr>
          <w:rFonts w:hint="eastAsia"/>
          <w:b/>
          <w:bCs/>
          <w:color w:val="auto"/>
          <w:sz w:val="24"/>
          <w:highlight w:val="none"/>
        </w:rPr>
        <w:br w:type="page"/>
      </w:r>
    </w:p>
    <w:p w14:paraId="1384416A">
      <w:pPr>
        <w:pStyle w:val="10"/>
        <w:jc w:val="center"/>
        <w:outlineLvl w:val="2"/>
        <w:rPr>
          <w:b/>
          <w:bCs/>
          <w:color w:val="auto"/>
          <w:sz w:val="32"/>
          <w:szCs w:val="32"/>
          <w:highlight w:val="none"/>
        </w:rPr>
      </w:pPr>
      <w:bookmarkStart w:id="219" w:name="_Toc1367"/>
      <w:bookmarkStart w:id="220" w:name="_Toc2327"/>
      <w:bookmarkStart w:id="221" w:name="_Hlk203660973"/>
      <w:r>
        <w:rPr>
          <w:rFonts w:hint="eastAsia"/>
          <w:b/>
          <w:bCs/>
          <w:color w:val="auto"/>
          <w:sz w:val="32"/>
          <w:szCs w:val="32"/>
          <w:highlight w:val="none"/>
        </w:rPr>
        <w:t>（二）投标报价表</w:t>
      </w:r>
      <w:bookmarkEnd w:id="219"/>
      <w:bookmarkEnd w:id="220"/>
    </w:p>
    <w:p w14:paraId="6426713A">
      <w:pPr>
        <w:pStyle w:val="10"/>
        <w:rPr>
          <w:color w:val="auto"/>
          <w:highlight w:val="none"/>
        </w:rPr>
      </w:pPr>
    </w:p>
    <w:p w14:paraId="3D7A3E7A">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宋体"/>
          <w:bCs/>
          <w:color w:val="auto"/>
          <w:sz w:val="24"/>
          <w:highlight w:val="none"/>
        </w:rPr>
        <w:t>钦州港20万吨级进港航道一期工程秋季海洋生态和水文动力环境现状调查与评价服务</w:t>
      </w:r>
    </w:p>
    <w:tbl>
      <w:tblPr>
        <w:tblStyle w:val="24"/>
        <w:tblW w:w="4996"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2842"/>
        <w:gridCol w:w="1322"/>
        <w:gridCol w:w="776"/>
        <w:gridCol w:w="2017"/>
        <w:gridCol w:w="1478"/>
      </w:tblGrid>
      <w:tr w14:paraId="40B2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CDF1E7">
            <w:pPr>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1550" w:type="pct"/>
            <w:tcBorders>
              <w:top w:val="single" w:color="auto" w:sz="4" w:space="0"/>
              <w:left w:val="single" w:color="auto" w:sz="4" w:space="0"/>
              <w:bottom w:val="single" w:color="auto" w:sz="4" w:space="0"/>
              <w:right w:val="single" w:color="auto" w:sz="4" w:space="0"/>
            </w:tcBorders>
            <w:vAlign w:val="center"/>
          </w:tcPr>
          <w:p w14:paraId="62530C20">
            <w:pPr>
              <w:contextualSpacing/>
              <w:jc w:val="center"/>
              <w:rPr>
                <w:rFonts w:ascii="宋体" w:hAnsi="宋体" w:cs="仿宋_GB2312"/>
                <w:color w:val="auto"/>
                <w:sz w:val="24"/>
                <w:highlight w:val="none"/>
              </w:rPr>
            </w:pPr>
            <w:r>
              <w:rPr>
                <w:rFonts w:ascii="宋体" w:hAnsi="宋体" w:cs="仿宋_GB2312"/>
                <w:color w:val="auto"/>
                <w:sz w:val="24"/>
                <w:highlight w:val="none"/>
              </w:rPr>
              <w:t>服务名称</w:t>
            </w:r>
          </w:p>
        </w:tc>
        <w:tc>
          <w:tcPr>
            <w:tcW w:w="721" w:type="pct"/>
            <w:tcBorders>
              <w:top w:val="single" w:color="auto" w:sz="4" w:space="0"/>
              <w:left w:val="single" w:color="auto" w:sz="4" w:space="0"/>
              <w:bottom w:val="single" w:color="auto" w:sz="4" w:space="0"/>
              <w:right w:val="single" w:color="auto" w:sz="4" w:space="0"/>
            </w:tcBorders>
            <w:vAlign w:val="center"/>
          </w:tcPr>
          <w:p w14:paraId="51FD0EB4">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w:t>
            </w:r>
          </w:p>
        </w:tc>
        <w:tc>
          <w:tcPr>
            <w:tcW w:w="423" w:type="pct"/>
            <w:tcBorders>
              <w:top w:val="single" w:color="auto" w:sz="4" w:space="0"/>
              <w:left w:val="single" w:color="auto" w:sz="4" w:space="0"/>
              <w:bottom w:val="single" w:color="auto" w:sz="4" w:space="0"/>
              <w:right w:val="single" w:color="auto" w:sz="4" w:space="0"/>
            </w:tcBorders>
            <w:vAlign w:val="center"/>
          </w:tcPr>
          <w:p w14:paraId="196EC937">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单位</w:t>
            </w:r>
          </w:p>
        </w:tc>
        <w:tc>
          <w:tcPr>
            <w:tcW w:w="1100" w:type="pct"/>
            <w:tcBorders>
              <w:top w:val="single" w:color="auto" w:sz="4" w:space="0"/>
              <w:left w:val="single" w:color="auto" w:sz="4" w:space="0"/>
              <w:bottom w:val="single" w:color="auto" w:sz="4" w:space="0"/>
              <w:right w:val="single" w:color="auto" w:sz="4" w:space="0"/>
            </w:tcBorders>
            <w:vAlign w:val="center"/>
          </w:tcPr>
          <w:p w14:paraId="3E927E1A">
            <w:pPr>
              <w:contextualSpacing/>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金额</w:t>
            </w:r>
            <w:r>
              <w:rPr>
                <w:rFonts w:hint="eastAsia" w:ascii="宋体" w:hAnsi="宋体" w:cs="仿宋_GB2312"/>
                <w:color w:val="auto"/>
                <w:sz w:val="24"/>
                <w:highlight w:val="none"/>
                <w:lang w:eastAsia="zh-CN"/>
              </w:rPr>
              <w:t>（元）</w:t>
            </w:r>
          </w:p>
        </w:tc>
        <w:tc>
          <w:tcPr>
            <w:tcW w:w="806" w:type="pct"/>
            <w:tcBorders>
              <w:top w:val="single" w:color="auto" w:sz="4" w:space="0"/>
              <w:left w:val="single" w:color="auto" w:sz="4" w:space="0"/>
              <w:bottom w:val="single" w:color="auto" w:sz="4" w:space="0"/>
              <w:right w:val="single" w:color="auto" w:sz="4" w:space="0"/>
            </w:tcBorders>
            <w:vAlign w:val="center"/>
          </w:tcPr>
          <w:p w14:paraId="21A350E4">
            <w:pPr>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72BB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0D41C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1550" w:type="pct"/>
            <w:tcBorders>
              <w:top w:val="single" w:color="auto" w:sz="4" w:space="0"/>
              <w:left w:val="single" w:color="auto" w:sz="4" w:space="0"/>
              <w:bottom w:val="single" w:color="auto" w:sz="4" w:space="0"/>
              <w:right w:val="single" w:color="auto" w:sz="4" w:space="0"/>
            </w:tcBorders>
            <w:vAlign w:val="center"/>
          </w:tcPr>
          <w:p w14:paraId="4963F0D6">
            <w:pPr>
              <w:adjustRightInd w:val="0"/>
              <w:snapToGrid w:val="0"/>
              <w:jc w:val="left"/>
              <w:rPr>
                <w:rFonts w:ascii="宋体" w:hAnsi="宋体" w:cs="仿宋_GB2312"/>
                <w:color w:val="auto"/>
                <w:sz w:val="24"/>
                <w:highlight w:val="none"/>
              </w:rPr>
            </w:pPr>
            <w:r>
              <w:rPr>
                <w:rFonts w:hint="eastAsia" w:ascii="宋体" w:hAnsi="宋体" w:cs="宋体"/>
                <w:bCs/>
                <w:color w:val="auto"/>
                <w:sz w:val="24"/>
                <w:highlight w:val="none"/>
              </w:rPr>
              <w:t>钦州港20万吨级进港航道一期工程秋季海洋生态和水文动力环境现状调查与评价服务</w:t>
            </w:r>
          </w:p>
        </w:tc>
        <w:tc>
          <w:tcPr>
            <w:tcW w:w="721" w:type="pct"/>
            <w:tcBorders>
              <w:top w:val="single" w:color="auto" w:sz="4" w:space="0"/>
              <w:left w:val="single" w:color="auto" w:sz="4" w:space="0"/>
              <w:bottom w:val="single" w:color="auto" w:sz="4" w:space="0"/>
              <w:right w:val="single" w:color="auto" w:sz="4" w:space="0"/>
            </w:tcBorders>
            <w:vAlign w:val="center"/>
          </w:tcPr>
          <w:p w14:paraId="7FFD3C5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423" w:type="pct"/>
            <w:tcBorders>
              <w:top w:val="single" w:color="auto" w:sz="4" w:space="0"/>
              <w:left w:val="single" w:color="auto" w:sz="4" w:space="0"/>
              <w:bottom w:val="single" w:color="auto" w:sz="4" w:space="0"/>
              <w:right w:val="single" w:color="auto" w:sz="4" w:space="0"/>
            </w:tcBorders>
            <w:vAlign w:val="center"/>
          </w:tcPr>
          <w:p w14:paraId="183C6962">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项</w:t>
            </w:r>
          </w:p>
        </w:tc>
        <w:tc>
          <w:tcPr>
            <w:tcW w:w="1100" w:type="pct"/>
            <w:tcBorders>
              <w:top w:val="single" w:color="auto" w:sz="4" w:space="0"/>
              <w:left w:val="single" w:color="auto" w:sz="4" w:space="0"/>
              <w:bottom w:val="single" w:color="auto" w:sz="4" w:space="0"/>
              <w:right w:val="single" w:color="auto" w:sz="4" w:space="0"/>
            </w:tcBorders>
            <w:vAlign w:val="center"/>
          </w:tcPr>
          <w:p w14:paraId="05EEAF7A">
            <w:pPr>
              <w:adjustRightInd w:val="0"/>
              <w:snapToGrid w:val="0"/>
              <w:contextualSpacing/>
              <w:jc w:val="center"/>
              <w:rPr>
                <w:rFonts w:ascii="宋体" w:hAnsi="宋体" w:cs="仿宋_GB2312"/>
                <w:color w:val="auto"/>
                <w:sz w:val="24"/>
                <w:highlight w:val="none"/>
              </w:rPr>
            </w:pPr>
          </w:p>
        </w:tc>
        <w:tc>
          <w:tcPr>
            <w:tcW w:w="806" w:type="pct"/>
            <w:tcBorders>
              <w:top w:val="single" w:color="auto" w:sz="4" w:space="0"/>
              <w:left w:val="single" w:color="auto" w:sz="4" w:space="0"/>
              <w:bottom w:val="single" w:color="auto" w:sz="4" w:space="0"/>
              <w:right w:val="single" w:color="auto" w:sz="4" w:space="0"/>
            </w:tcBorders>
            <w:vAlign w:val="center"/>
          </w:tcPr>
          <w:p w14:paraId="77AD8907">
            <w:pPr>
              <w:adjustRightInd w:val="0"/>
              <w:snapToGrid w:val="0"/>
              <w:contextualSpacing/>
              <w:jc w:val="center"/>
              <w:rPr>
                <w:rFonts w:ascii="宋体" w:hAnsi="宋体" w:cs="仿宋_GB2312"/>
                <w:color w:val="auto"/>
                <w:sz w:val="24"/>
                <w:highlight w:val="none"/>
              </w:rPr>
            </w:pPr>
          </w:p>
        </w:tc>
      </w:tr>
    </w:tbl>
    <w:p w14:paraId="0700BCBF">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74407342">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1.供应商的报价表必须加盖供应商公章并由法定代表人或者委托代理人签字，</w:t>
      </w:r>
      <w:r>
        <w:rPr>
          <w:rFonts w:hint="eastAsia" w:ascii="宋体" w:hAnsi="宋体" w:cs="仿宋_GB2312"/>
          <w:b/>
          <w:color w:val="auto"/>
          <w:sz w:val="24"/>
          <w:highlight w:val="none"/>
        </w:rPr>
        <w:t>否则其响应文件按无效响应处理</w:t>
      </w:r>
      <w:r>
        <w:rPr>
          <w:rFonts w:hint="eastAsia" w:ascii="宋体" w:hAnsi="宋体" w:cs="仿宋_GB2312"/>
          <w:color w:val="auto"/>
          <w:sz w:val="24"/>
          <w:highlight w:val="none"/>
        </w:rPr>
        <w:t>。</w:t>
      </w:r>
    </w:p>
    <w:p w14:paraId="5B6CC2A2">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报价一经涂改，应在涂改处加盖供应商公章或者由法定代表人或者委托代理人签字或者盖章</w:t>
      </w:r>
      <w:r>
        <w:rPr>
          <w:rFonts w:hint="eastAsia" w:ascii="宋体" w:hAnsi="宋体" w:cs="仿宋_GB2312"/>
          <w:b/>
          <w:color w:val="auto"/>
          <w:sz w:val="24"/>
          <w:highlight w:val="none"/>
        </w:rPr>
        <w:t>，否则其响应文件按无效响应处理。</w:t>
      </w:r>
    </w:p>
    <w:p w14:paraId="476F947A">
      <w:pPr>
        <w:spacing w:line="360" w:lineRule="auto"/>
        <w:ind w:firstLine="480" w:firstLineChars="200"/>
        <w:contextualSpacing/>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3.附计算说明，包括计算方法、取费依据等，以便采购人对供应商报价的合理性作出判断。</w:t>
      </w:r>
    </w:p>
    <w:p w14:paraId="183284F6">
      <w:pPr>
        <w:spacing w:line="360" w:lineRule="auto"/>
        <w:ind w:right="-817" w:rightChars="-389" w:firstLine="2640" w:firstLineChars="1100"/>
        <w:contextualSpacing/>
        <w:rPr>
          <w:rFonts w:ascii="宋体" w:hAnsi="宋体" w:cs="仿宋_GB2312"/>
          <w:color w:val="auto"/>
          <w:sz w:val="24"/>
          <w:highlight w:val="none"/>
        </w:rPr>
      </w:pPr>
    </w:p>
    <w:p w14:paraId="0D2F037E">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1A2BDED">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9D61C53">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bookmarkEnd w:id="221"/>
    <w:p w14:paraId="663FD668">
      <w:pPr>
        <w:spacing w:line="360" w:lineRule="auto"/>
        <w:ind w:firstLine="643" w:firstLineChars="200"/>
        <w:rPr>
          <w:snapToGrid w:val="0"/>
          <w:color w:val="auto"/>
          <w:kern w:val="0"/>
          <w:szCs w:val="21"/>
          <w:highlight w:val="none"/>
        </w:rPr>
      </w:pPr>
      <w:r>
        <w:rPr>
          <w:rFonts w:hint="eastAsia" w:ascii="宋体" w:hAnsi="Courier New"/>
          <w:b/>
          <w:color w:val="auto"/>
          <w:sz w:val="32"/>
          <w:szCs w:val="32"/>
          <w:highlight w:val="none"/>
        </w:rPr>
        <w:br w:type="page"/>
      </w:r>
    </w:p>
    <w:p w14:paraId="6445273C">
      <w:pPr>
        <w:snapToGrid w:val="0"/>
        <w:spacing w:line="360" w:lineRule="auto"/>
        <w:jc w:val="center"/>
        <w:outlineLvl w:val="1"/>
        <w:rPr>
          <w:rFonts w:ascii="黑体" w:hAnsi="黑体" w:eastAsia="黑体" w:cs="黑体"/>
          <w:color w:val="auto"/>
          <w:sz w:val="36"/>
          <w:szCs w:val="36"/>
          <w:highlight w:val="none"/>
        </w:rPr>
      </w:pPr>
      <w:bookmarkStart w:id="222" w:name="_Toc16610"/>
      <w:bookmarkStart w:id="223" w:name="_Toc31178"/>
      <w:bookmarkStart w:id="224" w:name="_Toc31802"/>
      <w:bookmarkStart w:id="225" w:name="_Toc4639"/>
      <w:bookmarkStart w:id="226" w:name="_Toc7557"/>
      <w:bookmarkStart w:id="227" w:name="_Toc27313"/>
      <w:bookmarkStart w:id="228" w:name="_Toc10739"/>
      <w:bookmarkStart w:id="229" w:name="_Toc9955"/>
      <w:bookmarkStart w:id="230" w:name="_Toc1971"/>
      <w:bookmarkStart w:id="231" w:name="_Toc13328"/>
      <w:bookmarkStart w:id="232" w:name="_Toc17699"/>
      <w:bookmarkStart w:id="233" w:name="_Toc31645"/>
      <w:bookmarkStart w:id="234" w:name="_Toc29645"/>
      <w:bookmarkStart w:id="235" w:name="_Toc15587"/>
      <w:r>
        <w:rPr>
          <w:rFonts w:hint="eastAsia" w:ascii="黑体" w:hAnsi="黑体" w:eastAsia="黑体" w:cs="黑体"/>
          <w:color w:val="auto"/>
          <w:sz w:val="36"/>
          <w:szCs w:val="36"/>
          <w:highlight w:val="none"/>
          <w:lang w:eastAsia="zh-CN"/>
        </w:rPr>
        <w:t>五</w:t>
      </w:r>
      <w:r>
        <w:rPr>
          <w:rFonts w:hint="eastAsia" w:ascii="黑体" w:hAnsi="黑体" w:eastAsia="黑体" w:cs="黑体"/>
          <w:color w:val="auto"/>
          <w:sz w:val="36"/>
          <w:szCs w:val="36"/>
          <w:highlight w:val="none"/>
        </w:rPr>
        <w:t>、资格审查资料</w:t>
      </w:r>
      <w:bookmarkEnd w:id="222"/>
      <w:bookmarkEnd w:id="223"/>
      <w:bookmarkEnd w:id="224"/>
      <w:bookmarkEnd w:id="225"/>
      <w:bookmarkEnd w:id="226"/>
      <w:bookmarkEnd w:id="227"/>
      <w:bookmarkEnd w:id="228"/>
      <w:bookmarkEnd w:id="229"/>
      <w:bookmarkEnd w:id="230"/>
      <w:bookmarkEnd w:id="231"/>
      <w:bookmarkEnd w:id="232"/>
      <w:bookmarkEnd w:id="233"/>
    </w:p>
    <w:p w14:paraId="4C63EEF3">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（一）供应商</w:t>
      </w:r>
      <w:bookmarkEnd w:id="234"/>
      <w:bookmarkEnd w:id="235"/>
      <w:r>
        <w:rPr>
          <w:rFonts w:hint="eastAsia" w:ascii="宋体" w:hAnsi="宋体"/>
          <w:b/>
          <w:color w:val="auto"/>
          <w:sz w:val="24"/>
          <w:highlight w:val="none"/>
        </w:rPr>
        <w:t>基本情况表</w:t>
      </w:r>
    </w:p>
    <w:tbl>
      <w:tblPr>
        <w:tblStyle w:val="24"/>
        <w:tblW w:w="0" w:type="auto"/>
        <w:tblInd w:w="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2079"/>
        <w:gridCol w:w="1058"/>
        <w:gridCol w:w="1199"/>
        <w:gridCol w:w="901"/>
        <w:gridCol w:w="334"/>
        <w:gridCol w:w="262"/>
        <w:gridCol w:w="75"/>
        <w:gridCol w:w="553"/>
        <w:gridCol w:w="695"/>
        <w:gridCol w:w="63"/>
        <w:gridCol w:w="329"/>
        <w:gridCol w:w="1292"/>
      </w:tblGrid>
      <w:tr w14:paraId="1642C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9" w:hRule="atLeast"/>
        </w:trPr>
        <w:tc>
          <w:tcPr>
            <w:tcW w:w="2079" w:type="dxa"/>
            <w:vAlign w:val="center"/>
          </w:tcPr>
          <w:p w14:paraId="20B85FF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供应商名称</w:t>
            </w:r>
          </w:p>
        </w:tc>
        <w:tc>
          <w:tcPr>
            <w:tcW w:w="6761" w:type="dxa"/>
            <w:gridSpan w:val="11"/>
            <w:vAlign w:val="center"/>
          </w:tcPr>
          <w:p w14:paraId="77F2A00D">
            <w:pPr>
              <w:autoSpaceDE w:val="0"/>
              <w:autoSpaceDN w:val="0"/>
              <w:jc w:val="center"/>
              <w:rPr>
                <w:color w:val="auto"/>
                <w:kern w:val="0"/>
                <w:sz w:val="24"/>
                <w:highlight w:val="none"/>
              </w:rPr>
            </w:pPr>
          </w:p>
        </w:tc>
      </w:tr>
      <w:tr w14:paraId="2D249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7" w:hRule="atLeast"/>
        </w:trPr>
        <w:tc>
          <w:tcPr>
            <w:tcW w:w="2079" w:type="dxa"/>
            <w:vAlign w:val="center"/>
          </w:tcPr>
          <w:p w14:paraId="1BD90EB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注册地址</w:t>
            </w:r>
          </w:p>
        </w:tc>
        <w:tc>
          <w:tcPr>
            <w:tcW w:w="3754" w:type="dxa"/>
            <w:gridSpan w:val="5"/>
            <w:vAlign w:val="center"/>
          </w:tcPr>
          <w:p w14:paraId="3D32AA0B">
            <w:pPr>
              <w:autoSpaceDE w:val="0"/>
              <w:autoSpaceDN w:val="0"/>
              <w:jc w:val="center"/>
              <w:rPr>
                <w:color w:val="auto"/>
                <w:kern w:val="0"/>
                <w:sz w:val="24"/>
                <w:highlight w:val="none"/>
              </w:rPr>
            </w:pPr>
          </w:p>
        </w:tc>
        <w:tc>
          <w:tcPr>
            <w:tcW w:w="1386" w:type="dxa"/>
            <w:gridSpan w:val="4"/>
            <w:vAlign w:val="center"/>
          </w:tcPr>
          <w:p w14:paraId="397EF171">
            <w:pPr>
              <w:autoSpaceDE w:val="0"/>
              <w:autoSpaceDN w:val="0"/>
              <w:jc w:val="center"/>
              <w:rPr>
                <w:color w:val="auto"/>
                <w:kern w:val="0"/>
                <w:sz w:val="24"/>
                <w:highlight w:val="none"/>
              </w:rPr>
            </w:pPr>
            <w:r>
              <w:rPr>
                <w:rFonts w:hint="eastAsia" w:ascii="宋体" w:cs="宋体"/>
                <w:color w:val="auto"/>
                <w:kern w:val="0"/>
                <w:sz w:val="24"/>
                <w:highlight w:val="none"/>
              </w:rPr>
              <w:t>邮政编码</w:t>
            </w:r>
          </w:p>
        </w:tc>
        <w:tc>
          <w:tcPr>
            <w:tcW w:w="1621" w:type="dxa"/>
            <w:gridSpan w:val="2"/>
            <w:vAlign w:val="center"/>
          </w:tcPr>
          <w:p w14:paraId="03581083">
            <w:pPr>
              <w:autoSpaceDE w:val="0"/>
              <w:autoSpaceDN w:val="0"/>
              <w:jc w:val="center"/>
              <w:rPr>
                <w:color w:val="auto"/>
                <w:kern w:val="0"/>
                <w:sz w:val="24"/>
                <w:highlight w:val="none"/>
              </w:rPr>
            </w:pPr>
          </w:p>
        </w:tc>
      </w:tr>
      <w:tr w14:paraId="7B5FB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3" w:hRule="atLeast"/>
        </w:trPr>
        <w:tc>
          <w:tcPr>
            <w:tcW w:w="2079" w:type="dxa"/>
            <w:vMerge w:val="restart"/>
            <w:vAlign w:val="center"/>
          </w:tcPr>
          <w:p w14:paraId="1C4FC5A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联系方式</w:t>
            </w:r>
          </w:p>
        </w:tc>
        <w:tc>
          <w:tcPr>
            <w:tcW w:w="1058" w:type="dxa"/>
            <w:vAlign w:val="center"/>
          </w:tcPr>
          <w:p w14:paraId="4A21946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联系人</w:t>
            </w:r>
          </w:p>
        </w:tc>
        <w:tc>
          <w:tcPr>
            <w:tcW w:w="2100" w:type="dxa"/>
            <w:gridSpan w:val="2"/>
            <w:vAlign w:val="center"/>
          </w:tcPr>
          <w:p w14:paraId="5B9812EF">
            <w:pPr>
              <w:autoSpaceDE w:val="0"/>
              <w:autoSpaceDN w:val="0"/>
              <w:jc w:val="center"/>
              <w:rPr>
                <w:color w:val="auto"/>
                <w:kern w:val="0"/>
                <w:sz w:val="24"/>
                <w:highlight w:val="none"/>
              </w:rPr>
            </w:pPr>
          </w:p>
        </w:tc>
        <w:tc>
          <w:tcPr>
            <w:tcW w:w="1224" w:type="dxa"/>
            <w:gridSpan w:val="4"/>
            <w:vAlign w:val="center"/>
          </w:tcPr>
          <w:p w14:paraId="13D48F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2379" w:type="dxa"/>
            <w:gridSpan w:val="4"/>
            <w:vAlign w:val="center"/>
          </w:tcPr>
          <w:p w14:paraId="3508530A">
            <w:pPr>
              <w:autoSpaceDE w:val="0"/>
              <w:autoSpaceDN w:val="0"/>
              <w:jc w:val="center"/>
              <w:rPr>
                <w:color w:val="auto"/>
                <w:kern w:val="0"/>
                <w:sz w:val="24"/>
                <w:highlight w:val="none"/>
              </w:rPr>
            </w:pPr>
          </w:p>
        </w:tc>
      </w:tr>
      <w:tr w14:paraId="0BF76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0" w:hRule="atLeast"/>
        </w:trPr>
        <w:tc>
          <w:tcPr>
            <w:tcW w:w="2079" w:type="dxa"/>
            <w:vMerge w:val="continue"/>
            <w:vAlign w:val="center"/>
          </w:tcPr>
          <w:p w14:paraId="17EEF868">
            <w:pPr>
              <w:autoSpaceDE w:val="0"/>
              <w:autoSpaceDN w:val="0"/>
              <w:jc w:val="center"/>
              <w:rPr>
                <w:rFonts w:ascii="宋体" w:cs="宋体"/>
                <w:color w:val="auto"/>
                <w:kern w:val="0"/>
                <w:sz w:val="24"/>
                <w:highlight w:val="none"/>
              </w:rPr>
            </w:pPr>
          </w:p>
        </w:tc>
        <w:tc>
          <w:tcPr>
            <w:tcW w:w="1058" w:type="dxa"/>
            <w:vAlign w:val="center"/>
          </w:tcPr>
          <w:p w14:paraId="4F72620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传真</w:t>
            </w:r>
          </w:p>
        </w:tc>
        <w:tc>
          <w:tcPr>
            <w:tcW w:w="2100" w:type="dxa"/>
            <w:gridSpan w:val="2"/>
            <w:vAlign w:val="center"/>
          </w:tcPr>
          <w:p w14:paraId="3CE52FA1">
            <w:pPr>
              <w:autoSpaceDE w:val="0"/>
              <w:autoSpaceDN w:val="0"/>
              <w:jc w:val="center"/>
              <w:rPr>
                <w:color w:val="auto"/>
                <w:kern w:val="0"/>
                <w:sz w:val="24"/>
                <w:highlight w:val="none"/>
              </w:rPr>
            </w:pPr>
          </w:p>
        </w:tc>
        <w:tc>
          <w:tcPr>
            <w:tcW w:w="1224" w:type="dxa"/>
            <w:gridSpan w:val="4"/>
            <w:vAlign w:val="center"/>
          </w:tcPr>
          <w:p w14:paraId="531E6A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电子邮箱</w:t>
            </w:r>
          </w:p>
        </w:tc>
        <w:tc>
          <w:tcPr>
            <w:tcW w:w="2379" w:type="dxa"/>
            <w:gridSpan w:val="4"/>
            <w:vAlign w:val="center"/>
          </w:tcPr>
          <w:p w14:paraId="263700A2">
            <w:pPr>
              <w:autoSpaceDE w:val="0"/>
              <w:autoSpaceDN w:val="0"/>
              <w:jc w:val="center"/>
              <w:rPr>
                <w:color w:val="auto"/>
                <w:kern w:val="0"/>
                <w:sz w:val="24"/>
                <w:highlight w:val="none"/>
              </w:rPr>
            </w:pPr>
          </w:p>
        </w:tc>
      </w:tr>
      <w:tr w14:paraId="6A580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4D5643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法定代表人</w:t>
            </w:r>
          </w:p>
        </w:tc>
        <w:tc>
          <w:tcPr>
            <w:tcW w:w="1058" w:type="dxa"/>
            <w:vAlign w:val="center"/>
          </w:tcPr>
          <w:p w14:paraId="759DEA0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5CAED6D2">
            <w:pPr>
              <w:autoSpaceDE w:val="0"/>
              <w:autoSpaceDN w:val="0"/>
              <w:jc w:val="center"/>
              <w:rPr>
                <w:rFonts w:ascii="宋体" w:cs="宋体"/>
                <w:color w:val="auto"/>
                <w:kern w:val="0"/>
                <w:sz w:val="24"/>
                <w:highlight w:val="none"/>
              </w:rPr>
            </w:pPr>
          </w:p>
        </w:tc>
        <w:tc>
          <w:tcPr>
            <w:tcW w:w="901" w:type="dxa"/>
            <w:vAlign w:val="center"/>
          </w:tcPr>
          <w:p w14:paraId="4CCC919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职务</w:t>
            </w:r>
          </w:p>
        </w:tc>
        <w:tc>
          <w:tcPr>
            <w:tcW w:w="1224" w:type="dxa"/>
            <w:gridSpan w:val="4"/>
            <w:vAlign w:val="center"/>
          </w:tcPr>
          <w:p w14:paraId="1AB06EB2">
            <w:pPr>
              <w:autoSpaceDE w:val="0"/>
              <w:autoSpaceDN w:val="0"/>
              <w:jc w:val="center"/>
              <w:rPr>
                <w:color w:val="auto"/>
                <w:kern w:val="0"/>
                <w:sz w:val="24"/>
                <w:highlight w:val="none"/>
              </w:rPr>
            </w:pPr>
          </w:p>
        </w:tc>
        <w:tc>
          <w:tcPr>
            <w:tcW w:w="695" w:type="dxa"/>
            <w:vAlign w:val="center"/>
          </w:tcPr>
          <w:p w14:paraId="0E57FB4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5B942D62">
            <w:pPr>
              <w:autoSpaceDE w:val="0"/>
              <w:autoSpaceDN w:val="0"/>
              <w:jc w:val="center"/>
              <w:rPr>
                <w:color w:val="auto"/>
                <w:kern w:val="0"/>
                <w:sz w:val="24"/>
                <w:highlight w:val="none"/>
              </w:rPr>
            </w:pPr>
          </w:p>
        </w:tc>
      </w:tr>
      <w:tr w14:paraId="17FB2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298521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技术负责人</w:t>
            </w:r>
          </w:p>
        </w:tc>
        <w:tc>
          <w:tcPr>
            <w:tcW w:w="1058" w:type="dxa"/>
            <w:vAlign w:val="center"/>
          </w:tcPr>
          <w:p w14:paraId="2713ECE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3861E9A3">
            <w:pPr>
              <w:autoSpaceDE w:val="0"/>
              <w:autoSpaceDN w:val="0"/>
              <w:jc w:val="center"/>
              <w:rPr>
                <w:rFonts w:ascii="宋体" w:cs="宋体"/>
                <w:color w:val="auto"/>
                <w:kern w:val="0"/>
                <w:sz w:val="24"/>
                <w:highlight w:val="none"/>
              </w:rPr>
            </w:pPr>
          </w:p>
        </w:tc>
        <w:tc>
          <w:tcPr>
            <w:tcW w:w="901" w:type="dxa"/>
            <w:vAlign w:val="center"/>
          </w:tcPr>
          <w:p w14:paraId="098666B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职称</w:t>
            </w:r>
          </w:p>
        </w:tc>
        <w:tc>
          <w:tcPr>
            <w:tcW w:w="1224" w:type="dxa"/>
            <w:gridSpan w:val="4"/>
            <w:vAlign w:val="center"/>
          </w:tcPr>
          <w:p w14:paraId="19144401">
            <w:pPr>
              <w:autoSpaceDE w:val="0"/>
              <w:autoSpaceDN w:val="0"/>
              <w:jc w:val="center"/>
              <w:rPr>
                <w:color w:val="auto"/>
                <w:kern w:val="0"/>
                <w:sz w:val="24"/>
                <w:highlight w:val="none"/>
              </w:rPr>
            </w:pPr>
          </w:p>
        </w:tc>
        <w:tc>
          <w:tcPr>
            <w:tcW w:w="695" w:type="dxa"/>
            <w:vAlign w:val="center"/>
          </w:tcPr>
          <w:p w14:paraId="36572BA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3B51CCE5">
            <w:pPr>
              <w:autoSpaceDE w:val="0"/>
              <w:autoSpaceDN w:val="0"/>
              <w:jc w:val="center"/>
              <w:rPr>
                <w:color w:val="auto"/>
                <w:kern w:val="0"/>
                <w:sz w:val="24"/>
                <w:highlight w:val="none"/>
              </w:rPr>
            </w:pPr>
          </w:p>
        </w:tc>
      </w:tr>
      <w:tr w14:paraId="61DBED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710330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资质证书</w:t>
            </w:r>
          </w:p>
        </w:tc>
        <w:tc>
          <w:tcPr>
            <w:tcW w:w="6761" w:type="dxa"/>
            <w:gridSpan w:val="11"/>
            <w:vAlign w:val="center"/>
          </w:tcPr>
          <w:p w14:paraId="59ADA08E">
            <w:pPr>
              <w:autoSpaceDE w:val="0"/>
              <w:autoSpaceDN w:val="0"/>
              <w:rPr>
                <w:color w:val="auto"/>
                <w:kern w:val="0"/>
                <w:sz w:val="24"/>
                <w:highlight w:val="none"/>
              </w:rPr>
            </w:pPr>
            <w:r>
              <w:rPr>
                <w:rFonts w:hint="eastAsia"/>
                <w:color w:val="auto"/>
                <w:kern w:val="0"/>
                <w:sz w:val="24"/>
                <w:highlight w:val="none"/>
              </w:rPr>
              <w:t>类型：           等级：           证书号：</w:t>
            </w:r>
          </w:p>
        </w:tc>
      </w:tr>
      <w:tr w14:paraId="22AEA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778810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质量管理体系证书（如有）</w:t>
            </w:r>
          </w:p>
        </w:tc>
        <w:tc>
          <w:tcPr>
            <w:tcW w:w="6761" w:type="dxa"/>
            <w:gridSpan w:val="11"/>
            <w:vAlign w:val="center"/>
          </w:tcPr>
          <w:p w14:paraId="1D128E21">
            <w:pPr>
              <w:autoSpaceDE w:val="0"/>
              <w:autoSpaceDN w:val="0"/>
              <w:rPr>
                <w:color w:val="auto"/>
                <w:kern w:val="0"/>
                <w:sz w:val="24"/>
                <w:highlight w:val="none"/>
              </w:rPr>
            </w:pPr>
            <w:r>
              <w:rPr>
                <w:rFonts w:hint="eastAsia"/>
                <w:color w:val="auto"/>
                <w:kern w:val="0"/>
                <w:sz w:val="24"/>
                <w:highlight w:val="none"/>
              </w:rPr>
              <w:t>类型：           等级：           证书号：</w:t>
            </w:r>
          </w:p>
        </w:tc>
      </w:tr>
      <w:tr w14:paraId="204DF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24F6667A">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营业执照号</w:t>
            </w:r>
          </w:p>
        </w:tc>
        <w:tc>
          <w:tcPr>
            <w:tcW w:w="3492" w:type="dxa"/>
            <w:gridSpan w:val="4"/>
            <w:vAlign w:val="center"/>
          </w:tcPr>
          <w:p w14:paraId="5F8A1368">
            <w:pPr>
              <w:autoSpaceDE w:val="0"/>
              <w:autoSpaceDN w:val="0"/>
              <w:jc w:val="center"/>
              <w:rPr>
                <w:color w:val="auto"/>
                <w:kern w:val="0"/>
                <w:sz w:val="24"/>
                <w:highlight w:val="none"/>
              </w:rPr>
            </w:pPr>
          </w:p>
        </w:tc>
        <w:tc>
          <w:tcPr>
            <w:tcW w:w="1977" w:type="dxa"/>
            <w:gridSpan w:val="6"/>
            <w:vAlign w:val="center"/>
          </w:tcPr>
          <w:p w14:paraId="5A96849E">
            <w:pPr>
              <w:autoSpaceDE w:val="0"/>
              <w:autoSpaceDN w:val="0"/>
              <w:jc w:val="center"/>
              <w:rPr>
                <w:color w:val="auto"/>
                <w:kern w:val="0"/>
                <w:sz w:val="24"/>
                <w:highlight w:val="none"/>
              </w:rPr>
            </w:pPr>
            <w:r>
              <w:rPr>
                <w:rFonts w:hint="eastAsia" w:ascii="宋体" w:cs="宋体"/>
                <w:color w:val="auto"/>
                <w:kern w:val="0"/>
                <w:sz w:val="24"/>
                <w:highlight w:val="none"/>
              </w:rPr>
              <w:t>员工总人数</w:t>
            </w:r>
          </w:p>
        </w:tc>
        <w:tc>
          <w:tcPr>
            <w:tcW w:w="1292" w:type="dxa"/>
            <w:vAlign w:val="center"/>
          </w:tcPr>
          <w:p w14:paraId="3CE63332">
            <w:pPr>
              <w:autoSpaceDE w:val="0"/>
              <w:autoSpaceDN w:val="0"/>
              <w:jc w:val="center"/>
              <w:rPr>
                <w:color w:val="auto"/>
                <w:kern w:val="0"/>
                <w:sz w:val="24"/>
                <w:highlight w:val="none"/>
              </w:rPr>
            </w:pPr>
          </w:p>
        </w:tc>
      </w:tr>
      <w:tr w14:paraId="64948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2079" w:type="dxa"/>
            <w:vAlign w:val="center"/>
          </w:tcPr>
          <w:p w14:paraId="02FB2C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注册资本</w:t>
            </w:r>
          </w:p>
        </w:tc>
        <w:tc>
          <w:tcPr>
            <w:tcW w:w="3492" w:type="dxa"/>
            <w:gridSpan w:val="4"/>
            <w:vAlign w:val="center"/>
          </w:tcPr>
          <w:p w14:paraId="1D9AA782">
            <w:pPr>
              <w:autoSpaceDE w:val="0"/>
              <w:autoSpaceDN w:val="0"/>
              <w:jc w:val="center"/>
              <w:rPr>
                <w:color w:val="auto"/>
                <w:kern w:val="0"/>
                <w:sz w:val="24"/>
                <w:highlight w:val="none"/>
              </w:rPr>
            </w:pPr>
          </w:p>
        </w:tc>
        <w:tc>
          <w:tcPr>
            <w:tcW w:w="337" w:type="dxa"/>
            <w:gridSpan w:val="2"/>
            <w:vMerge w:val="restart"/>
            <w:vAlign w:val="center"/>
          </w:tcPr>
          <w:p w14:paraId="21C67743">
            <w:pPr>
              <w:autoSpaceDE w:val="0"/>
              <w:autoSpaceDN w:val="0"/>
              <w:jc w:val="center"/>
              <w:rPr>
                <w:color w:val="auto"/>
                <w:kern w:val="0"/>
                <w:sz w:val="24"/>
                <w:highlight w:val="none"/>
              </w:rPr>
            </w:pPr>
            <w:r>
              <w:rPr>
                <w:rFonts w:hint="eastAsia" w:ascii="宋体" w:cs="宋体"/>
                <w:color w:val="auto"/>
                <w:kern w:val="0"/>
                <w:sz w:val="24"/>
                <w:highlight w:val="none"/>
              </w:rPr>
              <w:t>其中</w:t>
            </w:r>
          </w:p>
        </w:tc>
        <w:tc>
          <w:tcPr>
            <w:tcW w:w="1640" w:type="dxa"/>
            <w:gridSpan w:val="4"/>
            <w:vAlign w:val="center"/>
          </w:tcPr>
          <w:p w14:paraId="5D639B0F">
            <w:pPr>
              <w:jc w:val="left"/>
              <w:rPr>
                <w:rFonts w:ascii="宋体" w:cs="宋体"/>
                <w:color w:val="auto"/>
                <w:kern w:val="0"/>
                <w:sz w:val="24"/>
                <w:highlight w:val="none"/>
              </w:rPr>
            </w:pPr>
            <w:r>
              <w:rPr>
                <w:rFonts w:hint="eastAsia" w:ascii="宋体" w:cs="宋体"/>
                <w:color w:val="auto"/>
                <w:kern w:val="0"/>
                <w:sz w:val="24"/>
                <w:highlight w:val="none"/>
              </w:rPr>
              <w:t>高级职称人员</w:t>
            </w:r>
          </w:p>
        </w:tc>
        <w:tc>
          <w:tcPr>
            <w:tcW w:w="1292" w:type="dxa"/>
            <w:vAlign w:val="center"/>
          </w:tcPr>
          <w:p w14:paraId="541F3F6B">
            <w:pPr>
              <w:autoSpaceDE w:val="0"/>
              <w:autoSpaceDN w:val="0"/>
              <w:jc w:val="center"/>
              <w:rPr>
                <w:color w:val="auto"/>
                <w:kern w:val="0"/>
                <w:sz w:val="24"/>
                <w:highlight w:val="none"/>
              </w:rPr>
            </w:pPr>
          </w:p>
        </w:tc>
      </w:tr>
      <w:tr w14:paraId="2E4CE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4534C7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成立日期</w:t>
            </w:r>
          </w:p>
        </w:tc>
        <w:tc>
          <w:tcPr>
            <w:tcW w:w="3492" w:type="dxa"/>
            <w:gridSpan w:val="4"/>
            <w:vAlign w:val="center"/>
          </w:tcPr>
          <w:p w14:paraId="281CC583">
            <w:pPr>
              <w:autoSpaceDE w:val="0"/>
              <w:autoSpaceDN w:val="0"/>
              <w:jc w:val="center"/>
              <w:rPr>
                <w:rFonts w:ascii="宋体" w:cs="宋体"/>
                <w:color w:val="auto"/>
                <w:kern w:val="0"/>
                <w:sz w:val="24"/>
                <w:highlight w:val="none"/>
              </w:rPr>
            </w:pPr>
          </w:p>
        </w:tc>
        <w:tc>
          <w:tcPr>
            <w:tcW w:w="337" w:type="dxa"/>
            <w:gridSpan w:val="2"/>
            <w:vMerge w:val="continue"/>
            <w:vAlign w:val="center"/>
          </w:tcPr>
          <w:p w14:paraId="50D9CF47">
            <w:pPr>
              <w:autoSpaceDE w:val="0"/>
              <w:autoSpaceDN w:val="0"/>
              <w:jc w:val="center"/>
              <w:rPr>
                <w:color w:val="auto"/>
                <w:kern w:val="0"/>
                <w:sz w:val="24"/>
                <w:highlight w:val="none"/>
              </w:rPr>
            </w:pPr>
          </w:p>
        </w:tc>
        <w:tc>
          <w:tcPr>
            <w:tcW w:w="1640" w:type="dxa"/>
            <w:gridSpan w:val="4"/>
            <w:vAlign w:val="center"/>
          </w:tcPr>
          <w:p w14:paraId="66FD6A5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中级职称人员</w:t>
            </w:r>
          </w:p>
        </w:tc>
        <w:tc>
          <w:tcPr>
            <w:tcW w:w="1292" w:type="dxa"/>
            <w:vAlign w:val="center"/>
          </w:tcPr>
          <w:p w14:paraId="0932A418">
            <w:pPr>
              <w:autoSpaceDE w:val="0"/>
              <w:autoSpaceDN w:val="0"/>
              <w:jc w:val="center"/>
              <w:rPr>
                <w:color w:val="auto"/>
                <w:kern w:val="0"/>
                <w:sz w:val="24"/>
                <w:highlight w:val="none"/>
              </w:rPr>
            </w:pPr>
          </w:p>
        </w:tc>
      </w:tr>
      <w:tr w14:paraId="71AAB7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0FB3434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基本账户开户银行</w:t>
            </w:r>
          </w:p>
        </w:tc>
        <w:tc>
          <w:tcPr>
            <w:tcW w:w="3492" w:type="dxa"/>
            <w:gridSpan w:val="4"/>
            <w:vAlign w:val="center"/>
          </w:tcPr>
          <w:p w14:paraId="73BB54BA">
            <w:pPr>
              <w:autoSpaceDE w:val="0"/>
              <w:autoSpaceDN w:val="0"/>
              <w:jc w:val="center"/>
              <w:rPr>
                <w:color w:val="auto"/>
                <w:kern w:val="0"/>
                <w:sz w:val="24"/>
                <w:highlight w:val="none"/>
              </w:rPr>
            </w:pPr>
          </w:p>
        </w:tc>
        <w:tc>
          <w:tcPr>
            <w:tcW w:w="337" w:type="dxa"/>
            <w:gridSpan w:val="2"/>
            <w:vMerge w:val="continue"/>
            <w:vAlign w:val="center"/>
          </w:tcPr>
          <w:p w14:paraId="6DD3B3AE">
            <w:pPr>
              <w:autoSpaceDE w:val="0"/>
              <w:autoSpaceDN w:val="0"/>
              <w:jc w:val="center"/>
              <w:rPr>
                <w:color w:val="auto"/>
                <w:kern w:val="0"/>
                <w:sz w:val="24"/>
                <w:highlight w:val="none"/>
              </w:rPr>
            </w:pPr>
          </w:p>
        </w:tc>
        <w:tc>
          <w:tcPr>
            <w:tcW w:w="1640" w:type="dxa"/>
            <w:gridSpan w:val="4"/>
            <w:vAlign w:val="center"/>
          </w:tcPr>
          <w:p w14:paraId="2292DDA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技术人员数量</w:t>
            </w:r>
          </w:p>
        </w:tc>
        <w:tc>
          <w:tcPr>
            <w:tcW w:w="1292" w:type="dxa"/>
            <w:vAlign w:val="center"/>
          </w:tcPr>
          <w:p w14:paraId="60B50C1F">
            <w:pPr>
              <w:autoSpaceDE w:val="0"/>
              <w:autoSpaceDN w:val="0"/>
              <w:jc w:val="center"/>
              <w:rPr>
                <w:color w:val="auto"/>
                <w:kern w:val="0"/>
                <w:sz w:val="24"/>
                <w:highlight w:val="none"/>
              </w:rPr>
            </w:pPr>
          </w:p>
        </w:tc>
      </w:tr>
      <w:tr w14:paraId="7C282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34874ED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基本账户银行账号</w:t>
            </w:r>
          </w:p>
        </w:tc>
        <w:tc>
          <w:tcPr>
            <w:tcW w:w="3492" w:type="dxa"/>
            <w:gridSpan w:val="4"/>
            <w:vAlign w:val="center"/>
          </w:tcPr>
          <w:p w14:paraId="24141EC9">
            <w:pPr>
              <w:autoSpaceDE w:val="0"/>
              <w:autoSpaceDN w:val="0"/>
              <w:jc w:val="center"/>
              <w:rPr>
                <w:color w:val="auto"/>
                <w:kern w:val="0"/>
                <w:sz w:val="24"/>
                <w:highlight w:val="none"/>
              </w:rPr>
            </w:pPr>
          </w:p>
        </w:tc>
        <w:tc>
          <w:tcPr>
            <w:tcW w:w="337" w:type="dxa"/>
            <w:gridSpan w:val="2"/>
            <w:vMerge w:val="continue"/>
            <w:vAlign w:val="center"/>
          </w:tcPr>
          <w:p w14:paraId="1E93DFFA">
            <w:pPr>
              <w:autoSpaceDE w:val="0"/>
              <w:autoSpaceDN w:val="0"/>
              <w:jc w:val="center"/>
              <w:rPr>
                <w:color w:val="auto"/>
                <w:kern w:val="0"/>
                <w:sz w:val="24"/>
                <w:highlight w:val="none"/>
              </w:rPr>
            </w:pPr>
          </w:p>
        </w:tc>
        <w:tc>
          <w:tcPr>
            <w:tcW w:w="1640" w:type="dxa"/>
            <w:gridSpan w:val="4"/>
            <w:vAlign w:val="center"/>
          </w:tcPr>
          <w:p w14:paraId="0F933A1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各类注册人员</w:t>
            </w:r>
          </w:p>
        </w:tc>
        <w:tc>
          <w:tcPr>
            <w:tcW w:w="1292" w:type="dxa"/>
            <w:vAlign w:val="center"/>
          </w:tcPr>
          <w:p w14:paraId="7A5EF026">
            <w:pPr>
              <w:autoSpaceDE w:val="0"/>
              <w:autoSpaceDN w:val="0"/>
              <w:jc w:val="center"/>
              <w:rPr>
                <w:color w:val="auto"/>
                <w:kern w:val="0"/>
                <w:sz w:val="24"/>
                <w:highlight w:val="none"/>
              </w:rPr>
            </w:pPr>
          </w:p>
        </w:tc>
      </w:tr>
      <w:tr w14:paraId="2ADFF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732" w:hRule="atLeast"/>
        </w:trPr>
        <w:tc>
          <w:tcPr>
            <w:tcW w:w="2079" w:type="dxa"/>
            <w:vAlign w:val="center"/>
          </w:tcPr>
          <w:p w14:paraId="6ED9693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经营范围</w:t>
            </w:r>
          </w:p>
        </w:tc>
        <w:tc>
          <w:tcPr>
            <w:tcW w:w="6761" w:type="dxa"/>
            <w:gridSpan w:val="11"/>
            <w:vAlign w:val="center"/>
          </w:tcPr>
          <w:p w14:paraId="4561ED06">
            <w:pPr>
              <w:autoSpaceDE w:val="0"/>
              <w:autoSpaceDN w:val="0"/>
              <w:jc w:val="center"/>
              <w:rPr>
                <w:color w:val="auto"/>
                <w:kern w:val="0"/>
                <w:sz w:val="24"/>
                <w:highlight w:val="none"/>
              </w:rPr>
            </w:pPr>
          </w:p>
        </w:tc>
      </w:tr>
      <w:tr w14:paraId="6D82B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2045" w:hRule="atLeast"/>
        </w:trPr>
        <w:tc>
          <w:tcPr>
            <w:tcW w:w="2079" w:type="dxa"/>
            <w:vAlign w:val="center"/>
          </w:tcPr>
          <w:p w14:paraId="27ACC0F1">
            <w:pPr>
              <w:autoSpaceDE w:val="0"/>
              <w:autoSpaceDN w:val="0"/>
              <w:jc w:val="center"/>
              <w:rPr>
                <w:color w:val="auto"/>
                <w:highlight w:val="none"/>
              </w:rPr>
            </w:pPr>
            <w:r>
              <w:rPr>
                <w:rFonts w:hint="eastAsia" w:ascii="宋体" w:cs="宋体"/>
                <w:color w:val="auto"/>
                <w:kern w:val="0"/>
                <w:sz w:val="24"/>
                <w:highlight w:val="none"/>
              </w:rPr>
              <w:t>投标人关联企业情况（包括但不限于与投标人法定代表人为同一人或者存在控股、管理关系的不同单位）</w:t>
            </w:r>
          </w:p>
        </w:tc>
        <w:tc>
          <w:tcPr>
            <w:tcW w:w="6761" w:type="dxa"/>
            <w:gridSpan w:val="11"/>
            <w:vAlign w:val="center"/>
          </w:tcPr>
          <w:p w14:paraId="444C559A">
            <w:pPr>
              <w:autoSpaceDE w:val="0"/>
              <w:autoSpaceDN w:val="0"/>
              <w:jc w:val="center"/>
              <w:rPr>
                <w:color w:val="auto"/>
                <w:kern w:val="0"/>
                <w:sz w:val="24"/>
                <w:highlight w:val="none"/>
              </w:rPr>
            </w:pPr>
          </w:p>
        </w:tc>
      </w:tr>
      <w:tr w14:paraId="3C05F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640" w:hRule="atLeast"/>
        </w:trPr>
        <w:tc>
          <w:tcPr>
            <w:tcW w:w="2079" w:type="dxa"/>
            <w:vAlign w:val="center"/>
          </w:tcPr>
          <w:p w14:paraId="44104A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761" w:type="dxa"/>
            <w:gridSpan w:val="11"/>
            <w:vAlign w:val="center"/>
          </w:tcPr>
          <w:p w14:paraId="73EB2D9A">
            <w:pPr>
              <w:autoSpaceDE w:val="0"/>
              <w:autoSpaceDN w:val="0"/>
              <w:jc w:val="center"/>
              <w:rPr>
                <w:color w:val="auto"/>
                <w:kern w:val="0"/>
                <w:sz w:val="24"/>
                <w:highlight w:val="none"/>
              </w:rPr>
            </w:pPr>
          </w:p>
        </w:tc>
      </w:tr>
    </w:tbl>
    <w:p w14:paraId="45EAD322">
      <w:pPr>
        <w:autoSpaceDE w:val="0"/>
        <w:autoSpaceDN w:val="0"/>
        <w:adjustRightInd w:val="0"/>
        <w:spacing w:line="160" w:lineRule="exact"/>
        <w:jc w:val="left"/>
        <w:rPr>
          <w:color w:val="auto"/>
          <w:kern w:val="0"/>
          <w:sz w:val="24"/>
          <w:highlight w:val="none"/>
        </w:rPr>
      </w:pPr>
    </w:p>
    <w:p w14:paraId="5B64D824">
      <w:pPr>
        <w:pStyle w:val="35"/>
        <w:snapToGrid w:val="0"/>
        <w:ind w:left="359" w:hanging="359" w:hangingChars="171"/>
        <w:rPr>
          <w:rFonts w:hint="default" w:hAnsi="宋体" w:cs="仿宋"/>
          <w:color w:val="auto"/>
          <w:sz w:val="21"/>
          <w:szCs w:val="21"/>
          <w:highlight w:val="none"/>
        </w:rPr>
      </w:pPr>
      <w:r>
        <w:rPr>
          <w:rFonts w:hAnsi="宋体" w:cs="仿宋"/>
          <w:color w:val="auto"/>
          <w:sz w:val="21"/>
          <w:szCs w:val="21"/>
          <w:highlight w:val="none"/>
        </w:rPr>
        <w:t>注:在本表后应附企业法人</w:t>
      </w:r>
      <w:r>
        <w:rPr>
          <w:rFonts w:hAnsi="宋体" w:cs="仿宋"/>
          <w:b/>
          <w:bCs/>
          <w:color w:val="auto"/>
          <w:sz w:val="21"/>
          <w:szCs w:val="21"/>
          <w:highlight w:val="none"/>
        </w:rPr>
        <w:t>营业执照</w:t>
      </w:r>
      <w:r>
        <w:rPr>
          <w:rFonts w:hAnsi="宋体" w:cs="仿宋"/>
          <w:color w:val="auto"/>
          <w:sz w:val="21"/>
          <w:szCs w:val="21"/>
          <w:highlight w:val="none"/>
        </w:rPr>
        <w:t>副本或事业单位法人证书、</w:t>
      </w:r>
      <w:r>
        <w:rPr>
          <w:rFonts w:hAnsi="宋体" w:cs="仿宋"/>
          <w:b/>
          <w:bCs/>
          <w:color w:val="auto"/>
          <w:sz w:val="21"/>
          <w:szCs w:val="21"/>
          <w:highlight w:val="none"/>
        </w:rPr>
        <w:t>资质证书</w:t>
      </w:r>
      <w:r>
        <w:rPr>
          <w:rFonts w:hAnsi="宋体" w:cs="仿宋"/>
          <w:color w:val="auto"/>
          <w:sz w:val="21"/>
          <w:szCs w:val="21"/>
          <w:highlight w:val="none"/>
        </w:rPr>
        <w:t>、质量保证体系认证证书等的原件扫描件及</w:t>
      </w:r>
      <w:r>
        <w:rPr>
          <w:rFonts w:hAnsi="宋体" w:cs="仿宋"/>
          <w:b/>
          <w:bCs/>
          <w:color w:val="auto"/>
          <w:sz w:val="21"/>
          <w:szCs w:val="21"/>
          <w:highlight w:val="none"/>
        </w:rPr>
        <w:t>基本账户开户许可证明</w:t>
      </w:r>
      <w:r>
        <w:rPr>
          <w:rFonts w:hAnsi="宋体" w:cs="仿宋"/>
          <w:color w:val="auto"/>
          <w:sz w:val="21"/>
          <w:szCs w:val="21"/>
          <w:highlight w:val="none"/>
        </w:rPr>
        <w:t>的清晰可辨的原件扫描件。上述所有执照、证书扫描件均应</w:t>
      </w:r>
      <w:r>
        <w:rPr>
          <w:rFonts w:hAnsi="宋体" w:cs="仿宋"/>
          <w:b/>
          <w:bCs/>
          <w:color w:val="auto"/>
          <w:sz w:val="21"/>
          <w:szCs w:val="21"/>
          <w:highlight w:val="none"/>
        </w:rPr>
        <w:t>加盖投供应商单位公章</w:t>
      </w:r>
      <w:r>
        <w:rPr>
          <w:rFonts w:hAnsi="宋体" w:cs="仿宋"/>
          <w:color w:val="auto"/>
          <w:sz w:val="21"/>
          <w:szCs w:val="21"/>
          <w:highlight w:val="none"/>
        </w:rPr>
        <w:t>。</w:t>
      </w:r>
    </w:p>
    <w:p w14:paraId="372559D0">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5E6BFB98">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74465F0">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4E2F96AE">
      <w:pPr>
        <w:snapToGrid w:val="0"/>
        <w:ind w:left="482"/>
        <w:rPr>
          <w:rFonts w:ascii="宋体" w:hAnsi="宋体"/>
          <w:b/>
          <w:bCs/>
          <w:color w:val="auto"/>
          <w:sz w:val="24"/>
          <w:highlight w:val="none"/>
        </w:rPr>
      </w:pPr>
      <w:r>
        <w:rPr>
          <w:rFonts w:hint="eastAsia" w:ascii="宋体" w:hAnsi="宋体"/>
          <w:b/>
          <w:bCs/>
          <w:color w:val="auto"/>
          <w:sz w:val="24"/>
          <w:highlight w:val="none"/>
        </w:rPr>
        <w:br w:type="page"/>
      </w:r>
    </w:p>
    <w:p w14:paraId="008F7443">
      <w:pPr>
        <w:pStyle w:val="19"/>
        <w:snapToGrid w:val="0"/>
        <w:ind w:left="482" w:hanging="482"/>
        <w:rPr>
          <w:rFonts w:ascii="宋体" w:hAnsi="宋体"/>
          <w:b/>
          <w:bCs/>
          <w:color w:val="auto"/>
          <w:sz w:val="24"/>
          <w:highlight w:val="none"/>
        </w:rPr>
      </w:pPr>
    </w:p>
    <w:p w14:paraId="02F4208F">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（二）近年的业绩证明文件</w:t>
      </w:r>
    </w:p>
    <w:p w14:paraId="588FD340">
      <w:pPr>
        <w:jc w:val="center"/>
        <w:outlineLvl w:val="3"/>
        <w:rPr>
          <w:rFonts w:ascii="黑体" w:hAnsi="宋体" w:eastAsia="黑体"/>
          <w:b/>
          <w:bCs/>
          <w:color w:val="auto"/>
          <w:sz w:val="24"/>
          <w:highlight w:val="none"/>
        </w:rPr>
      </w:pPr>
      <w:r>
        <w:rPr>
          <w:rFonts w:hint="eastAsia" w:ascii="黑体" w:hAnsi="宋体" w:eastAsia="黑体"/>
          <w:b/>
          <w:bCs/>
          <w:color w:val="auto"/>
          <w:sz w:val="24"/>
          <w:highlight w:val="none"/>
        </w:rPr>
        <w:t xml:space="preserve">1.近 </w:t>
      </w:r>
      <w:r>
        <w:rPr>
          <w:rFonts w:hint="eastAsia" w:ascii="黑体" w:hAnsi="宋体" w:eastAsia="黑体"/>
          <w:b/>
          <w:bCs/>
          <w:color w:val="auto"/>
          <w:sz w:val="24"/>
          <w:highlight w:val="none"/>
          <w:lang w:val="en-US" w:eastAsia="zh-CN"/>
        </w:rPr>
        <w:t>5</w:t>
      </w:r>
      <w:r>
        <w:rPr>
          <w:rFonts w:hint="eastAsia" w:ascii="黑体" w:hAnsi="宋体" w:eastAsia="黑体"/>
          <w:b/>
          <w:bCs/>
          <w:color w:val="auto"/>
          <w:sz w:val="24"/>
          <w:highlight w:val="none"/>
        </w:rPr>
        <w:t xml:space="preserve"> 年</w:t>
      </w:r>
      <w:r>
        <w:rPr>
          <w:rFonts w:ascii="黑体" w:hAnsi="宋体" w:eastAsia="黑体"/>
          <w:b/>
          <w:bCs/>
          <w:color w:val="auto"/>
          <w:sz w:val="24"/>
          <w:highlight w:val="none"/>
        </w:rPr>
        <w:t>类似项目情况汇总表</w:t>
      </w:r>
    </w:p>
    <w:tbl>
      <w:tblPr>
        <w:tblStyle w:val="24"/>
        <w:tblW w:w="0" w:type="auto"/>
        <w:tblInd w:w="0" w:type="dxa"/>
        <w:tblLayout w:type="fixed"/>
        <w:tblCellMar>
          <w:top w:w="0" w:type="dxa"/>
          <w:left w:w="0" w:type="dxa"/>
          <w:bottom w:w="0" w:type="dxa"/>
          <w:right w:w="0" w:type="dxa"/>
        </w:tblCellMar>
      </w:tblPr>
      <w:tblGrid>
        <w:gridCol w:w="1437"/>
        <w:gridCol w:w="1430"/>
        <w:gridCol w:w="2516"/>
        <w:gridCol w:w="2330"/>
        <w:gridCol w:w="1387"/>
      </w:tblGrid>
      <w:tr w14:paraId="588A92D9">
        <w:tblPrEx>
          <w:tblCellMar>
            <w:top w:w="0" w:type="dxa"/>
            <w:left w:w="0" w:type="dxa"/>
            <w:bottom w:w="0" w:type="dxa"/>
            <w:right w:w="0" w:type="dxa"/>
          </w:tblCellMar>
        </w:tblPrEx>
        <w:trPr>
          <w:trHeight w:val="561" w:hRule="atLeast"/>
        </w:trPr>
        <w:tc>
          <w:tcPr>
            <w:tcW w:w="1437" w:type="dxa"/>
            <w:tcBorders>
              <w:top w:val="single" w:color="auto" w:sz="12" w:space="0"/>
              <w:left w:val="single" w:color="auto" w:sz="12" w:space="0"/>
              <w:bottom w:val="single" w:color="auto" w:sz="8" w:space="0"/>
              <w:right w:val="single" w:color="auto" w:sz="8" w:space="0"/>
            </w:tcBorders>
            <w:vAlign w:val="center"/>
          </w:tcPr>
          <w:p w14:paraId="13BCE5D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1430" w:type="dxa"/>
            <w:tcBorders>
              <w:top w:val="single" w:color="auto" w:sz="12" w:space="0"/>
              <w:left w:val="single" w:color="auto" w:sz="8" w:space="0"/>
              <w:bottom w:val="single" w:color="auto" w:sz="8" w:space="0"/>
              <w:right w:val="single" w:color="auto" w:sz="8" w:space="0"/>
            </w:tcBorders>
            <w:vAlign w:val="center"/>
          </w:tcPr>
          <w:p w14:paraId="72728FD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起讫时间</w:t>
            </w:r>
          </w:p>
        </w:tc>
        <w:tc>
          <w:tcPr>
            <w:tcW w:w="2516" w:type="dxa"/>
            <w:tcBorders>
              <w:top w:val="single" w:color="auto" w:sz="12" w:space="0"/>
              <w:left w:val="single" w:color="auto" w:sz="8" w:space="0"/>
              <w:bottom w:val="single" w:color="auto" w:sz="8" w:space="0"/>
              <w:right w:val="single" w:color="auto" w:sz="8" w:space="0"/>
            </w:tcBorders>
            <w:vAlign w:val="center"/>
          </w:tcPr>
          <w:p w14:paraId="6B1AC1F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w:t>
            </w:r>
          </w:p>
        </w:tc>
        <w:tc>
          <w:tcPr>
            <w:tcW w:w="2330" w:type="dxa"/>
            <w:tcBorders>
              <w:top w:val="single" w:color="auto" w:sz="12" w:space="0"/>
              <w:left w:val="single" w:color="auto" w:sz="8" w:space="0"/>
              <w:bottom w:val="single" w:color="auto" w:sz="8" w:space="0"/>
              <w:right w:val="single" w:color="auto" w:sz="8" w:space="0"/>
            </w:tcBorders>
            <w:vAlign w:val="center"/>
          </w:tcPr>
          <w:p w14:paraId="4A1C49A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完成情况</w:t>
            </w:r>
          </w:p>
        </w:tc>
        <w:tc>
          <w:tcPr>
            <w:tcW w:w="1387" w:type="dxa"/>
            <w:tcBorders>
              <w:top w:val="single" w:color="auto" w:sz="12" w:space="0"/>
              <w:left w:val="single" w:color="auto" w:sz="8" w:space="0"/>
              <w:bottom w:val="single" w:color="auto" w:sz="8" w:space="0"/>
              <w:right w:val="single" w:color="auto" w:sz="12" w:space="0"/>
            </w:tcBorders>
            <w:vAlign w:val="center"/>
          </w:tcPr>
          <w:p w14:paraId="0F0173B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r>
      <w:tr w14:paraId="297D3ADB">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7FC4C37">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254A9B90">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724BD3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7F9BEF1D">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6CDFD1A5">
            <w:pPr>
              <w:autoSpaceDE w:val="0"/>
              <w:autoSpaceDN w:val="0"/>
              <w:rPr>
                <w:color w:val="auto"/>
                <w:kern w:val="0"/>
                <w:sz w:val="24"/>
                <w:highlight w:val="none"/>
              </w:rPr>
            </w:pPr>
          </w:p>
        </w:tc>
      </w:tr>
      <w:tr w14:paraId="1CF3FEC9">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3C1CA4D">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1CA7D9E">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4E64D2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EB1538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A0CCDEA">
            <w:pPr>
              <w:autoSpaceDE w:val="0"/>
              <w:autoSpaceDN w:val="0"/>
              <w:rPr>
                <w:color w:val="auto"/>
                <w:kern w:val="0"/>
                <w:sz w:val="24"/>
                <w:highlight w:val="none"/>
              </w:rPr>
            </w:pPr>
          </w:p>
        </w:tc>
      </w:tr>
      <w:tr w14:paraId="429AE0E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42ADDFC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2542736">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4766861">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12DFA7D1">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2D390D30">
            <w:pPr>
              <w:autoSpaceDE w:val="0"/>
              <w:autoSpaceDN w:val="0"/>
              <w:rPr>
                <w:color w:val="auto"/>
                <w:kern w:val="0"/>
                <w:sz w:val="24"/>
                <w:highlight w:val="none"/>
              </w:rPr>
            </w:pPr>
          </w:p>
        </w:tc>
      </w:tr>
      <w:tr w14:paraId="095FD209">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3C19706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9DEAC2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74D154A">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640D951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4702BB">
            <w:pPr>
              <w:autoSpaceDE w:val="0"/>
              <w:autoSpaceDN w:val="0"/>
              <w:rPr>
                <w:color w:val="auto"/>
                <w:kern w:val="0"/>
                <w:sz w:val="24"/>
                <w:highlight w:val="none"/>
              </w:rPr>
            </w:pPr>
          </w:p>
        </w:tc>
      </w:tr>
      <w:tr w14:paraId="44A8CAC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BBB9FD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3576CB1">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6BDFC29D">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6033D02">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78A0D2">
            <w:pPr>
              <w:autoSpaceDE w:val="0"/>
              <w:autoSpaceDN w:val="0"/>
              <w:rPr>
                <w:color w:val="auto"/>
                <w:kern w:val="0"/>
                <w:sz w:val="24"/>
                <w:highlight w:val="none"/>
              </w:rPr>
            </w:pPr>
          </w:p>
        </w:tc>
      </w:tr>
      <w:tr w14:paraId="10076D8E">
        <w:tblPrEx>
          <w:tblCellMar>
            <w:top w:w="0" w:type="dxa"/>
            <w:left w:w="0" w:type="dxa"/>
            <w:bottom w:w="0" w:type="dxa"/>
            <w:right w:w="0" w:type="dxa"/>
          </w:tblCellMar>
        </w:tblPrEx>
        <w:trPr>
          <w:trHeight w:val="780" w:hRule="atLeast"/>
        </w:trPr>
        <w:tc>
          <w:tcPr>
            <w:tcW w:w="1437" w:type="dxa"/>
            <w:tcBorders>
              <w:top w:val="single" w:color="auto" w:sz="8" w:space="0"/>
              <w:left w:val="single" w:color="auto" w:sz="12" w:space="0"/>
              <w:bottom w:val="single" w:color="auto" w:sz="8" w:space="0"/>
              <w:right w:val="single" w:color="auto" w:sz="8" w:space="0"/>
            </w:tcBorders>
          </w:tcPr>
          <w:p w14:paraId="79AFE8F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BDB347F">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0D783">
            <w:pPr>
              <w:autoSpaceDE w:val="0"/>
              <w:autoSpaceDN w:val="0"/>
              <w:rPr>
                <w:rFonts w:ascii="宋体" w:cs="宋体"/>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4BDB086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E469EB">
            <w:pPr>
              <w:autoSpaceDE w:val="0"/>
              <w:autoSpaceDN w:val="0"/>
              <w:rPr>
                <w:color w:val="auto"/>
                <w:kern w:val="0"/>
                <w:sz w:val="24"/>
                <w:highlight w:val="none"/>
              </w:rPr>
            </w:pPr>
          </w:p>
        </w:tc>
      </w:tr>
      <w:tr w14:paraId="0DFBD74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575B656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36A3D559">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18B6234">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16E73A">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82F812">
            <w:pPr>
              <w:autoSpaceDE w:val="0"/>
              <w:autoSpaceDN w:val="0"/>
              <w:rPr>
                <w:color w:val="auto"/>
                <w:kern w:val="0"/>
                <w:sz w:val="24"/>
                <w:highlight w:val="none"/>
              </w:rPr>
            </w:pPr>
          </w:p>
        </w:tc>
      </w:tr>
      <w:tr w14:paraId="66C62E4D">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6E89CC7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1196F89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D7E1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04A7E11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39295B3F">
            <w:pPr>
              <w:autoSpaceDE w:val="0"/>
              <w:autoSpaceDN w:val="0"/>
              <w:rPr>
                <w:color w:val="auto"/>
                <w:kern w:val="0"/>
                <w:sz w:val="24"/>
                <w:highlight w:val="none"/>
              </w:rPr>
            </w:pPr>
          </w:p>
        </w:tc>
      </w:tr>
      <w:tr w14:paraId="5CF4947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3DFF5DA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86371DD">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7B83CDB">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488F0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DFA6EEF">
            <w:pPr>
              <w:autoSpaceDE w:val="0"/>
              <w:autoSpaceDN w:val="0"/>
              <w:rPr>
                <w:color w:val="auto"/>
                <w:kern w:val="0"/>
                <w:sz w:val="24"/>
                <w:highlight w:val="none"/>
              </w:rPr>
            </w:pPr>
          </w:p>
        </w:tc>
      </w:tr>
      <w:tr w14:paraId="79A206C5">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6F56771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AA476AA">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DE23D1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FB52BE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91A6D1C">
            <w:pPr>
              <w:autoSpaceDE w:val="0"/>
              <w:autoSpaceDN w:val="0"/>
              <w:rPr>
                <w:color w:val="auto"/>
                <w:kern w:val="0"/>
                <w:sz w:val="24"/>
                <w:highlight w:val="none"/>
              </w:rPr>
            </w:pPr>
          </w:p>
        </w:tc>
      </w:tr>
      <w:tr w14:paraId="62155C74">
        <w:tblPrEx>
          <w:tblCellMar>
            <w:top w:w="0" w:type="dxa"/>
            <w:left w:w="0" w:type="dxa"/>
            <w:bottom w:w="0" w:type="dxa"/>
            <w:right w:w="0" w:type="dxa"/>
          </w:tblCellMar>
        </w:tblPrEx>
        <w:trPr>
          <w:trHeight w:val="602" w:hRule="atLeast"/>
        </w:trPr>
        <w:tc>
          <w:tcPr>
            <w:tcW w:w="1437" w:type="dxa"/>
            <w:tcBorders>
              <w:top w:val="single" w:color="auto" w:sz="8" w:space="0"/>
              <w:left w:val="single" w:color="auto" w:sz="12" w:space="0"/>
              <w:bottom w:val="single" w:color="auto" w:sz="12" w:space="0"/>
              <w:right w:val="single" w:color="auto" w:sz="8" w:space="0"/>
            </w:tcBorders>
          </w:tcPr>
          <w:p w14:paraId="17D64671">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12" w:space="0"/>
              <w:right w:val="single" w:color="auto" w:sz="8" w:space="0"/>
            </w:tcBorders>
          </w:tcPr>
          <w:p w14:paraId="03AC6C68">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12" w:space="0"/>
              <w:right w:val="single" w:color="auto" w:sz="8" w:space="0"/>
            </w:tcBorders>
          </w:tcPr>
          <w:p w14:paraId="7B842493">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12" w:space="0"/>
              <w:right w:val="single" w:color="auto" w:sz="8" w:space="0"/>
            </w:tcBorders>
          </w:tcPr>
          <w:p w14:paraId="6C7B3A2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12" w:space="0"/>
              <w:right w:val="single" w:color="auto" w:sz="12" w:space="0"/>
            </w:tcBorders>
          </w:tcPr>
          <w:p w14:paraId="3F24C16E">
            <w:pPr>
              <w:autoSpaceDE w:val="0"/>
              <w:autoSpaceDN w:val="0"/>
              <w:rPr>
                <w:color w:val="auto"/>
                <w:kern w:val="0"/>
                <w:sz w:val="24"/>
                <w:highlight w:val="none"/>
              </w:rPr>
            </w:pPr>
          </w:p>
        </w:tc>
      </w:tr>
    </w:tbl>
    <w:p w14:paraId="0852D63A">
      <w:pPr>
        <w:autoSpaceDE w:val="0"/>
        <w:autoSpaceDN w:val="0"/>
        <w:adjustRightInd w:val="0"/>
        <w:jc w:val="left"/>
        <w:rPr>
          <w:color w:val="auto"/>
          <w:kern w:val="0"/>
          <w:sz w:val="24"/>
          <w:highlight w:val="none"/>
        </w:rPr>
      </w:pPr>
    </w:p>
    <w:p w14:paraId="3C031BA4">
      <w:pPr>
        <w:snapToGrid w:val="0"/>
        <w:spacing w:before="50" w:after="50"/>
        <w:rPr>
          <w:rFonts w:ascii="宋体" w:hAnsi="宋体"/>
          <w:color w:val="auto"/>
          <w:szCs w:val="21"/>
          <w:highlight w:val="none"/>
        </w:rPr>
      </w:pPr>
    </w:p>
    <w:p w14:paraId="32C04C0B">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62DEC56">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3EE8259">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65F00846">
      <w:pPr>
        <w:snapToGrid w:val="0"/>
        <w:spacing w:before="120" w:beforeLines="50" w:after="50"/>
        <w:jc w:val="left"/>
        <w:rPr>
          <w:rFonts w:ascii="宋体" w:hAnsi="宋体"/>
          <w:color w:val="auto"/>
          <w:szCs w:val="21"/>
          <w:highlight w:val="none"/>
        </w:rPr>
      </w:pPr>
    </w:p>
    <w:p w14:paraId="62469DAE">
      <w:pPr>
        <w:snapToGrid w:val="0"/>
        <w:spacing w:before="120" w:beforeLines="50" w:after="50"/>
        <w:jc w:val="left"/>
        <w:rPr>
          <w:rFonts w:ascii="宋体" w:hAnsi="宋体"/>
          <w:color w:val="auto"/>
          <w:szCs w:val="21"/>
          <w:highlight w:val="none"/>
        </w:rPr>
      </w:pPr>
    </w:p>
    <w:p w14:paraId="36026572">
      <w:pPr>
        <w:jc w:val="center"/>
        <w:outlineLvl w:val="3"/>
        <w:rPr>
          <w:rFonts w:ascii="黑体" w:hAnsi="宋体" w:eastAsia="黑体"/>
          <w:color w:val="auto"/>
          <w:sz w:val="24"/>
          <w:highlight w:val="none"/>
        </w:rPr>
      </w:pPr>
      <w:r>
        <w:rPr>
          <w:rFonts w:hint="eastAsia" w:ascii="宋体" w:hAnsi="宋体"/>
          <w:b/>
          <w:color w:val="auto"/>
          <w:sz w:val="24"/>
          <w:highlight w:val="none"/>
        </w:rPr>
        <w:br w:type="page"/>
      </w:r>
      <w:r>
        <w:rPr>
          <w:rFonts w:hint="eastAsia" w:ascii="宋体" w:hAnsi="宋体"/>
          <w:b/>
          <w:color w:val="auto"/>
          <w:sz w:val="24"/>
          <w:highlight w:val="none"/>
        </w:rPr>
        <w:t>2.</w:t>
      </w:r>
      <w:r>
        <w:rPr>
          <w:rFonts w:ascii="黑体" w:hAnsi="宋体" w:eastAsia="黑体"/>
          <w:b/>
          <w:bCs/>
          <w:color w:val="auto"/>
          <w:sz w:val="24"/>
          <w:highlight w:val="none"/>
        </w:rPr>
        <w:t>近</w:t>
      </w:r>
      <w:r>
        <w:rPr>
          <w:rFonts w:hint="eastAsia" w:ascii="黑体" w:hAnsi="宋体" w:eastAsia="黑体"/>
          <w:b/>
          <w:bCs/>
          <w:color w:val="auto"/>
          <w:sz w:val="24"/>
          <w:highlight w:val="none"/>
          <w:lang w:val="en-US" w:eastAsia="zh-CN"/>
        </w:rPr>
        <w:t>5</w:t>
      </w:r>
      <w:r>
        <w:rPr>
          <w:rFonts w:ascii="黑体" w:hAnsi="宋体" w:eastAsia="黑体"/>
          <w:b/>
          <w:bCs/>
          <w:color w:val="auto"/>
          <w:sz w:val="24"/>
          <w:highlight w:val="none"/>
        </w:rPr>
        <w:t xml:space="preserve"> 年类似项目情况详表</w:t>
      </w:r>
    </w:p>
    <w:p w14:paraId="5A0E0A27">
      <w:pPr>
        <w:rPr>
          <w:rFonts w:ascii="黑体" w:hAnsi="宋体" w:eastAsia="黑体"/>
          <w:color w:val="auto"/>
          <w:sz w:val="24"/>
          <w:highlight w:val="none"/>
        </w:rPr>
      </w:pPr>
    </w:p>
    <w:tbl>
      <w:tblPr>
        <w:tblStyle w:val="24"/>
        <w:tblW w:w="0" w:type="auto"/>
        <w:tblInd w:w="0" w:type="dxa"/>
        <w:tblLayout w:type="fixed"/>
        <w:tblCellMar>
          <w:top w:w="0" w:type="dxa"/>
          <w:left w:w="0" w:type="dxa"/>
          <w:bottom w:w="0" w:type="dxa"/>
          <w:right w:w="0" w:type="dxa"/>
        </w:tblCellMar>
      </w:tblPr>
      <w:tblGrid>
        <w:gridCol w:w="2700"/>
        <w:gridCol w:w="6465"/>
      </w:tblGrid>
      <w:tr w14:paraId="284A9F59">
        <w:tblPrEx>
          <w:tblCellMar>
            <w:top w:w="0" w:type="dxa"/>
            <w:left w:w="0" w:type="dxa"/>
            <w:bottom w:w="0" w:type="dxa"/>
            <w:right w:w="0" w:type="dxa"/>
          </w:tblCellMar>
        </w:tblPrEx>
        <w:trPr>
          <w:trHeight w:val="432" w:hRule="atLeast"/>
        </w:trPr>
        <w:tc>
          <w:tcPr>
            <w:tcW w:w="2700" w:type="dxa"/>
            <w:tcBorders>
              <w:top w:val="single" w:color="auto" w:sz="12" w:space="0"/>
              <w:left w:val="single" w:color="auto" w:sz="12" w:space="0"/>
              <w:bottom w:val="single" w:color="auto" w:sz="8" w:space="0"/>
              <w:right w:val="single" w:color="auto" w:sz="8" w:space="0"/>
            </w:tcBorders>
            <w:vAlign w:val="center"/>
          </w:tcPr>
          <w:p w14:paraId="79D8106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6465" w:type="dxa"/>
            <w:tcBorders>
              <w:top w:val="single" w:color="auto" w:sz="12" w:space="0"/>
              <w:left w:val="single" w:color="auto" w:sz="8" w:space="0"/>
              <w:bottom w:val="single" w:color="auto" w:sz="8" w:space="0"/>
              <w:right w:val="single" w:color="auto" w:sz="12" w:space="0"/>
            </w:tcBorders>
          </w:tcPr>
          <w:p w14:paraId="354E00E9">
            <w:pPr>
              <w:autoSpaceDE w:val="0"/>
              <w:autoSpaceDN w:val="0"/>
              <w:rPr>
                <w:color w:val="auto"/>
                <w:kern w:val="0"/>
                <w:sz w:val="24"/>
                <w:highlight w:val="none"/>
              </w:rPr>
            </w:pPr>
          </w:p>
        </w:tc>
      </w:tr>
      <w:tr w14:paraId="70951C0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766017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项目所在地</w:t>
            </w:r>
          </w:p>
        </w:tc>
        <w:tc>
          <w:tcPr>
            <w:tcW w:w="6465" w:type="dxa"/>
            <w:tcBorders>
              <w:top w:val="single" w:color="auto" w:sz="8" w:space="0"/>
              <w:left w:val="single" w:color="auto" w:sz="8" w:space="0"/>
              <w:bottom w:val="single" w:color="auto" w:sz="8" w:space="0"/>
              <w:right w:val="single" w:color="auto" w:sz="12" w:space="0"/>
            </w:tcBorders>
          </w:tcPr>
          <w:p w14:paraId="4F9EA828">
            <w:pPr>
              <w:autoSpaceDE w:val="0"/>
              <w:autoSpaceDN w:val="0"/>
              <w:rPr>
                <w:color w:val="auto"/>
                <w:kern w:val="0"/>
                <w:sz w:val="24"/>
                <w:highlight w:val="none"/>
              </w:rPr>
            </w:pPr>
          </w:p>
        </w:tc>
      </w:tr>
      <w:tr w14:paraId="3E48EE0E">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0FE3549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发包人名称</w:t>
            </w:r>
          </w:p>
        </w:tc>
        <w:tc>
          <w:tcPr>
            <w:tcW w:w="6465" w:type="dxa"/>
            <w:tcBorders>
              <w:top w:val="single" w:color="auto" w:sz="8" w:space="0"/>
              <w:left w:val="single" w:color="auto" w:sz="8" w:space="0"/>
              <w:bottom w:val="single" w:color="auto" w:sz="8" w:space="0"/>
              <w:right w:val="single" w:color="auto" w:sz="12" w:space="0"/>
            </w:tcBorders>
          </w:tcPr>
          <w:p w14:paraId="390F7861">
            <w:pPr>
              <w:autoSpaceDE w:val="0"/>
              <w:autoSpaceDN w:val="0"/>
              <w:rPr>
                <w:color w:val="auto"/>
                <w:kern w:val="0"/>
                <w:sz w:val="24"/>
                <w:highlight w:val="none"/>
              </w:rPr>
            </w:pPr>
          </w:p>
        </w:tc>
      </w:tr>
      <w:tr w14:paraId="4C7FE25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1DE342A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发包人地址</w:t>
            </w:r>
          </w:p>
        </w:tc>
        <w:tc>
          <w:tcPr>
            <w:tcW w:w="6465" w:type="dxa"/>
            <w:tcBorders>
              <w:top w:val="single" w:color="auto" w:sz="8" w:space="0"/>
              <w:left w:val="single" w:color="auto" w:sz="8" w:space="0"/>
              <w:bottom w:val="single" w:color="auto" w:sz="8" w:space="0"/>
              <w:right w:val="single" w:color="auto" w:sz="12" w:space="0"/>
            </w:tcBorders>
          </w:tcPr>
          <w:p w14:paraId="77A35335">
            <w:pPr>
              <w:autoSpaceDE w:val="0"/>
              <w:autoSpaceDN w:val="0"/>
              <w:rPr>
                <w:color w:val="auto"/>
                <w:kern w:val="0"/>
                <w:sz w:val="24"/>
                <w:highlight w:val="none"/>
              </w:rPr>
            </w:pPr>
          </w:p>
        </w:tc>
      </w:tr>
      <w:tr w14:paraId="5253E74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606D539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发包人电话</w:t>
            </w:r>
          </w:p>
        </w:tc>
        <w:tc>
          <w:tcPr>
            <w:tcW w:w="6465" w:type="dxa"/>
            <w:tcBorders>
              <w:top w:val="single" w:color="auto" w:sz="8" w:space="0"/>
              <w:left w:val="single" w:color="auto" w:sz="8" w:space="0"/>
              <w:bottom w:val="single" w:color="auto" w:sz="8" w:space="0"/>
              <w:right w:val="single" w:color="auto" w:sz="12" w:space="0"/>
            </w:tcBorders>
          </w:tcPr>
          <w:p w14:paraId="2D42A198">
            <w:pPr>
              <w:autoSpaceDE w:val="0"/>
              <w:autoSpaceDN w:val="0"/>
              <w:rPr>
                <w:color w:val="auto"/>
                <w:kern w:val="0"/>
                <w:sz w:val="24"/>
                <w:highlight w:val="none"/>
              </w:rPr>
            </w:pPr>
          </w:p>
        </w:tc>
      </w:tr>
      <w:tr w14:paraId="73E77B7A">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5A2611A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项目规模</w:t>
            </w:r>
          </w:p>
        </w:tc>
        <w:tc>
          <w:tcPr>
            <w:tcW w:w="6465" w:type="dxa"/>
            <w:tcBorders>
              <w:top w:val="single" w:color="auto" w:sz="8" w:space="0"/>
              <w:left w:val="single" w:color="auto" w:sz="8" w:space="0"/>
              <w:bottom w:val="single" w:color="auto" w:sz="8" w:space="0"/>
              <w:right w:val="single" w:color="auto" w:sz="12" w:space="0"/>
            </w:tcBorders>
          </w:tcPr>
          <w:p w14:paraId="31665DCB">
            <w:pPr>
              <w:autoSpaceDE w:val="0"/>
              <w:autoSpaceDN w:val="0"/>
              <w:rPr>
                <w:color w:val="auto"/>
                <w:kern w:val="0"/>
                <w:sz w:val="24"/>
                <w:highlight w:val="none"/>
              </w:rPr>
            </w:pPr>
          </w:p>
        </w:tc>
      </w:tr>
      <w:tr w14:paraId="3B867471">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6703137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项目总投资</w:t>
            </w:r>
          </w:p>
        </w:tc>
        <w:tc>
          <w:tcPr>
            <w:tcW w:w="6465" w:type="dxa"/>
            <w:tcBorders>
              <w:top w:val="single" w:color="auto" w:sz="8" w:space="0"/>
              <w:left w:val="single" w:color="auto" w:sz="8" w:space="0"/>
              <w:bottom w:val="single" w:color="auto" w:sz="8" w:space="0"/>
              <w:right w:val="single" w:color="auto" w:sz="12" w:space="0"/>
            </w:tcBorders>
          </w:tcPr>
          <w:p w14:paraId="3AA739B4">
            <w:pPr>
              <w:autoSpaceDE w:val="0"/>
              <w:autoSpaceDN w:val="0"/>
              <w:rPr>
                <w:rFonts w:ascii="宋体" w:cs="宋体"/>
                <w:color w:val="auto"/>
                <w:kern w:val="0"/>
                <w:sz w:val="24"/>
                <w:highlight w:val="none"/>
              </w:rPr>
            </w:pPr>
          </w:p>
        </w:tc>
      </w:tr>
      <w:tr w14:paraId="2CF37D5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46AC53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承担的工作</w:t>
            </w:r>
          </w:p>
        </w:tc>
        <w:tc>
          <w:tcPr>
            <w:tcW w:w="6465" w:type="dxa"/>
            <w:tcBorders>
              <w:top w:val="single" w:color="auto" w:sz="8" w:space="0"/>
              <w:left w:val="single" w:color="auto" w:sz="8" w:space="0"/>
              <w:bottom w:val="single" w:color="auto" w:sz="8" w:space="0"/>
              <w:right w:val="single" w:color="auto" w:sz="12" w:space="0"/>
            </w:tcBorders>
          </w:tcPr>
          <w:p w14:paraId="3392345D">
            <w:pPr>
              <w:autoSpaceDE w:val="0"/>
              <w:autoSpaceDN w:val="0"/>
              <w:rPr>
                <w:color w:val="auto"/>
                <w:kern w:val="0"/>
                <w:sz w:val="24"/>
                <w:highlight w:val="none"/>
              </w:rPr>
            </w:pPr>
          </w:p>
        </w:tc>
      </w:tr>
      <w:tr w14:paraId="5CE2B5E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69ED02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工期</w:t>
            </w:r>
          </w:p>
        </w:tc>
        <w:tc>
          <w:tcPr>
            <w:tcW w:w="6465" w:type="dxa"/>
            <w:tcBorders>
              <w:top w:val="single" w:color="auto" w:sz="8" w:space="0"/>
              <w:left w:val="single" w:color="auto" w:sz="8" w:space="0"/>
              <w:bottom w:val="single" w:color="auto" w:sz="8" w:space="0"/>
              <w:right w:val="single" w:color="auto" w:sz="12" w:space="0"/>
            </w:tcBorders>
          </w:tcPr>
          <w:p w14:paraId="4362EE0C">
            <w:pPr>
              <w:autoSpaceDE w:val="0"/>
              <w:autoSpaceDN w:val="0"/>
              <w:rPr>
                <w:color w:val="auto"/>
                <w:kern w:val="0"/>
                <w:sz w:val="24"/>
                <w:highlight w:val="none"/>
              </w:rPr>
            </w:pPr>
          </w:p>
        </w:tc>
      </w:tr>
      <w:tr w14:paraId="1C5A08CD">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78AB98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项目负责人</w:t>
            </w:r>
          </w:p>
        </w:tc>
        <w:tc>
          <w:tcPr>
            <w:tcW w:w="6465" w:type="dxa"/>
            <w:tcBorders>
              <w:top w:val="single" w:color="auto" w:sz="8" w:space="0"/>
              <w:left w:val="single" w:color="auto" w:sz="8" w:space="0"/>
              <w:bottom w:val="single" w:color="auto" w:sz="8" w:space="0"/>
              <w:right w:val="single" w:color="auto" w:sz="12" w:space="0"/>
            </w:tcBorders>
          </w:tcPr>
          <w:p w14:paraId="159F0760">
            <w:pPr>
              <w:autoSpaceDE w:val="0"/>
              <w:autoSpaceDN w:val="0"/>
              <w:rPr>
                <w:color w:val="auto"/>
                <w:kern w:val="0"/>
                <w:sz w:val="24"/>
                <w:highlight w:val="none"/>
              </w:rPr>
            </w:pPr>
          </w:p>
        </w:tc>
      </w:tr>
      <w:tr w14:paraId="5F3B50E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FD2AC9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项目完成情况</w:t>
            </w:r>
          </w:p>
        </w:tc>
        <w:tc>
          <w:tcPr>
            <w:tcW w:w="6465" w:type="dxa"/>
            <w:tcBorders>
              <w:top w:val="single" w:color="auto" w:sz="8" w:space="0"/>
              <w:left w:val="single" w:color="auto" w:sz="8" w:space="0"/>
              <w:bottom w:val="single" w:color="auto" w:sz="8" w:space="0"/>
              <w:right w:val="single" w:color="auto" w:sz="12" w:space="0"/>
            </w:tcBorders>
          </w:tcPr>
          <w:p w14:paraId="31065ABC">
            <w:pPr>
              <w:autoSpaceDE w:val="0"/>
              <w:autoSpaceDN w:val="0"/>
              <w:rPr>
                <w:color w:val="auto"/>
                <w:kern w:val="0"/>
                <w:sz w:val="24"/>
                <w:highlight w:val="none"/>
              </w:rPr>
            </w:pPr>
          </w:p>
        </w:tc>
      </w:tr>
      <w:tr w14:paraId="1F8EA860">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2BAA1FED">
            <w:pPr>
              <w:autoSpaceDE w:val="0"/>
              <w:autoSpaceDN w:val="0"/>
              <w:jc w:val="center"/>
              <w:rPr>
                <w:rFonts w:ascii="宋体" w:cs="宋体"/>
                <w:color w:val="auto"/>
                <w:kern w:val="0"/>
                <w:sz w:val="24"/>
                <w:highlight w:val="none"/>
              </w:rPr>
            </w:pPr>
            <w:r>
              <w:rPr>
                <w:rFonts w:hint="eastAsia" w:ascii="宋体" w:hAnsi="宋体" w:cs="宋体"/>
                <w:color w:val="auto"/>
                <w:kern w:val="0"/>
                <w:sz w:val="24"/>
                <w:highlight w:val="none"/>
              </w:rPr>
              <w:t>成果文件完成时间</w:t>
            </w:r>
          </w:p>
        </w:tc>
        <w:tc>
          <w:tcPr>
            <w:tcW w:w="6465" w:type="dxa"/>
            <w:tcBorders>
              <w:top w:val="single" w:color="auto" w:sz="8" w:space="0"/>
              <w:left w:val="single" w:color="auto" w:sz="8" w:space="0"/>
              <w:bottom w:val="single" w:color="auto" w:sz="8" w:space="0"/>
              <w:right w:val="single" w:color="auto" w:sz="12" w:space="0"/>
            </w:tcBorders>
          </w:tcPr>
          <w:p w14:paraId="55757DC6">
            <w:pPr>
              <w:autoSpaceDE w:val="0"/>
              <w:autoSpaceDN w:val="0"/>
              <w:rPr>
                <w:color w:val="auto"/>
                <w:kern w:val="0"/>
                <w:sz w:val="24"/>
                <w:highlight w:val="none"/>
              </w:rPr>
            </w:pPr>
          </w:p>
        </w:tc>
      </w:tr>
      <w:tr w14:paraId="4D41A5C8">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12" w:space="0"/>
              <w:right w:val="single" w:color="auto" w:sz="8" w:space="0"/>
            </w:tcBorders>
            <w:vAlign w:val="center"/>
          </w:tcPr>
          <w:p w14:paraId="5D78E0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465" w:type="dxa"/>
            <w:tcBorders>
              <w:top w:val="single" w:color="auto" w:sz="8" w:space="0"/>
              <w:left w:val="single" w:color="auto" w:sz="8" w:space="0"/>
              <w:bottom w:val="single" w:color="auto" w:sz="12" w:space="0"/>
              <w:right w:val="single" w:color="auto" w:sz="12" w:space="0"/>
            </w:tcBorders>
          </w:tcPr>
          <w:p w14:paraId="127B830A">
            <w:pPr>
              <w:autoSpaceDE w:val="0"/>
              <w:autoSpaceDN w:val="0"/>
              <w:rPr>
                <w:color w:val="auto"/>
                <w:kern w:val="0"/>
                <w:sz w:val="24"/>
                <w:highlight w:val="none"/>
              </w:rPr>
            </w:pPr>
          </w:p>
        </w:tc>
      </w:tr>
    </w:tbl>
    <w:p w14:paraId="01DB3DE1">
      <w:pPr>
        <w:autoSpaceDE w:val="0"/>
        <w:autoSpaceDN w:val="0"/>
        <w:adjustRightInd w:val="0"/>
        <w:spacing w:line="160" w:lineRule="exact"/>
        <w:jc w:val="left"/>
        <w:rPr>
          <w:color w:val="auto"/>
          <w:kern w:val="0"/>
          <w:sz w:val="24"/>
          <w:highlight w:val="none"/>
        </w:rPr>
      </w:pPr>
    </w:p>
    <w:p w14:paraId="1B41761E">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注：每个项目填写一张表</w:t>
      </w:r>
    </w:p>
    <w:p w14:paraId="3E25A3CC">
      <w:pPr>
        <w:spacing w:line="360" w:lineRule="auto"/>
        <w:ind w:left="420"/>
        <w:rPr>
          <w:rFonts w:hAnsi="宋体" w:cs="仿宋"/>
          <w:color w:val="auto"/>
          <w:szCs w:val="21"/>
          <w:highlight w:val="none"/>
        </w:rPr>
      </w:pPr>
      <w:r>
        <w:rPr>
          <w:rFonts w:hint="eastAsia" w:hAnsi="宋体" w:cs="仿宋"/>
          <w:color w:val="auto"/>
          <w:szCs w:val="21"/>
          <w:highlight w:val="none"/>
        </w:rPr>
        <w:t>①投标人应将</w:t>
      </w:r>
      <w:r>
        <w:rPr>
          <w:rFonts w:hint="eastAsia" w:hAnsi="宋体" w:cs="仿宋"/>
          <w:b/>
          <w:color w:val="auto"/>
          <w:szCs w:val="21"/>
          <w:highlight w:val="none"/>
          <w:u w:val="single"/>
        </w:rPr>
        <w:t xml:space="preserve"> 202</w:t>
      </w:r>
      <w:r>
        <w:rPr>
          <w:rFonts w:hint="eastAsia" w:hAnsi="宋体" w:cs="仿宋"/>
          <w:b/>
          <w:color w:val="auto"/>
          <w:szCs w:val="21"/>
          <w:highlight w:val="none"/>
          <w:u w:val="single"/>
          <w:lang w:val="en-US" w:eastAsia="zh-CN"/>
        </w:rPr>
        <w:t>1</w:t>
      </w:r>
      <w:r>
        <w:rPr>
          <w:rFonts w:hint="eastAsia" w:hAnsi="宋体" w:cs="仿宋"/>
          <w:b/>
          <w:color w:val="auto"/>
          <w:szCs w:val="21"/>
          <w:highlight w:val="none"/>
          <w:u w:val="single"/>
        </w:rPr>
        <w:t xml:space="preserve">年1月 </w:t>
      </w:r>
      <w:r>
        <w:rPr>
          <w:rFonts w:hint="eastAsia" w:hAnsi="宋体" w:cs="仿宋"/>
          <w:color w:val="auto"/>
          <w:szCs w:val="21"/>
          <w:highlight w:val="none"/>
        </w:rPr>
        <w:t>以来已完成的类似项目情况填入本表中，</w:t>
      </w:r>
    </w:p>
    <w:p w14:paraId="78E24D46">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②</w:t>
      </w:r>
      <w:r>
        <w:rPr>
          <w:rFonts w:hAnsi="宋体" w:cs="仿宋"/>
          <w:color w:val="auto"/>
          <w:szCs w:val="21"/>
          <w:highlight w:val="none"/>
        </w:rPr>
        <w:t>本表后须</w:t>
      </w:r>
      <w:r>
        <w:rPr>
          <w:rFonts w:hAnsi="宋体" w:cs="仿宋"/>
          <w:b/>
          <w:color w:val="auto"/>
          <w:szCs w:val="21"/>
          <w:highlight w:val="none"/>
        </w:rPr>
        <w:t>应附合同协议书或委托书</w:t>
      </w:r>
      <w:r>
        <w:rPr>
          <w:rFonts w:hAnsi="宋体" w:cs="仿宋"/>
          <w:color w:val="auto"/>
          <w:szCs w:val="21"/>
          <w:highlight w:val="none"/>
        </w:rPr>
        <w:t>等的</w:t>
      </w:r>
      <w:r>
        <w:rPr>
          <w:rFonts w:hint="eastAsia" w:hAnsi="宋体" w:cs="仿宋"/>
          <w:color w:val="auto"/>
          <w:szCs w:val="21"/>
          <w:highlight w:val="none"/>
        </w:rPr>
        <w:t>扫描件</w:t>
      </w:r>
      <w:r>
        <w:rPr>
          <w:rFonts w:hAnsi="宋体" w:cs="仿宋"/>
          <w:color w:val="auto"/>
          <w:szCs w:val="21"/>
          <w:highlight w:val="none"/>
        </w:rPr>
        <w:t>；</w:t>
      </w:r>
    </w:p>
    <w:p w14:paraId="581A4DFD">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③</w:t>
      </w:r>
      <w:r>
        <w:rPr>
          <w:rFonts w:hAnsi="宋体" w:cs="仿宋"/>
          <w:color w:val="auto"/>
          <w:szCs w:val="21"/>
          <w:highlight w:val="none"/>
        </w:rPr>
        <w:t>近年来，</w:t>
      </w:r>
      <w:r>
        <w:rPr>
          <w:rFonts w:hint="eastAsia" w:hAnsi="宋体" w:cs="仿宋"/>
          <w:color w:val="auto"/>
          <w:szCs w:val="21"/>
          <w:highlight w:val="none"/>
        </w:rPr>
        <w:t>供应商</w:t>
      </w:r>
      <w:r>
        <w:rPr>
          <w:rFonts w:hAnsi="宋体" w:cs="仿宋"/>
          <w:color w:val="auto"/>
          <w:szCs w:val="21"/>
          <w:highlight w:val="none"/>
        </w:rPr>
        <w:t>法人机构发生合法变更或重组或法人名称变更时，应提供相关部门的合法批件及其他相关证明材料来证明其所附业绩的继承性；</w:t>
      </w:r>
    </w:p>
    <w:p w14:paraId="2266DA76">
      <w:pPr>
        <w:spacing w:line="360" w:lineRule="auto"/>
        <w:ind w:firstLine="420" w:firstLineChars="200"/>
        <w:rPr>
          <w:rFonts w:ascii="宋体" w:hAnsi="宋体"/>
          <w:color w:val="auto"/>
          <w:sz w:val="24"/>
          <w:highlight w:val="none"/>
        </w:rPr>
      </w:pPr>
      <w:r>
        <w:rPr>
          <w:rFonts w:hint="eastAsia" w:hAnsi="宋体" w:cs="仿宋"/>
          <w:color w:val="auto"/>
          <w:szCs w:val="21"/>
          <w:highlight w:val="none"/>
        </w:rPr>
        <w:t>④</w:t>
      </w:r>
      <w:r>
        <w:rPr>
          <w:rFonts w:hint="eastAsia" w:hAnsi="宋体" w:cs="仿宋"/>
          <w:color w:val="auto"/>
          <w:highlight w:val="none"/>
        </w:rPr>
        <w:t>须附有效证明材料，有效证明材料具体要求见第四章评审办法。</w:t>
      </w:r>
    </w:p>
    <w:p w14:paraId="39317B16">
      <w:pPr>
        <w:rPr>
          <w:rFonts w:ascii="黑体" w:hAnsi="宋体" w:eastAsia="黑体"/>
          <w:color w:val="auto"/>
          <w:sz w:val="24"/>
          <w:highlight w:val="none"/>
        </w:rPr>
      </w:pPr>
    </w:p>
    <w:p w14:paraId="256C2301">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36" w:name="_Toc5907"/>
      <w:bookmarkStart w:id="237" w:name="_Toc212"/>
      <w:bookmarkStart w:id="238" w:name="_Toc11569"/>
      <w:bookmarkStart w:id="239" w:name="_Toc12138"/>
      <w:r>
        <w:rPr>
          <w:rFonts w:hint="eastAsia" w:ascii="宋体" w:hAnsi="宋体"/>
          <w:b/>
          <w:bCs/>
          <w:color w:val="auto"/>
          <w:sz w:val="24"/>
          <w:highlight w:val="none"/>
        </w:rPr>
        <w:t>（三）供应商信用及守法证明材料</w:t>
      </w:r>
      <w:bookmarkEnd w:id="236"/>
      <w:bookmarkEnd w:id="237"/>
      <w:bookmarkEnd w:id="238"/>
      <w:bookmarkEnd w:id="239"/>
    </w:p>
    <w:p w14:paraId="67F396E3">
      <w:pPr>
        <w:snapToGrid w:val="0"/>
        <w:spacing w:before="120" w:beforeLines="50" w:after="50"/>
        <w:ind w:left="142"/>
        <w:jc w:val="left"/>
        <w:rPr>
          <w:rFonts w:ascii="宋体" w:hAnsi="宋体"/>
          <w:b/>
          <w:color w:val="auto"/>
          <w:sz w:val="24"/>
          <w:highlight w:val="none"/>
        </w:rPr>
      </w:pPr>
    </w:p>
    <w:p w14:paraId="265000D7">
      <w:pPr>
        <w:jc w:val="center"/>
        <w:outlineLvl w:val="3"/>
        <w:rPr>
          <w:rFonts w:ascii="黑体" w:hAnsi="宋体" w:eastAsia="黑体"/>
          <w:color w:val="auto"/>
          <w:sz w:val="24"/>
          <w:highlight w:val="none"/>
        </w:rPr>
      </w:pPr>
      <w:r>
        <w:rPr>
          <w:rFonts w:hint="eastAsia" w:ascii="黑体" w:hAnsi="宋体" w:eastAsia="黑体"/>
          <w:color w:val="auto"/>
          <w:sz w:val="24"/>
          <w:highlight w:val="none"/>
        </w:rPr>
        <w:t>根据采购文件规定提供。</w:t>
      </w:r>
    </w:p>
    <w:p w14:paraId="0740E190">
      <w:pPr>
        <w:rPr>
          <w:rFonts w:ascii="宋体" w:hAnsi="宋体"/>
          <w:color w:val="auto"/>
          <w:sz w:val="24"/>
          <w:highlight w:val="none"/>
        </w:rPr>
      </w:pPr>
    </w:p>
    <w:p w14:paraId="466FC222">
      <w:pPr>
        <w:rPr>
          <w:rFonts w:ascii="宋体" w:hAnsi="宋体"/>
          <w:color w:val="auto"/>
          <w:sz w:val="24"/>
          <w:highlight w:val="none"/>
        </w:rPr>
      </w:pPr>
    </w:p>
    <w:p w14:paraId="137396B0">
      <w:pPr>
        <w:snapToGrid w:val="0"/>
        <w:spacing w:before="120" w:beforeLines="50" w:after="50"/>
        <w:jc w:val="left"/>
        <w:rPr>
          <w:rFonts w:ascii="宋体" w:hAnsi="宋体"/>
          <w:color w:val="auto"/>
          <w:szCs w:val="21"/>
          <w:highlight w:val="none"/>
        </w:rPr>
      </w:pPr>
    </w:p>
    <w:p w14:paraId="4F6475C5">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40" w:name="_Toc5115"/>
      <w:bookmarkStart w:id="241" w:name="_Toc27275"/>
      <w:r>
        <w:rPr>
          <w:rFonts w:hint="eastAsia" w:ascii="宋体" w:hAnsi="宋体"/>
          <w:b/>
          <w:bCs/>
          <w:color w:val="auto"/>
          <w:sz w:val="24"/>
          <w:highlight w:val="none"/>
        </w:rPr>
        <w:t>（四）拟投入的主要人员表</w:t>
      </w:r>
      <w:bookmarkEnd w:id="240"/>
      <w:bookmarkEnd w:id="241"/>
    </w:p>
    <w:p w14:paraId="5591F511">
      <w:pPr>
        <w:jc w:val="center"/>
        <w:rPr>
          <w:rFonts w:ascii="黑体" w:hAnsi="宋体" w:eastAsia="黑体"/>
          <w:color w:val="auto"/>
          <w:sz w:val="24"/>
          <w:highlight w:val="none"/>
        </w:rPr>
      </w:pPr>
    </w:p>
    <w:tbl>
      <w:tblPr>
        <w:tblStyle w:val="24"/>
        <w:tblW w:w="9165" w:type="dxa"/>
        <w:tblInd w:w="15" w:type="dxa"/>
        <w:tblLayout w:type="fixed"/>
        <w:tblCellMar>
          <w:top w:w="0" w:type="dxa"/>
          <w:left w:w="0" w:type="dxa"/>
          <w:bottom w:w="0" w:type="dxa"/>
          <w:right w:w="0" w:type="dxa"/>
        </w:tblCellMar>
      </w:tblPr>
      <w:tblGrid>
        <w:gridCol w:w="712"/>
        <w:gridCol w:w="720"/>
        <w:gridCol w:w="1815"/>
        <w:gridCol w:w="1267"/>
        <w:gridCol w:w="1267"/>
        <w:gridCol w:w="1267"/>
        <w:gridCol w:w="2117"/>
      </w:tblGrid>
      <w:tr w14:paraId="2BBC686A">
        <w:tblPrEx>
          <w:tblCellMar>
            <w:top w:w="0" w:type="dxa"/>
            <w:left w:w="0" w:type="dxa"/>
            <w:bottom w:w="0" w:type="dxa"/>
            <w:right w:w="0" w:type="dxa"/>
          </w:tblCellMar>
        </w:tblPrEx>
        <w:trPr>
          <w:trHeight w:val="900" w:hRule="atLeast"/>
        </w:trPr>
        <w:tc>
          <w:tcPr>
            <w:tcW w:w="712" w:type="dxa"/>
            <w:tcBorders>
              <w:top w:val="single" w:color="auto" w:sz="12" w:space="0"/>
              <w:left w:val="single" w:color="auto" w:sz="12" w:space="0"/>
              <w:bottom w:val="single" w:color="auto" w:sz="8" w:space="0"/>
              <w:right w:val="single" w:color="auto" w:sz="8" w:space="0"/>
            </w:tcBorders>
            <w:vAlign w:val="center"/>
          </w:tcPr>
          <w:p w14:paraId="0154C5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720" w:type="dxa"/>
            <w:tcBorders>
              <w:top w:val="single" w:color="auto" w:sz="12" w:space="0"/>
              <w:left w:val="single" w:color="auto" w:sz="8" w:space="0"/>
              <w:bottom w:val="single" w:color="auto" w:sz="8" w:space="0"/>
              <w:right w:val="single" w:color="auto" w:sz="8" w:space="0"/>
            </w:tcBorders>
            <w:vAlign w:val="center"/>
          </w:tcPr>
          <w:p w14:paraId="50EB8DB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年龄</w:t>
            </w:r>
          </w:p>
        </w:tc>
        <w:tc>
          <w:tcPr>
            <w:tcW w:w="1815" w:type="dxa"/>
            <w:tcBorders>
              <w:top w:val="single" w:color="auto" w:sz="12" w:space="0"/>
              <w:left w:val="single" w:color="auto" w:sz="8" w:space="0"/>
              <w:bottom w:val="single" w:color="auto" w:sz="8" w:space="0"/>
              <w:right w:val="single" w:color="auto" w:sz="8" w:space="0"/>
            </w:tcBorders>
            <w:vAlign w:val="center"/>
          </w:tcPr>
          <w:p w14:paraId="366AE62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拟在本项目中</w:t>
            </w:r>
          </w:p>
          <w:p w14:paraId="46F995C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担任的职务</w:t>
            </w:r>
          </w:p>
        </w:tc>
        <w:tc>
          <w:tcPr>
            <w:tcW w:w="1267" w:type="dxa"/>
            <w:tcBorders>
              <w:top w:val="single" w:color="auto" w:sz="12" w:space="0"/>
              <w:left w:val="single" w:color="auto" w:sz="8" w:space="0"/>
              <w:bottom w:val="single" w:color="auto" w:sz="8" w:space="0"/>
              <w:right w:val="single" w:color="auto" w:sz="8" w:space="0"/>
            </w:tcBorders>
            <w:vAlign w:val="center"/>
          </w:tcPr>
          <w:p w14:paraId="34F16B4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技术职称</w:t>
            </w:r>
          </w:p>
        </w:tc>
        <w:tc>
          <w:tcPr>
            <w:tcW w:w="1267" w:type="dxa"/>
            <w:tcBorders>
              <w:top w:val="single" w:color="auto" w:sz="12" w:space="0"/>
              <w:left w:val="single" w:color="auto" w:sz="8" w:space="0"/>
              <w:bottom w:val="single" w:color="auto" w:sz="8" w:space="0"/>
              <w:right w:val="single" w:color="auto" w:sz="8" w:space="0"/>
            </w:tcBorders>
            <w:vAlign w:val="center"/>
          </w:tcPr>
          <w:p w14:paraId="5A6FE56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从事专业</w:t>
            </w:r>
          </w:p>
        </w:tc>
        <w:tc>
          <w:tcPr>
            <w:tcW w:w="1267" w:type="dxa"/>
            <w:tcBorders>
              <w:top w:val="single" w:color="auto" w:sz="12" w:space="0"/>
              <w:left w:val="single" w:color="auto" w:sz="8" w:space="0"/>
              <w:bottom w:val="single" w:color="auto" w:sz="8" w:space="0"/>
              <w:right w:val="single" w:color="auto" w:sz="8" w:space="0"/>
            </w:tcBorders>
            <w:vAlign w:val="center"/>
          </w:tcPr>
          <w:p w14:paraId="59B72A7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工作年限</w:t>
            </w:r>
          </w:p>
        </w:tc>
        <w:tc>
          <w:tcPr>
            <w:tcW w:w="2117" w:type="dxa"/>
            <w:tcBorders>
              <w:top w:val="single" w:color="auto" w:sz="12" w:space="0"/>
              <w:left w:val="single" w:color="auto" w:sz="8" w:space="0"/>
              <w:bottom w:val="single" w:color="auto" w:sz="8" w:space="0"/>
              <w:right w:val="single" w:color="auto" w:sz="12" w:space="0"/>
            </w:tcBorders>
            <w:vAlign w:val="center"/>
          </w:tcPr>
          <w:p w14:paraId="1AF1A77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类似项目</w:t>
            </w:r>
          </w:p>
          <w:p w14:paraId="3448A32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经验年限</w:t>
            </w:r>
          </w:p>
        </w:tc>
      </w:tr>
      <w:tr w14:paraId="23ADAD81">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62962B74">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F06F3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4F65DB6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2F44D9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DC8E2E4">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17AB747">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5C4F00AF">
            <w:pPr>
              <w:autoSpaceDE w:val="0"/>
              <w:autoSpaceDN w:val="0"/>
              <w:jc w:val="center"/>
              <w:rPr>
                <w:color w:val="auto"/>
                <w:kern w:val="0"/>
                <w:sz w:val="24"/>
                <w:highlight w:val="none"/>
              </w:rPr>
            </w:pPr>
          </w:p>
        </w:tc>
      </w:tr>
      <w:tr w14:paraId="5F6DE49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52B5E562">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10F5D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EA512C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3CE6D287">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2C64620">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E659CF4">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200FC717">
            <w:pPr>
              <w:autoSpaceDE w:val="0"/>
              <w:autoSpaceDN w:val="0"/>
              <w:jc w:val="center"/>
              <w:rPr>
                <w:color w:val="auto"/>
                <w:kern w:val="0"/>
                <w:sz w:val="24"/>
                <w:highlight w:val="none"/>
              </w:rPr>
            </w:pPr>
          </w:p>
        </w:tc>
      </w:tr>
      <w:tr w14:paraId="7F51402D">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2B195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1A5D5F8E">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10466E73">
            <w:pPr>
              <w:autoSpaceDE w:val="0"/>
              <w:autoSpaceDN w:val="0"/>
              <w:jc w:val="center"/>
              <w:rPr>
                <w:rFonts w:ascii="宋体" w:cs="宋体"/>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71288B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10FBE29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D4A13D6">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775DE3C6">
            <w:pPr>
              <w:autoSpaceDE w:val="0"/>
              <w:autoSpaceDN w:val="0"/>
              <w:jc w:val="center"/>
              <w:rPr>
                <w:color w:val="auto"/>
                <w:kern w:val="0"/>
                <w:sz w:val="24"/>
                <w:highlight w:val="none"/>
              </w:rPr>
            </w:pPr>
          </w:p>
        </w:tc>
      </w:tr>
      <w:tr w14:paraId="2C54B01D">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4BF8FFF8">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79C21BB">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66C55A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08E030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EFC727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6DD28FB">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656424B7">
            <w:pPr>
              <w:autoSpaceDE w:val="0"/>
              <w:autoSpaceDN w:val="0"/>
              <w:jc w:val="center"/>
              <w:rPr>
                <w:color w:val="auto"/>
                <w:kern w:val="0"/>
                <w:sz w:val="24"/>
                <w:highlight w:val="none"/>
              </w:rPr>
            </w:pPr>
          </w:p>
        </w:tc>
      </w:tr>
      <w:tr w14:paraId="39C94D0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61EED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F8BD98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7D8C603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A3658A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BF6CFB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E044422">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027C0E7C">
            <w:pPr>
              <w:autoSpaceDE w:val="0"/>
              <w:autoSpaceDN w:val="0"/>
              <w:jc w:val="center"/>
              <w:rPr>
                <w:color w:val="auto"/>
                <w:kern w:val="0"/>
                <w:sz w:val="24"/>
                <w:highlight w:val="none"/>
              </w:rPr>
            </w:pPr>
          </w:p>
        </w:tc>
      </w:tr>
      <w:tr w14:paraId="7AA7E91E">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12" w:space="0"/>
              <w:right w:val="single" w:color="auto" w:sz="8" w:space="0"/>
            </w:tcBorders>
            <w:vAlign w:val="center"/>
          </w:tcPr>
          <w:p w14:paraId="7E509DF7">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12" w:space="0"/>
              <w:right w:val="single" w:color="auto" w:sz="8" w:space="0"/>
            </w:tcBorders>
            <w:vAlign w:val="center"/>
          </w:tcPr>
          <w:p w14:paraId="3662A32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12" w:space="0"/>
              <w:right w:val="single" w:color="auto" w:sz="8" w:space="0"/>
            </w:tcBorders>
            <w:vAlign w:val="center"/>
          </w:tcPr>
          <w:p w14:paraId="12225B1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01F95D62">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1FEC142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5FE00AF1">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12" w:space="0"/>
              <w:right w:val="single" w:color="auto" w:sz="12" w:space="0"/>
            </w:tcBorders>
            <w:vAlign w:val="center"/>
          </w:tcPr>
          <w:p w14:paraId="76DEC0EB">
            <w:pPr>
              <w:autoSpaceDE w:val="0"/>
              <w:autoSpaceDN w:val="0"/>
              <w:jc w:val="center"/>
              <w:rPr>
                <w:color w:val="auto"/>
                <w:kern w:val="0"/>
                <w:sz w:val="24"/>
                <w:highlight w:val="none"/>
              </w:rPr>
            </w:pPr>
          </w:p>
        </w:tc>
      </w:tr>
    </w:tbl>
    <w:p w14:paraId="231C856B">
      <w:pPr>
        <w:spacing w:line="360" w:lineRule="auto"/>
        <w:rPr>
          <w:rFonts w:hAnsi="宋体" w:cs="仿宋"/>
          <w:color w:val="auto"/>
          <w:szCs w:val="21"/>
          <w:highlight w:val="none"/>
        </w:rPr>
      </w:pPr>
      <w:r>
        <w:rPr>
          <w:rFonts w:hint="eastAsia" w:hAnsi="宋体" w:cs="仿宋"/>
          <w:color w:val="auto"/>
          <w:szCs w:val="21"/>
          <w:highlight w:val="none"/>
        </w:rPr>
        <w:t>注：①项目负责人及各专业负责人均应填写；</w:t>
      </w:r>
    </w:p>
    <w:p w14:paraId="67FA5801">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①</w:t>
      </w:r>
      <w:r>
        <w:rPr>
          <w:rFonts w:hAnsi="宋体" w:cs="仿宋"/>
          <w:color w:val="auto"/>
          <w:szCs w:val="21"/>
          <w:highlight w:val="none"/>
        </w:rPr>
        <w:t>本表人员应附</w:t>
      </w:r>
      <w:r>
        <w:rPr>
          <w:rFonts w:hAnsi="宋体" w:cs="仿宋"/>
          <w:b/>
          <w:color w:val="auto"/>
          <w:szCs w:val="21"/>
          <w:highlight w:val="none"/>
        </w:rPr>
        <w:t>身份证、毕业证、职称证、执业资格证书</w:t>
      </w:r>
      <w:r>
        <w:rPr>
          <w:rFonts w:hint="eastAsia" w:hAnsi="宋体" w:cs="仿宋"/>
          <w:b/>
          <w:color w:val="auto"/>
          <w:szCs w:val="21"/>
          <w:highlight w:val="none"/>
        </w:rPr>
        <w:t>（如有）</w:t>
      </w:r>
      <w:r>
        <w:rPr>
          <w:rFonts w:hAnsi="宋体" w:cs="仿宋"/>
          <w:color w:val="auto"/>
          <w:szCs w:val="21"/>
          <w:highlight w:val="none"/>
        </w:rPr>
        <w:t>以及资格审查条件所要求的其他相关证书的</w:t>
      </w:r>
      <w:r>
        <w:rPr>
          <w:rFonts w:hint="eastAsia" w:hAnsi="宋体" w:cs="仿宋"/>
          <w:color w:val="auto"/>
          <w:szCs w:val="21"/>
          <w:highlight w:val="none"/>
        </w:rPr>
        <w:t>原件扫描</w:t>
      </w:r>
      <w:r>
        <w:rPr>
          <w:rFonts w:hAnsi="宋体" w:cs="仿宋"/>
          <w:color w:val="auto"/>
          <w:szCs w:val="21"/>
          <w:highlight w:val="none"/>
        </w:rPr>
        <w:t>件。</w:t>
      </w:r>
    </w:p>
    <w:p w14:paraId="14C670B9">
      <w:pPr>
        <w:spacing w:line="360" w:lineRule="auto"/>
        <w:ind w:firstLine="420" w:firstLineChars="200"/>
        <w:rPr>
          <w:rFonts w:hAnsi="宋体" w:cs="仿宋"/>
          <w:color w:val="auto"/>
          <w:szCs w:val="21"/>
          <w:highlight w:val="none"/>
        </w:rPr>
      </w:pPr>
      <w:r>
        <w:rPr>
          <w:rFonts w:hAnsi="宋体" w:cs="仿宋"/>
          <w:color w:val="auto"/>
          <w:szCs w:val="21"/>
          <w:highlight w:val="none"/>
        </w:rPr>
        <w:t>②</w:t>
      </w:r>
      <w:r>
        <w:rPr>
          <w:rFonts w:hint="eastAsia" w:hAnsi="宋体" w:cs="仿宋"/>
          <w:color w:val="auto"/>
          <w:szCs w:val="21"/>
          <w:highlight w:val="none"/>
        </w:rPr>
        <w:t>供应商拟安排参与本工程的人员必须是在供应商处进行岗位登记[要求出具近半年来连续三个月的社保缴费证明或参加社保的有效证明材料]。</w:t>
      </w:r>
    </w:p>
    <w:p w14:paraId="137C67FA">
      <w:pPr>
        <w:spacing w:line="360" w:lineRule="auto"/>
        <w:ind w:firstLine="420" w:firstLineChars="200"/>
        <w:rPr>
          <w:rFonts w:hAnsi="宋体" w:cs="仿宋"/>
          <w:color w:val="auto"/>
          <w:szCs w:val="21"/>
          <w:highlight w:val="none"/>
        </w:rPr>
      </w:pPr>
      <w:r>
        <w:rPr>
          <w:rFonts w:hint="eastAsia" w:ascii="微软雅黑" w:hAnsi="微软雅黑" w:eastAsia="微软雅黑" w:cs="微软雅黑"/>
          <w:color w:val="auto"/>
          <w:szCs w:val="21"/>
          <w:highlight w:val="none"/>
        </w:rPr>
        <w:t>③</w:t>
      </w:r>
      <w:r>
        <w:rPr>
          <w:rFonts w:hint="eastAsia" w:hAnsi="宋体" w:cs="仿宋"/>
          <w:color w:val="auto"/>
          <w:szCs w:val="21"/>
          <w:highlight w:val="none"/>
        </w:rPr>
        <w:t>须附有效证明材料，如成果文件签名页面等，有效证明材料具体要求见</w:t>
      </w:r>
      <w:r>
        <w:rPr>
          <w:rFonts w:hint="eastAsia" w:hAnsi="宋体" w:cs="仿宋"/>
          <w:color w:val="auto"/>
          <w:highlight w:val="none"/>
        </w:rPr>
        <w:t>第四章评审办法</w:t>
      </w:r>
      <w:r>
        <w:rPr>
          <w:rFonts w:hint="eastAsia" w:hAnsi="宋体" w:cs="仿宋"/>
          <w:color w:val="auto"/>
          <w:szCs w:val="21"/>
          <w:highlight w:val="none"/>
        </w:rPr>
        <w:t>。</w:t>
      </w:r>
    </w:p>
    <w:p w14:paraId="103B3BDC">
      <w:pPr>
        <w:snapToGrid w:val="0"/>
        <w:spacing w:before="50" w:after="50"/>
        <w:rPr>
          <w:rFonts w:ascii="宋体" w:hAnsi="宋体"/>
          <w:color w:val="auto"/>
          <w:szCs w:val="21"/>
          <w:highlight w:val="none"/>
        </w:rPr>
      </w:pPr>
    </w:p>
    <w:p w14:paraId="3619F61A">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FCB0EE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62C3CA8">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1F30320">
      <w:pPr>
        <w:snapToGrid w:val="0"/>
        <w:spacing w:before="50" w:after="120" w:afterLines="50"/>
        <w:jc w:val="left"/>
        <w:rPr>
          <w:rFonts w:ascii="宋体" w:hAnsi="宋体"/>
          <w:color w:val="auto"/>
          <w:sz w:val="24"/>
          <w:szCs w:val="20"/>
          <w:highlight w:val="none"/>
        </w:rPr>
      </w:pPr>
    </w:p>
    <w:p w14:paraId="331F3929">
      <w:pPr>
        <w:rPr>
          <w:rFonts w:ascii="黑体" w:hAnsi="宋体" w:eastAsia="黑体"/>
          <w:b/>
          <w:color w:val="auto"/>
          <w:sz w:val="24"/>
          <w:highlight w:val="none"/>
        </w:rPr>
      </w:pPr>
      <w:r>
        <w:rPr>
          <w:rFonts w:ascii="黑体" w:hAnsi="宋体" w:eastAsia="黑体"/>
          <w:b/>
          <w:color w:val="auto"/>
          <w:sz w:val="24"/>
          <w:highlight w:val="none"/>
        </w:rPr>
        <w:br w:type="page"/>
      </w:r>
    </w:p>
    <w:p w14:paraId="131F5919">
      <w:pPr>
        <w:pStyle w:val="10"/>
        <w:rPr>
          <w:color w:val="auto"/>
          <w:highlight w:val="none"/>
        </w:rPr>
      </w:pPr>
    </w:p>
    <w:p w14:paraId="2C6CEF86">
      <w:pPr>
        <w:snapToGrid w:val="0"/>
        <w:spacing w:line="360" w:lineRule="auto"/>
        <w:jc w:val="center"/>
        <w:outlineLvl w:val="1"/>
        <w:rPr>
          <w:rFonts w:ascii="黑体" w:hAnsi="黑体" w:eastAsia="黑体" w:cs="黑体"/>
          <w:color w:val="auto"/>
          <w:sz w:val="36"/>
          <w:szCs w:val="36"/>
          <w:highlight w:val="none"/>
        </w:rPr>
      </w:pPr>
      <w:bookmarkStart w:id="242" w:name="_Toc18160"/>
      <w:bookmarkStart w:id="243" w:name="_Toc11791"/>
      <w:bookmarkStart w:id="244" w:name="_Toc19324"/>
      <w:bookmarkStart w:id="245" w:name="_Toc15898"/>
      <w:bookmarkStart w:id="246" w:name="_Toc9722"/>
      <w:bookmarkStart w:id="247" w:name="_Toc32417"/>
      <w:bookmarkStart w:id="248" w:name="_Toc12864"/>
      <w:bookmarkStart w:id="249" w:name="_Toc23861"/>
      <w:bookmarkStart w:id="250" w:name="_Toc30890"/>
      <w:bookmarkStart w:id="251" w:name="_Toc2543"/>
      <w:bookmarkStart w:id="252" w:name="_Toc31978"/>
      <w:bookmarkStart w:id="253" w:name="_Toc7933"/>
      <w:bookmarkStart w:id="254" w:name="_Toc7403"/>
      <w:bookmarkStart w:id="255" w:name="_Toc25999"/>
      <w:r>
        <w:rPr>
          <w:rFonts w:hint="eastAsia" w:ascii="黑体" w:hAnsi="黑体" w:eastAsia="黑体" w:cs="黑体"/>
          <w:color w:val="auto"/>
          <w:sz w:val="36"/>
          <w:szCs w:val="36"/>
          <w:highlight w:val="none"/>
          <w:lang w:eastAsia="zh-CN"/>
        </w:rPr>
        <w:t>六</w:t>
      </w:r>
      <w:r>
        <w:rPr>
          <w:rFonts w:hint="eastAsia" w:ascii="黑体" w:hAnsi="黑体" w:eastAsia="黑体" w:cs="黑体"/>
          <w:color w:val="auto"/>
          <w:sz w:val="36"/>
          <w:szCs w:val="36"/>
          <w:highlight w:val="none"/>
        </w:rPr>
        <w:t>、</w:t>
      </w:r>
      <w:bookmarkEnd w:id="242"/>
      <w:bookmarkEnd w:id="243"/>
      <w:bookmarkEnd w:id="244"/>
      <w:r>
        <w:rPr>
          <w:rFonts w:hint="eastAsia" w:ascii="黑体" w:hAnsi="黑体" w:eastAsia="黑体" w:cs="黑体"/>
          <w:color w:val="auto"/>
          <w:sz w:val="36"/>
          <w:szCs w:val="36"/>
          <w:highlight w:val="none"/>
          <w:lang w:eastAsia="zh-CN"/>
        </w:rPr>
        <w:t>调查与评价</w:t>
      </w:r>
      <w:r>
        <w:rPr>
          <w:rFonts w:hint="eastAsia" w:ascii="黑体" w:hAnsi="黑体" w:eastAsia="黑体" w:cs="黑体"/>
          <w:color w:val="auto"/>
          <w:sz w:val="36"/>
          <w:szCs w:val="36"/>
          <w:highlight w:val="none"/>
        </w:rPr>
        <w:t>方案</w:t>
      </w:r>
      <w:bookmarkEnd w:id="245"/>
      <w:bookmarkEnd w:id="246"/>
      <w:bookmarkEnd w:id="247"/>
      <w:bookmarkEnd w:id="248"/>
      <w:bookmarkEnd w:id="249"/>
      <w:bookmarkEnd w:id="250"/>
      <w:bookmarkEnd w:id="251"/>
      <w:bookmarkEnd w:id="252"/>
      <w:bookmarkEnd w:id="253"/>
      <w:bookmarkEnd w:id="254"/>
      <w:bookmarkEnd w:id="255"/>
    </w:p>
    <w:p w14:paraId="341B0739">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lang w:eastAsia="zh-CN"/>
        </w:rPr>
        <w:t>调查与评价</w:t>
      </w:r>
      <w:r>
        <w:rPr>
          <w:rFonts w:hint="eastAsia" w:ascii="宋体" w:hAnsi="宋体" w:cs="宋体"/>
          <w:bCs/>
          <w:color w:val="auto"/>
          <w:kern w:val="0"/>
          <w:sz w:val="24"/>
          <w:highlight w:val="none"/>
        </w:rPr>
        <w:t>方案应包括(但不限于)下列内容：</w:t>
      </w:r>
    </w:p>
    <w:p w14:paraId="6F8B809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一、工程概况；</w:t>
      </w:r>
    </w:p>
    <w:p w14:paraId="3D80F30A">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二、</w:t>
      </w:r>
      <w:r>
        <w:rPr>
          <w:rFonts w:hint="eastAsia" w:ascii="宋体" w:hAnsi="宋体" w:cs="宋体"/>
          <w:bCs/>
          <w:color w:val="auto"/>
          <w:kern w:val="0"/>
          <w:sz w:val="24"/>
          <w:highlight w:val="none"/>
          <w:lang w:eastAsia="zh-CN"/>
        </w:rPr>
        <w:t>工作</w:t>
      </w:r>
      <w:r>
        <w:rPr>
          <w:rFonts w:hint="eastAsia" w:ascii="宋体" w:hAnsi="宋体" w:cs="宋体"/>
          <w:bCs/>
          <w:color w:val="auto"/>
          <w:kern w:val="0"/>
          <w:sz w:val="24"/>
          <w:highlight w:val="none"/>
        </w:rPr>
        <w:t>范围和内容；</w:t>
      </w:r>
    </w:p>
    <w:p w14:paraId="5E927DB1">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三、</w:t>
      </w:r>
      <w:r>
        <w:rPr>
          <w:rFonts w:hint="eastAsia" w:ascii="宋体" w:hAnsi="宋体" w:cs="宋体"/>
          <w:bCs/>
          <w:color w:val="auto"/>
          <w:kern w:val="0"/>
          <w:sz w:val="24"/>
          <w:highlight w:val="none"/>
          <w:lang w:eastAsia="zh-CN"/>
        </w:rPr>
        <w:t>工作</w:t>
      </w:r>
      <w:r>
        <w:rPr>
          <w:rFonts w:hint="eastAsia" w:ascii="宋体" w:hAnsi="宋体" w:cs="宋体"/>
          <w:bCs/>
          <w:color w:val="auto"/>
          <w:kern w:val="0"/>
          <w:sz w:val="24"/>
          <w:highlight w:val="none"/>
        </w:rPr>
        <w:t>依据、工作目标和进度计划；</w:t>
      </w:r>
    </w:p>
    <w:p w14:paraId="00657A04">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四、机构设置(框图)、岗位职责；</w:t>
      </w:r>
    </w:p>
    <w:p w14:paraId="31D4A2F6">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五、拟投入的人员；</w:t>
      </w:r>
    </w:p>
    <w:p w14:paraId="0F559585">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六、工作重点、难点分析；</w:t>
      </w:r>
    </w:p>
    <w:p w14:paraId="3F43CB78">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七、</w:t>
      </w:r>
      <w:r>
        <w:rPr>
          <w:rFonts w:hint="eastAsia" w:ascii="宋体" w:hAnsi="宋体" w:cs="宋体"/>
          <w:bCs/>
          <w:color w:val="auto"/>
          <w:kern w:val="0"/>
          <w:sz w:val="24"/>
          <w:highlight w:val="none"/>
          <w:lang w:eastAsia="zh-CN"/>
        </w:rPr>
        <w:t>调查与评价</w:t>
      </w:r>
      <w:r>
        <w:rPr>
          <w:rFonts w:hint="eastAsia" w:ascii="宋体" w:hAnsi="宋体" w:cs="宋体"/>
          <w:bCs/>
          <w:color w:val="auto"/>
          <w:kern w:val="0"/>
          <w:sz w:val="24"/>
          <w:highlight w:val="none"/>
        </w:rPr>
        <w:t>方案及说明；</w:t>
      </w:r>
    </w:p>
    <w:p w14:paraId="63839BD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八、工作质量、进度、保密等</w:t>
      </w:r>
      <w:r>
        <w:rPr>
          <w:rFonts w:hint="eastAsia" w:ascii="宋体" w:hAnsi="宋体" w:cs="宋体"/>
          <w:bCs/>
          <w:color w:val="auto"/>
          <w:kern w:val="0"/>
          <w:sz w:val="24"/>
          <w:highlight w:val="none"/>
          <w:lang w:eastAsia="zh-CN"/>
        </w:rPr>
        <w:t>保障</w:t>
      </w:r>
      <w:r>
        <w:rPr>
          <w:rFonts w:hint="eastAsia" w:ascii="宋体" w:hAnsi="宋体" w:cs="宋体"/>
          <w:bCs/>
          <w:color w:val="auto"/>
          <w:kern w:val="0"/>
          <w:sz w:val="24"/>
          <w:highlight w:val="none"/>
        </w:rPr>
        <w:t>措施；</w:t>
      </w:r>
    </w:p>
    <w:p w14:paraId="6E18D6DE">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九、安全保证措施；</w:t>
      </w:r>
    </w:p>
    <w:p w14:paraId="2DA7B032">
      <w:pPr>
        <w:jc w:val="left"/>
        <w:rPr>
          <w:rFonts w:hint="eastAsia"/>
          <w:color w:val="auto"/>
          <w:highlight w:val="none"/>
        </w:rPr>
      </w:pPr>
      <w:r>
        <w:rPr>
          <w:rFonts w:hint="eastAsia" w:ascii="宋体" w:hAnsi="宋体" w:cs="宋体"/>
          <w:bCs/>
          <w:color w:val="auto"/>
          <w:kern w:val="0"/>
          <w:sz w:val="24"/>
          <w:highlight w:val="none"/>
        </w:rPr>
        <w:t>十、</w:t>
      </w:r>
      <w:r>
        <w:rPr>
          <w:rFonts w:hint="eastAsia" w:ascii="宋体" w:hAnsi="宋体" w:cs="宋体"/>
          <w:bCs/>
          <w:color w:val="auto"/>
          <w:kern w:val="0"/>
          <w:sz w:val="24"/>
          <w:highlight w:val="none"/>
          <w:lang w:eastAsia="zh-CN"/>
        </w:rPr>
        <w:t>其他</w:t>
      </w:r>
      <w:r>
        <w:rPr>
          <w:rFonts w:hint="eastAsia" w:ascii="宋体" w:hAnsi="宋体" w:cs="宋体"/>
          <w:bCs/>
          <w:color w:val="auto"/>
          <w:kern w:val="0"/>
          <w:sz w:val="24"/>
          <w:highlight w:val="none"/>
        </w:rPr>
        <w:t>。</w:t>
      </w:r>
    </w:p>
    <w:p w14:paraId="43A2CAFF">
      <w:pPr>
        <w:jc w:val="left"/>
        <w:rPr>
          <w:color w:val="auto"/>
          <w:highlight w:val="none"/>
        </w:rPr>
      </w:pPr>
      <w:r>
        <w:rPr>
          <w:color w:val="auto"/>
          <w:highlight w:val="none"/>
        </w:rPr>
        <w:br w:type="page"/>
      </w:r>
    </w:p>
    <w:p w14:paraId="59C2384B">
      <w:pPr>
        <w:pStyle w:val="10"/>
        <w:rPr>
          <w:color w:val="auto"/>
          <w:highlight w:val="none"/>
        </w:rPr>
      </w:pPr>
    </w:p>
    <w:p w14:paraId="35841E38">
      <w:pPr>
        <w:snapToGrid w:val="0"/>
        <w:spacing w:line="360" w:lineRule="auto"/>
        <w:jc w:val="center"/>
        <w:outlineLvl w:val="1"/>
        <w:rPr>
          <w:rFonts w:ascii="黑体" w:hAnsi="黑体" w:eastAsia="黑体" w:cs="黑体"/>
          <w:color w:val="auto"/>
          <w:sz w:val="36"/>
          <w:szCs w:val="36"/>
          <w:highlight w:val="none"/>
        </w:rPr>
      </w:pPr>
      <w:bookmarkStart w:id="256" w:name="_Toc17357"/>
      <w:bookmarkStart w:id="257" w:name="_Toc11398"/>
      <w:bookmarkStart w:id="258" w:name="_Toc7160"/>
      <w:bookmarkStart w:id="259" w:name="_Toc18260"/>
      <w:bookmarkStart w:id="260" w:name="_Toc16532"/>
      <w:bookmarkStart w:id="261" w:name="_Toc9181"/>
      <w:bookmarkStart w:id="262" w:name="_Toc6982"/>
      <w:bookmarkStart w:id="263" w:name="_Toc18158"/>
      <w:bookmarkStart w:id="264" w:name="_Toc25988"/>
      <w:bookmarkStart w:id="265" w:name="_Toc10278"/>
      <w:bookmarkStart w:id="266" w:name="_Toc24713"/>
      <w:bookmarkStart w:id="267" w:name="_Toc22873"/>
      <w:bookmarkStart w:id="268" w:name="_Toc21629"/>
      <w:bookmarkStart w:id="269" w:name="_Toc6562"/>
      <w:r>
        <w:rPr>
          <w:rFonts w:hint="eastAsia" w:ascii="黑体" w:hAnsi="黑体" w:eastAsia="黑体" w:cs="黑体"/>
          <w:color w:val="auto"/>
          <w:sz w:val="36"/>
          <w:szCs w:val="36"/>
          <w:highlight w:val="none"/>
          <w:lang w:eastAsia="zh-CN"/>
        </w:rPr>
        <w:t>七</w:t>
      </w:r>
      <w:r>
        <w:rPr>
          <w:rFonts w:hint="eastAsia" w:ascii="黑体" w:hAnsi="黑体" w:eastAsia="黑体" w:cs="黑体"/>
          <w:color w:val="auto"/>
          <w:sz w:val="36"/>
          <w:szCs w:val="36"/>
          <w:highlight w:val="none"/>
        </w:rPr>
        <w:t>、其他资料</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67DE7135">
      <w:pPr>
        <w:pStyle w:val="10"/>
        <w:rPr>
          <w:color w:val="auto"/>
          <w:highlight w:val="none"/>
        </w:rPr>
      </w:pPr>
      <w:r>
        <w:rPr>
          <w:rFonts w:hint="eastAsia"/>
          <w:color w:val="auto"/>
          <w:highlight w:val="none"/>
        </w:rPr>
        <w:t>供应商认为需提供的其他资料。</w:t>
      </w:r>
    </w:p>
    <w:p w14:paraId="00C078C4">
      <w:pPr>
        <w:pStyle w:val="10"/>
        <w:rPr>
          <w:color w:val="auto"/>
          <w:highlight w:val="none"/>
        </w:rPr>
      </w:pPr>
    </w:p>
    <w:p w14:paraId="0425D9A0">
      <w:pPr>
        <w:autoSpaceDE w:val="0"/>
        <w:autoSpaceDN w:val="0"/>
        <w:spacing w:line="360" w:lineRule="auto"/>
        <w:ind w:firstLine="4080" w:firstLineChars="1700"/>
        <w:rPr>
          <w:rFonts w:ascii="宋体" w:hAnsi="宋体" w:cs="宋体"/>
          <w:color w:val="auto"/>
          <w:kern w:val="0"/>
          <w:sz w:val="24"/>
          <w:highlight w:val="none"/>
          <w:lang w:val="zh-CN"/>
        </w:rPr>
        <w:sectPr>
          <w:pgSz w:w="11910" w:h="16840"/>
          <w:pgMar w:top="1340" w:right="1446" w:bottom="1185" w:left="1508" w:header="720" w:footer="720" w:gutter="0"/>
          <w:cols w:space="720" w:num="1"/>
        </w:sectPr>
      </w:pPr>
    </w:p>
    <w:p w14:paraId="47E04EE1">
      <w:pPr>
        <w:pStyle w:val="2"/>
        <w:jc w:val="center"/>
        <w:rPr>
          <w:color w:val="auto"/>
          <w:highlight w:val="none"/>
        </w:rPr>
      </w:pPr>
      <w:bookmarkStart w:id="270" w:name="_Toc28124"/>
      <w:bookmarkStart w:id="271" w:name="_Toc12521"/>
      <w:bookmarkStart w:id="272" w:name="_Toc3404"/>
      <w:bookmarkStart w:id="273" w:name="_Toc7406"/>
      <w:bookmarkStart w:id="274" w:name="_Toc19259"/>
      <w:bookmarkStart w:id="275" w:name="_Toc340"/>
      <w:bookmarkStart w:id="276" w:name="_Toc24538"/>
      <w:bookmarkStart w:id="277" w:name="_Toc13982"/>
      <w:bookmarkStart w:id="278" w:name="_Toc26207"/>
      <w:bookmarkStart w:id="279" w:name="_Toc2825"/>
      <w:bookmarkStart w:id="280" w:name="_Toc20211"/>
      <w:bookmarkStart w:id="281" w:name="_Toc10311"/>
      <w:bookmarkStart w:id="282" w:name="_Toc10231"/>
      <w:bookmarkStart w:id="283" w:name="_Toc15513"/>
      <w:bookmarkStart w:id="284" w:name="_Toc32704"/>
      <w:bookmarkStart w:id="285" w:name="_Toc28928"/>
      <w:bookmarkStart w:id="286" w:name="_Toc16353"/>
      <w:bookmarkStart w:id="287" w:name="_Toc10947"/>
      <w:bookmarkStart w:id="288" w:name="_Toc5554"/>
      <w:r>
        <w:rPr>
          <w:rFonts w:hint="eastAsia"/>
          <w:color w:val="auto"/>
          <w:highlight w:val="none"/>
        </w:rPr>
        <w:t>第六章 合同条款</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17528656">
      <w:pPr>
        <w:pStyle w:val="45"/>
        <w:spacing w:line="360" w:lineRule="auto"/>
        <w:jc w:val="center"/>
        <w:rPr>
          <w:rFonts w:ascii="宋体" w:hAnsi="宋体" w:cs="宋体"/>
          <w:b/>
          <w:bCs/>
          <w:color w:val="auto"/>
          <w:sz w:val="44"/>
          <w:szCs w:val="28"/>
          <w:highlight w:val="none"/>
        </w:rPr>
      </w:pPr>
      <w:bookmarkStart w:id="289" w:name="_Toc21039"/>
      <w:bookmarkStart w:id="290" w:name="_Toc22523"/>
      <w:bookmarkStart w:id="291" w:name="_Toc4827"/>
      <w:bookmarkStart w:id="292" w:name="_Toc25321"/>
      <w:bookmarkStart w:id="293" w:name="_Toc6445"/>
      <w:bookmarkStart w:id="294" w:name="_Toc26106"/>
      <w:r>
        <w:rPr>
          <w:rFonts w:hint="eastAsia" w:ascii="宋体" w:hAnsi="宋体" w:cs="宋体"/>
          <w:bCs/>
          <w:color w:val="auto"/>
          <w:sz w:val="44"/>
          <w:szCs w:val="40"/>
          <w:highlight w:val="none"/>
        </w:rPr>
        <w:t>钦州港20万吨级进港航道一期工程秋季海洋生态和水文动力环境现状调查与评价服务合同</w:t>
      </w:r>
    </w:p>
    <w:p w14:paraId="09218CD7">
      <w:pPr>
        <w:pStyle w:val="45"/>
        <w:spacing w:line="360" w:lineRule="auto"/>
        <w:jc w:val="center"/>
        <w:rPr>
          <w:rFonts w:ascii="宋体" w:hAnsi="宋体" w:cs="宋体"/>
          <w:color w:val="auto"/>
          <w:sz w:val="44"/>
          <w:szCs w:val="28"/>
          <w:highlight w:val="none"/>
        </w:rPr>
      </w:pPr>
    </w:p>
    <w:p w14:paraId="421574BC">
      <w:pPr>
        <w:pStyle w:val="45"/>
        <w:spacing w:line="360" w:lineRule="auto"/>
        <w:jc w:val="center"/>
        <w:rPr>
          <w:rFonts w:ascii="宋体" w:hAnsi="宋体" w:cs="宋体"/>
          <w:color w:val="auto"/>
          <w:sz w:val="44"/>
          <w:szCs w:val="28"/>
          <w:highlight w:val="none"/>
        </w:rPr>
      </w:pPr>
    </w:p>
    <w:p w14:paraId="25358FEE">
      <w:pPr>
        <w:pStyle w:val="45"/>
        <w:jc w:val="center"/>
        <w:rPr>
          <w:rFonts w:eastAsia="楷体_GB2312"/>
          <w:color w:val="auto"/>
          <w:sz w:val="36"/>
          <w:highlight w:val="none"/>
        </w:rPr>
      </w:pPr>
    </w:p>
    <w:p w14:paraId="54962498">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甲方：</w:t>
      </w:r>
      <w:r>
        <w:rPr>
          <w:rFonts w:hint="eastAsia" w:ascii="宋体" w:hAnsi="宋体"/>
          <w:bCs/>
          <w:color w:val="auto"/>
          <w:sz w:val="32"/>
          <w:highlight w:val="none"/>
          <w:u w:val="single"/>
          <w:lang w:eastAsia="zh-CN"/>
        </w:rPr>
        <w:t>广西壮族自治区水运发展中心</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p>
    <w:p w14:paraId="45321449">
      <w:pPr>
        <w:pStyle w:val="45"/>
        <w:spacing w:line="360" w:lineRule="auto"/>
        <w:ind w:left="2558" w:leftChars="304" w:hanging="1920" w:hangingChars="600"/>
        <w:rPr>
          <w:rFonts w:ascii="宋体" w:hAnsi="宋体"/>
          <w:bCs/>
          <w:color w:val="auto"/>
          <w:sz w:val="36"/>
          <w:highlight w:val="none"/>
        </w:rPr>
      </w:pPr>
      <w:r>
        <w:rPr>
          <w:rFonts w:hint="eastAsia" w:ascii="宋体" w:hAnsi="宋体"/>
          <w:bCs/>
          <w:color w:val="auto"/>
          <w:sz w:val="32"/>
          <w:highlight w:val="none"/>
        </w:rPr>
        <w:t>乙方：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r>
        <w:rPr>
          <w:rFonts w:ascii="宋体" w:hAnsi="宋体"/>
          <w:bCs/>
          <w:color w:val="auto"/>
          <w:sz w:val="36"/>
          <w:highlight w:val="none"/>
        </w:rPr>
        <w:t xml:space="preserve">     </w:t>
      </w:r>
    </w:p>
    <w:p w14:paraId="50ED1F5F">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签订时间：</w:t>
      </w:r>
      <w:r>
        <w:rPr>
          <w:rFonts w:ascii="宋体" w:hAnsi="宋体"/>
          <w:bCs/>
          <w:color w:val="auto"/>
          <w:sz w:val="32"/>
          <w:highlight w:val="none"/>
          <w:u w:val="single"/>
        </w:rPr>
        <w:t xml:space="preserve">      年    月    日</w:t>
      </w:r>
      <w:r>
        <w:rPr>
          <w:rFonts w:ascii="宋体" w:hAnsi="宋体"/>
          <w:bCs/>
          <w:color w:val="auto"/>
          <w:sz w:val="32"/>
          <w:highlight w:val="none"/>
        </w:rPr>
        <w:t xml:space="preserve">                </w:t>
      </w:r>
    </w:p>
    <w:p w14:paraId="2B2F8ECE">
      <w:pPr>
        <w:pStyle w:val="45"/>
        <w:spacing w:line="360" w:lineRule="auto"/>
        <w:ind w:firstLine="640" w:firstLineChars="200"/>
        <w:rPr>
          <w:rFonts w:ascii="宋体" w:hAnsi="宋体"/>
          <w:b/>
          <w:color w:val="auto"/>
          <w:sz w:val="32"/>
          <w:highlight w:val="none"/>
        </w:rPr>
      </w:pPr>
      <w:r>
        <w:rPr>
          <w:rFonts w:hint="eastAsia" w:ascii="宋体" w:hAnsi="宋体"/>
          <w:bCs/>
          <w:color w:val="auto"/>
          <w:sz w:val="32"/>
          <w:highlight w:val="none"/>
        </w:rPr>
        <w:t>签订地点：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南宁市 </w:t>
      </w:r>
      <w:r>
        <w:rPr>
          <w:rFonts w:ascii="宋体" w:hAnsi="宋体"/>
          <w:bCs/>
          <w:color w:val="auto"/>
          <w:sz w:val="32"/>
          <w:highlight w:val="none"/>
          <w:u w:val="single"/>
        </w:rPr>
        <w:t xml:space="preserve">   </w:t>
      </w:r>
      <w:r>
        <w:rPr>
          <w:rFonts w:ascii="宋体" w:hAnsi="宋体"/>
          <w:bCs/>
          <w:color w:val="auto"/>
          <w:sz w:val="32"/>
          <w:highlight w:val="none"/>
        </w:rPr>
        <w:t xml:space="preserve">     </w:t>
      </w:r>
      <w:r>
        <w:rPr>
          <w:rFonts w:ascii="宋体" w:hAnsi="宋体"/>
          <w:b/>
          <w:color w:val="auto"/>
          <w:sz w:val="32"/>
          <w:highlight w:val="none"/>
        </w:rPr>
        <w:t xml:space="preserve">              </w:t>
      </w:r>
    </w:p>
    <w:p w14:paraId="4531D64F">
      <w:pPr>
        <w:pStyle w:val="45"/>
        <w:rPr>
          <w:rFonts w:ascii="宋体" w:hAnsi="宋体"/>
          <w:color w:val="auto"/>
          <w:sz w:val="36"/>
          <w:highlight w:val="none"/>
        </w:rPr>
      </w:pPr>
    </w:p>
    <w:p w14:paraId="37330C8C">
      <w:pPr>
        <w:pStyle w:val="45"/>
        <w:rPr>
          <w:rFonts w:ascii="宋体" w:hAnsi="宋体"/>
          <w:color w:val="auto"/>
          <w:sz w:val="36"/>
          <w:highlight w:val="none"/>
        </w:rPr>
      </w:pPr>
    </w:p>
    <w:p w14:paraId="1EEA579C">
      <w:pPr>
        <w:pStyle w:val="45"/>
        <w:rPr>
          <w:rFonts w:ascii="宋体" w:hAnsi="宋体"/>
          <w:color w:val="auto"/>
          <w:sz w:val="36"/>
          <w:highlight w:val="none"/>
        </w:rPr>
      </w:pPr>
    </w:p>
    <w:p w14:paraId="46E9509E">
      <w:pPr>
        <w:pStyle w:val="10"/>
        <w:rPr>
          <w:rFonts w:ascii="宋体" w:hAnsi="宋体"/>
          <w:color w:val="auto"/>
          <w:sz w:val="36"/>
          <w:highlight w:val="none"/>
        </w:rPr>
      </w:pPr>
    </w:p>
    <w:p w14:paraId="4813EB47">
      <w:pPr>
        <w:pStyle w:val="10"/>
        <w:rPr>
          <w:rFonts w:ascii="宋体" w:hAnsi="宋体"/>
          <w:color w:val="auto"/>
          <w:sz w:val="36"/>
          <w:highlight w:val="none"/>
        </w:rPr>
      </w:pPr>
    </w:p>
    <w:p w14:paraId="6E0FA860">
      <w:pPr>
        <w:pStyle w:val="10"/>
        <w:rPr>
          <w:rFonts w:ascii="宋体" w:hAnsi="宋体"/>
          <w:color w:val="auto"/>
          <w:sz w:val="36"/>
          <w:highlight w:val="none"/>
        </w:rPr>
      </w:pPr>
    </w:p>
    <w:p w14:paraId="59BC1C78">
      <w:pPr>
        <w:pStyle w:val="10"/>
        <w:rPr>
          <w:rFonts w:ascii="宋体" w:hAnsi="宋体"/>
          <w:color w:val="auto"/>
          <w:sz w:val="36"/>
          <w:highlight w:val="none"/>
        </w:rPr>
      </w:pPr>
    </w:p>
    <w:p w14:paraId="422F662F">
      <w:pPr>
        <w:pStyle w:val="45"/>
        <w:jc w:val="center"/>
        <w:rPr>
          <w:rFonts w:eastAsia="黑体"/>
          <w:color w:val="auto"/>
          <w:sz w:val="44"/>
          <w:highlight w:val="none"/>
        </w:rPr>
      </w:pPr>
    </w:p>
    <w:p w14:paraId="672A5234">
      <w:pPr>
        <w:spacing w:before="156" w:beforeLines="50" w:after="156" w:afterLines="50" w:line="360" w:lineRule="auto"/>
        <w:jc w:val="center"/>
        <w:outlineLvl w:val="1"/>
        <w:rPr>
          <w:rFonts w:hint="eastAsia" w:ascii="宋体" w:hAnsi="宋体" w:cs="宋体"/>
          <w:b/>
          <w:szCs w:val="21"/>
        </w:rPr>
      </w:pPr>
      <w:r>
        <w:rPr>
          <w:rFonts w:hint="eastAsia" w:eastAsia="黑体"/>
          <w:color w:val="auto"/>
          <w:sz w:val="44"/>
          <w:highlight w:val="none"/>
        </w:rPr>
        <w:br w:type="page"/>
      </w:r>
      <w:bookmarkStart w:id="295" w:name="_Toc3598"/>
      <w:bookmarkStart w:id="296" w:name="_Toc12295"/>
      <w:bookmarkStart w:id="297" w:name="_Toc3027"/>
      <w:bookmarkStart w:id="298" w:name="_Toc10522"/>
      <w:bookmarkStart w:id="299" w:name="_Toc20596"/>
      <w:bookmarkStart w:id="300" w:name="_Toc29652"/>
      <w:bookmarkStart w:id="301" w:name="_Toc12851"/>
      <w:bookmarkStart w:id="302" w:name="_Toc9537"/>
      <w:bookmarkStart w:id="303" w:name="_Toc29798"/>
      <w:bookmarkStart w:id="304" w:name="_Toc18620"/>
      <w:bookmarkStart w:id="305" w:name="_Toc32046"/>
      <w:bookmarkStart w:id="306" w:name="_Toc1890"/>
      <w:bookmarkStart w:id="307" w:name="_Toc4799"/>
      <w:bookmarkStart w:id="308" w:name="_Toc5621"/>
      <w:r>
        <w:rPr>
          <w:rFonts w:hint="eastAsia" w:ascii="黑体" w:hAnsi="宋体" w:eastAsia="黑体"/>
          <w:sz w:val="32"/>
          <w:szCs w:val="32"/>
        </w:rPr>
        <w:t>合同协议书</w:t>
      </w:r>
      <w:bookmarkEnd w:id="295"/>
      <w:bookmarkEnd w:id="296"/>
      <w:bookmarkEnd w:id="297"/>
      <w:bookmarkEnd w:id="298"/>
      <w:bookmarkEnd w:id="299"/>
      <w:bookmarkEnd w:id="300"/>
      <w:bookmarkEnd w:id="301"/>
      <w:bookmarkEnd w:id="302"/>
      <w:bookmarkEnd w:id="303"/>
      <w:bookmarkEnd w:id="304"/>
      <w:bookmarkEnd w:id="305"/>
    </w:p>
    <w:p w14:paraId="4D00D2E4">
      <w:pPr>
        <w:pStyle w:val="45"/>
        <w:spacing w:line="360" w:lineRule="auto"/>
        <w:ind w:firstLine="482" w:firstLineChars="200"/>
        <w:rPr>
          <w:rFonts w:hint="eastAsia" w:ascii="宋体" w:hAnsi="宋体" w:cs="宋体"/>
          <w:color w:val="000000"/>
          <w:sz w:val="24"/>
          <w:szCs w:val="24"/>
        </w:rPr>
      </w:pPr>
      <w:r>
        <w:rPr>
          <w:rFonts w:hint="eastAsia" w:ascii="宋体" w:hAnsi="宋体" w:cs="宋体"/>
          <w:b/>
          <w:color w:val="000000"/>
          <w:sz w:val="24"/>
          <w:szCs w:val="24"/>
        </w:rPr>
        <w:t>甲方</w:t>
      </w:r>
      <w:r>
        <w:rPr>
          <w:rFonts w:hint="eastAsia" w:ascii="宋体" w:hAnsi="宋体" w:cs="宋体"/>
          <w:color w:val="000000"/>
          <w:sz w:val="24"/>
          <w:szCs w:val="24"/>
        </w:rPr>
        <w:t>：广西壮族自治区水运发展中心</w:t>
      </w:r>
    </w:p>
    <w:p w14:paraId="23ABEB5A">
      <w:pPr>
        <w:pStyle w:val="45"/>
        <w:spacing w:line="360" w:lineRule="auto"/>
        <w:ind w:left="963" w:leftChars="229" w:hanging="482" w:hangingChars="200"/>
        <w:rPr>
          <w:rFonts w:hint="eastAsia" w:ascii="宋体" w:hAnsi="宋体" w:eastAsia="宋体" w:cs="宋体"/>
          <w:color w:val="000000"/>
          <w:sz w:val="24"/>
          <w:szCs w:val="24"/>
          <w:lang w:eastAsia="zh-CN"/>
        </w:rPr>
      </w:pPr>
      <w:r>
        <w:rPr>
          <w:rFonts w:hint="eastAsia" w:ascii="宋体" w:hAnsi="宋体" w:cs="宋体"/>
          <w:b/>
          <w:color w:val="000000"/>
          <w:sz w:val="24"/>
          <w:szCs w:val="24"/>
        </w:rPr>
        <w:t>乙方</w:t>
      </w:r>
      <w:r>
        <w:rPr>
          <w:rFonts w:hint="eastAsia" w:ascii="宋体" w:hAnsi="宋体" w:cs="宋体"/>
          <w:color w:val="000000"/>
          <w:sz w:val="24"/>
          <w:szCs w:val="24"/>
        </w:rPr>
        <w:t>：</w:t>
      </w:r>
      <w:r>
        <w:rPr>
          <w:rFonts w:hint="eastAsia" w:ascii="宋体" w:hAnsi="宋体" w:cs="宋体"/>
          <w:color w:val="000000"/>
          <w:sz w:val="24"/>
          <w:szCs w:val="24"/>
          <w:lang w:val="en-US" w:eastAsia="zh-CN"/>
        </w:rPr>
        <w:t xml:space="preserve"> </w:t>
      </w:r>
    </w:p>
    <w:p w14:paraId="6162817C">
      <w:pPr>
        <w:pStyle w:val="45"/>
        <w:spacing w:line="360" w:lineRule="auto"/>
        <w:ind w:firstLine="480" w:firstLineChars="200"/>
        <w:rPr>
          <w:rFonts w:hint="eastAsia" w:ascii="宋体" w:hAnsi="宋体" w:cs="宋体"/>
          <w:color w:val="000000"/>
          <w:sz w:val="24"/>
          <w:szCs w:val="24"/>
        </w:rPr>
      </w:pPr>
    </w:p>
    <w:p w14:paraId="594F8DD6">
      <w:pPr>
        <w:pStyle w:val="45"/>
        <w:spacing w:line="360" w:lineRule="auto"/>
        <w:ind w:firstLine="480" w:firstLineChars="200"/>
        <w:jc w:val="left"/>
        <w:rPr>
          <w:rFonts w:hint="eastAsia" w:ascii="宋体" w:hAnsi="宋体" w:cs="宋体"/>
          <w:sz w:val="24"/>
          <w:szCs w:val="24"/>
          <w:u w:val="single"/>
        </w:rPr>
      </w:pPr>
      <w:r>
        <w:rPr>
          <w:rFonts w:hint="eastAsia" w:ascii="宋体" w:hAnsi="宋体" w:cs="宋体"/>
          <w:sz w:val="24"/>
          <w:szCs w:val="24"/>
        </w:rPr>
        <w:t>甲方通过公开采购的方式委托乙方承担</w:t>
      </w:r>
      <w:r>
        <w:rPr>
          <w:rFonts w:hint="eastAsia" w:ascii="宋体" w:hAnsi="宋体" w:cs="宋体"/>
          <w:bCs/>
          <w:sz w:val="24"/>
          <w:szCs w:val="24"/>
          <w:u w:val="single"/>
        </w:rPr>
        <w:t xml:space="preserve">钦州港20万吨级进港航道一期工程秋季海洋生态和水文动力环境现状调查与评价服务 </w:t>
      </w:r>
      <w:r>
        <w:rPr>
          <w:rFonts w:hint="eastAsia" w:ascii="宋体" w:hAnsi="宋体" w:cs="宋体"/>
          <w:bCs/>
          <w:sz w:val="24"/>
          <w:szCs w:val="24"/>
        </w:rPr>
        <w:t>工作</w:t>
      </w:r>
      <w:r>
        <w:rPr>
          <w:rFonts w:hint="eastAsia" w:ascii="宋体" w:hAnsi="宋体" w:cs="宋体"/>
          <w:sz w:val="24"/>
          <w:szCs w:val="24"/>
        </w:rPr>
        <w:t>，并支付相应的服务报酬。双方经过平等协商，在真实、充分地表达各自意愿的基础上，根据《中华人民共和国民法典》的规定，达成如下协议，并由双方共同恪守。</w:t>
      </w:r>
    </w:p>
    <w:p w14:paraId="72E9E45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第一条 下列文件一起构成合同文件：</w:t>
      </w:r>
    </w:p>
    <w:p w14:paraId="0045D60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1.合同协议书；</w:t>
      </w:r>
    </w:p>
    <w:p w14:paraId="15F372B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2.中标通知书；</w:t>
      </w:r>
    </w:p>
    <w:p w14:paraId="75C4CA0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3.投标函；</w:t>
      </w:r>
    </w:p>
    <w:p w14:paraId="6378564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4.采购需求；</w:t>
      </w:r>
    </w:p>
    <w:p w14:paraId="137BBB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5.报价清单；</w:t>
      </w:r>
    </w:p>
    <w:p w14:paraId="074E163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cs="宋体"/>
          <w:sz w:val="24"/>
          <w:szCs w:val="24"/>
          <w:lang w:eastAsia="zh-CN"/>
        </w:rPr>
        <w:t>调查与评价</w:t>
      </w:r>
      <w:r>
        <w:rPr>
          <w:rFonts w:hint="eastAsia" w:ascii="宋体" w:hAnsi="宋体" w:cs="宋体"/>
          <w:sz w:val="24"/>
          <w:szCs w:val="24"/>
        </w:rPr>
        <w:t>方案；</w:t>
      </w:r>
    </w:p>
    <w:p w14:paraId="1F61B63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7.构成本合同组成部分的其他文件。</w:t>
      </w:r>
    </w:p>
    <w:p w14:paraId="0B48F7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上述合同文件互相补充和解释。如果合同文件之间存在矛盾或不一致之处，以上述文件的排列顺序在先者为准。</w:t>
      </w:r>
    </w:p>
    <w:p w14:paraId="782824A7">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第二条 甲方委托乙方进行服务的内容如下：</w:t>
      </w:r>
    </w:p>
    <w:p w14:paraId="4224C88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1．项目名称：</w:t>
      </w:r>
      <w:r>
        <w:rPr>
          <w:rFonts w:hint="eastAsia" w:ascii="宋体" w:hAnsi="宋体" w:cs="宋体"/>
          <w:bCs/>
          <w:sz w:val="24"/>
          <w:szCs w:val="24"/>
          <w:u w:val="single"/>
        </w:rPr>
        <w:t>钦州港20万吨级进港航道一期工程秋季海洋生态和水文动力环境现状调查与评价服务</w:t>
      </w:r>
    </w:p>
    <w:p w14:paraId="31FB9243">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2．服务的内容：钦州港20万吨级进港航道一期工程秋季海洋生态和水文动力环境现状调查与评价服务。根据</w:t>
      </w:r>
      <w:r>
        <w:rPr>
          <w:rFonts w:hint="eastAsia" w:ascii="宋体" w:hAnsi="宋体" w:cs="宋体"/>
          <w:sz w:val="24"/>
          <w:szCs w:val="24"/>
          <w:lang w:eastAsia="zh-CN"/>
        </w:rPr>
        <w:t>有关法律法规、标准规范，以及</w:t>
      </w:r>
      <w:r>
        <w:rPr>
          <w:rFonts w:hint="eastAsia" w:ascii="宋体" w:hAnsi="宋体" w:cs="宋体"/>
          <w:sz w:val="24"/>
          <w:szCs w:val="24"/>
        </w:rPr>
        <w:t>钦州港20万吨级进港航道一期工程</w:t>
      </w:r>
      <w:r>
        <w:rPr>
          <w:rFonts w:hint="eastAsia" w:ascii="宋体" w:hAnsi="宋体" w:cs="宋体"/>
          <w:sz w:val="24"/>
          <w:szCs w:val="24"/>
          <w:lang w:eastAsia="zh-CN"/>
        </w:rPr>
        <w:t>建设</w:t>
      </w:r>
      <w:r>
        <w:rPr>
          <w:rFonts w:hint="eastAsia" w:ascii="宋体" w:hAnsi="宋体" w:cs="宋体"/>
          <w:sz w:val="24"/>
          <w:szCs w:val="24"/>
        </w:rPr>
        <w:t>方案，开展2026年秋季海洋生态和水文动力环境现状调查，编制《钦州港20万吨级进港航道一期工程海洋生态环境调查分析评价报告（秋季）》和《钦州港20万吨级进港航道一期工程海洋水文动力现状调查分析评价报告（秋季）》。</w:t>
      </w:r>
    </w:p>
    <w:p w14:paraId="548C67F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3．服务的标准：</w:t>
      </w:r>
      <w:r>
        <w:rPr>
          <w:rFonts w:hint="eastAsia" w:ascii="宋体" w:hAnsi="宋体" w:cs="宋体"/>
          <w:sz w:val="24"/>
          <w:szCs w:val="24"/>
          <w:u w:val="single"/>
        </w:rPr>
        <w:t>执行国家和行业现行相关的技术标准、规范和规程。在项目实施过程中，如国家或有关部门颁布了新的技术标准，则</w:t>
      </w:r>
      <w:r>
        <w:rPr>
          <w:rFonts w:hint="eastAsia" w:ascii="宋体" w:hAnsi="宋体" w:cs="宋体"/>
          <w:sz w:val="24"/>
          <w:szCs w:val="24"/>
          <w:u w:val="single"/>
          <w:lang w:eastAsia="zh-CN"/>
        </w:rPr>
        <w:t>乙方</w:t>
      </w:r>
      <w:r>
        <w:rPr>
          <w:rFonts w:hint="eastAsia" w:ascii="宋体" w:hAnsi="宋体" w:cs="宋体"/>
          <w:sz w:val="24"/>
          <w:szCs w:val="24"/>
          <w:u w:val="single"/>
        </w:rPr>
        <w:t>应采用新的标准。现状调查与分析评价报告技术成果须满足工程对北部湾二长棘鲷长毛对虾国家级水产种质资源保护区影响专题论证报告、环境影响报告书和海域使用论证等涉海专题报告编制和报批技术要求</w:t>
      </w:r>
      <w:r>
        <w:rPr>
          <w:rFonts w:hint="eastAsia" w:ascii="宋体" w:hAnsi="宋体" w:cs="宋体"/>
          <w:sz w:val="24"/>
          <w:szCs w:val="24"/>
          <w:u w:val="single"/>
          <w:lang w:eastAsia="zh-CN"/>
        </w:rPr>
        <w:t>，工作</w:t>
      </w:r>
      <w:r>
        <w:rPr>
          <w:rFonts w:hint="eastAsia" w:ascii="宋体" w:hAnsi="宋体" w:cs="宋体"/>
          <w:sz w:val="24"/>
          <w:szCs w:val="24"/>
          <w:u w:val="single"/>
        </w:rPr>
        <w:t>成果</w:t>
      </w:r>
      <w:r>
        <w:rPr>
          <w:rFonts w:hint="eastAsia" w:ascii="宋体" w:hAnsi="宋体" w:cs="宋体"/>
          <w:sz w:val="24"/>
          <w:szCs w:val="24"/>
          <w:u w:val="single"/>
          <w:lang w:val="en-GB"/>
        </w:rPr>
        <w:t>通过专家评审</w:t>
      </w:r>
      <w:r>
        <w:rPr>
          <w:rFonts w:hint="eastAsia" w:ascii="宋体" w:hAnsi="宋体" w:cs="宋体"/>
          <w:sz w:val="24"/>
          <w:szCs w:val="24"/>
          <w:u w:val="single"/>
          <w:lang w:val="en-GB" w:eastAsia="zh-CN"/>
        </w:rPr>
        <w:t>、</w:t>
      </w:r>
      <w:r>
        <w:rPr>
          <w:rFonts w:hint="eastAsia" w:ascii="宋体" w:hAnsi="宋体" w:cs="宋体"/>
          <w:sz w:val="24"/>
          <w:szCs w:val="24"/>
          <w:u w:val="single"/>
          <w:lang w:val="en-GB"/>
        </w:rPr>
        <w:t>验收合格</w:t>
      </w:r>
      <w:r>
        <w:rPr>
          <w:rFonts w:hint="eastAsia" w:ascii="宋体" w:hAnsi="宋体" w:cs="宋体"/>
          <w:sz w:val="24"/>
          <w:szCs w:val="24"/>
          <w:u w:val="single"/>
        </w:rPr>
        <w:t>。</w:t>
      </w:r>
      <w:r>
        <w:rPr>
          <w:rFonts w:hint="eastAsia" w:ascii="宋体" w:hAnsi="宋体" w:cs="宋体"/>
          <w:sz w:val="24"/>
          <w:szCs w:val="24"/>
        </w:rPr>
        <w:t xml:space="preserve"> </w:t>
      </w:r>
    </w:p>
    <w:p w14:paraId="49C7F7E5">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第三条 乙方应按下列要求完成服务工作：</w:t>
      </w:r>
    </w:p>
    <w:p w14:paraId="194BBF54">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1．服务地点：</w:t>
      </w:r>
      <w:r>
        <w:rPr>
          <w:rFonts w:hint="eastAsia" w:ascii="宋体" w:hAnsi="宋体" w:cs="宋体"/>
          <w:sz w:val="24"/>
          <w:szCs w:val="24"/>
          <w:u w:val="single"/>
        </w:rPr>
        <w:t xml:space="preserve"> 采购人办公地点。采购人可根据需要指定其他地点  </w:t>
      </w:r>
      <w:r>
        <w:rPr>
          <w:rFonts w:hint="eastAsia" w:ascii="宋体" w:hAnsi="宋体" w:cs="宋体"/>
          <w:sz w:val="24"/>
          <w:szCs w:val="24"/>
        </w:rPr>
        <w:t>。</w:t>
      </w:r>
    </w:p>
    <w:p w14:paraId="482B1E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2．服务期限：</w:t>
      </w:r>
    </w:p>
    <w:p w14:paraId="7759C45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总工期为1</w:t>
      </w:r>
      <w:r>
        <w:rPr>
          <w:rFonts w:hint="eastAsia" w:ascii="宋体" w:hAnsi="宋体" w:cs="宋体"/>
          <w:sz w:val="24"/>
          <w:szCs w:val="24"/>
          <w:lang w:val="en-US" w:eastAsia="zh-CN"/>
        </w:rPr>
        <w:t>0</w:t>
      </w:r>
      <w:r>
        <w:rPr>
          <w:rFonts w:hint="eastAsia" w:ascii="宋体" w:hAnsi="宋体" w:cs="宋体"/>
          <w:sz w:val="24"/>
          <w:szCs w:val="24"/>
        </w:rPr>
        <w:t>0日历天。具体如下：</w:t>
      </w:r>
    </w:p>
    <w:p w14:paraId="731D115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合同签订后</w:t>
      </w:r>
      <w:r>
        <w:rPr>
          <w:rFonts w:hint="eastAsia" w:ascii="宋体" w:hAnsi="宋体" w:cs="宋体"/>
          <w:sz w:val="24"/>
          <w:szCs w:val="24"/>
        </w:rPr>
        <w:t>60天内，完成2026年秋季海洋生态和水文动力环境现状调查；</w:t>
      </w:r>
    </w:p>
    <w:p w14:paraId="1B83870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合同签订后</w:t>
      </w:r>
      <w:r>
        <w:rPr>
          <w:rFonts w:hint="eastAsia" w:ascii="宋体" w:hAnsi="宋体" w:cs="宋体"/>
          <w:sz w:val="24"/>
          <w:szCs w:val="24"/>
        </w:rPr>
        <w:t>90天内，完成《钦州港20万吨级进港航道一期工程海洋生态环境调查分析评价报告（秋季）》和《钦州港20万吨级进港航道一期工程海洋水文动力现状调查分析评价报告（秋季）》编制；</w:t>
      </w:r>
    </w:p>
    <w:p w14:paraId="557BCD4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（3）技术成果通过验收后，10天内提交最终成果。</w:t>
      </w:r>
    </w:p>
    <w:p w14:paraId="4BDEB1B8">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成果</w:t>
      </w:r>
      <w:r>
        <w:rPr>
          <w:rFonts w:hint="eastAsia" w:ascii="宋体" w:hAnsi="宋体" w:cs="宋体"/>
          <w:sz w:val="24"/>
          <w:szCs w:val="24"/>
          <w:lang w:eastAsia="zh-CN"/>
        </w:rPr>
        <w:t>评审</w:t>
      </w:r>
      <w:r>
        <w:rPr>
          <w:rFonts w:hint="eastAsia" w:ascii="宋体" w:hAnsi="宋体" w:cs="宋体"/>
          <w:sz w:val="24"/>
          <w:szCs w:val="24"/>
        </w:rPr>
        <w:t>验收时间另行计算，不计入总工期</w:t>
      </w:r>
      <w:r>
        <w:rPr>
          <w:rFonts w:hint="eastAsia" w:ascii="宋体" w:hAnsi="宋体" w:cs="宋体"/>
          <w:b/>
          <w:bCs/>
          <w:sz w:val="24"/>
          <w:szCs w:val="24"/>
        </w:rPr>
        <w:t>。</w:t>
      </w:r>
    </w:p>
    <w:p w14:paraId="338E77C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3．提交成果要求：</w:t>
      </w:r>
    </w:p>
    <w:p w14:paraId="4A86CC53">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（1）</w:t>
      </w:r>
      <w:r>
        <w:rPr>
          <w:rFonts w:hint="eastAsia" w:ascii="宋体" w:hAnsi="宋体" w:cs="宋体"/>
          <w:b/>
          <w:bCs/>
          <w:sz w:val="24"/>
          <w:szCs w:val="24"/>
        </w:rPr>
        <w:t>成果内容</w:t>
      </w:r>
    </w:p>
    <w:p w14:paraId="1AA971D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成果内容包括：</w:t>
      </w:r>
      <w:r>
        <w:rPr>
          <w:rFonts w:hint="eastAsia" w:ascii="宋体" w:hAnsi="宋体" w:cs="宋体"/>
          <w:b/>
          <w:bCs/>
          <w:sz w:val="24"/>
          <w:szCs w:val="24"/>
        </w:rPr>
        <w:t>《钦州港20万吨级进港航道一期工程海洋生态环境调查分析评价报告（秋季）》和《钦州港20万吨级进港航道一期工程海洋水文动力现状调查分析评价报告（秋季）》。</w:t>
      </w:r>
    </w:p>
    <w:p w14:paraId="057CAF5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（2）成果形式要求</w:t>
      </w:r>
    </w:p>
    <w:p w14:paraId="1CBE663C">
      <w:pPr>
        <w:pStyle w:val="45"/>
        <w:spacing w:line="360" w:lineRule="auto"/>
        <w:ind w:firstLine="482" w:firstLineChars="200"/>
        <w:rPr>
          <w:rFonts w:hint="eastAsia" w:ascii="宋体" w:hAnsi="宋体" w:cs="宋体"/>
          <w:b/>
          <w:bCs/>
          <w:sz w:val="24"/>
          <w:szCs w:val="24"/>
          <w:lang w:eastAsia="zh-CN"/>
        </w:rPr>
      </w:pPr>
      <w:r>
        <w:rPr>
          <w:rFonts w:hint="eastAsia" w:ascii="宋体" w:hAnsi="宋体" w:cs="宋体"/>
          <w:b/>
          <w:bCs/>
          <w:sz w:val="24"/>
          <w:szCs w:val="24"/>
        </w:rPr>
        <w:t>成果形式</w:t>
      </w:r>
      <w:r>
        <w:rPr>
          <w:rFonts w:hint="eastAsia" w:ascii="宋体" w:hAnsi="宋体" w:cs="宋体"/>
          <w:b/>
          <w:bCs/>
          <w:sz w:val="24"/>
          <w:szCs w:val="24"/>
          <w:lang w:eastAsia="zh-CN"/>
        </w:rPr>
        <w:t>包括：纸质成果和电子成果。要求如下：</w:t>
      </w:r>
    </w:p>
    <w:p w14:paraId="3C163684">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①</w:t>
      </w:r>
      <w:r>
        <w:rPr>
          <w:rFonts w:hint="eastAsia" w:ascii="宋体" w:hAnsi="宋体" w:cs="宋体"/>
          <w:b/>
          <w:bCs/>
          <w:sz w:val="24"/>
          <w:szCs w:val="24"/>
        </w:rPr>
        <w:t>纸质成果：最终成果文</w:t>
      </w:r>
      <w:r>
        <w:rPr>
          <w:rFonts w:hint="eastAsia" w:ascii="宋体" w:hAnsi="宋体" w:cs="宋体"/>
          <w:b/>
          <w:bCs/>
          <w:sz w:val="24"/>
          <w:szCs w:val="24"/>
          <w:lang w:eastAsia="zh-CN"/>
        </w:rPr>
        <w:t>件需按规定签字或签章，并加盖单位公章</w:t>
      </w:r>
      <w:r>
        <w:rPr>
          <w:rFonts w:hint="eastAsia" w:ascii="宋体" w:hAnsi="宋体" w:cs="宋体"/>
          <w:b/>
          <w:bCs/>
          <w:sz w:val="24"/>
          <w:szCs w:val="24"/>
        </w:rPr>
        <w:t>。</w:t>
      </w:r>
    </w:p>
    <w:p w14:paraId="4024D142">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eastAsia="zh-CN"/>
        </w:rPr>
        <w:t>②</w:t>
      </w:r>
      <w:r>
        <w:rPr>
          <w:rFonts w:hint="eastAsia" w:ascii="宋体" w:hAnsi="宋体" w:cs="宋体"/>
          <w:b/>
          <w:bCs/>
          <w:sz w:val="24"/>
          <w:szCs w:val="24"/>
        </w:rPr>
        <w:t>电子成果：</w:t>
      </w:r>
      <w:r>
        <w:rPr>
          <w:rFonts w:hint="eastAsia" w:ascii="宋体" w:hAnsi="宋体" w:cs="宋体"/>
          <w:b/>
          <w:bCs/>
          <w:sz w:val="24"/>
          <w:szCs w:val="24"/>
          <w:lang w:val="en-US" w:eastAsia="zh-CN"/>
        </w:rPr>
        <w:t>所有最终成果应提供电子文件，包括可编辑文档（</w:t>
      </w:r>
      <w:r>
        <w:rPr>
          <w:rFonts w:hint="eastAsia" w:ascii="宋体" w:hAnsi="宋体" w:cs="宋体"/>
          <w:b/>
          <w:bCs/>
          <w:sz w:val="24"/>
          <w:szCs w:val="24"/>
        </w:rPr>
        <w:t>文字为WORD格式、图纸为可编辑的CAD格式</w:t>
      </w:r>
      <w:r>
        <w:rPr>
          <w:rFonts w:hint="eastAsia" w:ascii="宋体" w:hAnsi="宋体" w:cs="宋体"/>
          <w:b/>
          <w:bCs/>
          <w:sz w:val="24"/>
          <w:szCs w:val="24"/>
          <w:lang w:val="en-US" w:eastAsia="zh-CN"/>
        </w:rPr>
        <w:t>）和按要求签字、签章的成果文件PDF或扫描件。</w:t>
      </w:r>
    </w:p>
    <w:p w14:paraId="37A8996B">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（3）成果交付份数</w:t>
      </w:r>
    </w:p>
    <w:p w14:paraId="4ADDFA79">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①</w:t>
      </w:r>
      <w:r>
        <w:rPr>
          <w:rFonts w:hint="eastAsia" w:ascii="宋体" w:hAnsi="宋体" w:cs="宋体"/>
          <w:b/>
          <w:bCs/>
          <w:sz w:val="24"/>
          <w:szCs w:val="24"/>
          <w:lang w:val="en-US" w:eastAsia="zh-CN"/>
        </w:rPr>
        <w:t>中间成果报告，一式20份，或者满足报告评审的需要。</w:t>
      </w:r>
    </w:p>
    <w:p w14:paraId="5F47F80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②</w:t>
      </w:r>
      <w:r>
        <w:rPr>
          <w:rFonts w:hint="eastAsia" w:ascii="宋体" w:hAnsi="宋体" w:cs="宋体"/>
          <w:b/>
          <w:bCs/>
          <w:sz w:val="24"/>
          <w:szCs w:val="24"/>
          <w:lang w:val="en-US" w:eastAsia="zh-CN"/>
        </w:rPr>
        <w:t>最终成果报告纸质文件各5份。</w:t>
      </w:r>
    </w:p>
    <w:p w14:paraId="4F856CE6">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③</w:t>
      </w:r>
      <w:r>
        <w:rPr>
          <w:rFonts w:hint="eastAsia" w:ascii="宋体" w:hAnsi="宋体" w:cs="宋体"/>
          <w:b/>
          <w:bCs/>
          <w:sz w:val="24"/>
          <w:szCs w:val="24"/>
          <w:lang w:val="en-US" w:eastAsia="zh-CN"/>
        </w:rPr>
        <w:t>最终成果电子文件（包括可编辑文档和按要求签章的成果文件的PDF或扫描件）一式2份，光盘和U盘各1份贮存。</w:t>
      </w:r>
    </w:p>
    <w:p w14:paraId="6147D3E9">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（4）</w:t>
      </w:r>
      <w:r>
        <w:rPr>
          <w:rFonts w:hint="eastAsia" w:ascii="宋体" w:hAnsi="宋体" w:cs="宋体"/>
          <w:b/>
          <w:bCs/>
          <w:sz w:val="24"/>
          <w:szCs w:val="24"/>
        </w:rPr>
        <w:t>成果交付地点</w:t>
      </w:r>
    </w:p>
    <w:p w14:paraId="7F3C0083">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成果交付地点为甲方</w:t>
      </w:r>
      <w:r>
        <w:rPr>
          <w:rFonts w:hint="eastAsia" w:ascii="宋体" w:hAnsi="宋体" w:cs="宋体"/>
          <w:b/>
          <w:bCs/>
          <w:sz w:val="24"/>
          <w:szCs w:val="24"/>
        </w:rPr>
        <w:t>办公地点</w:t>
      </w:r>
      <w:r>
        <w:rPr>
          <w:rFonts w:hint="eastAsia" w:ascii="宋体" w:hAnsi="宋体" w:cs="宋体"/>
          <w:b/>
          <w:bCs/>
          <w:sz w:val="24"/>
          <w:szCs w:val="24"/>
          <w:lang w:eastAsia="zh-CN"/>
        </w:rPr>
        <w:t>，甲方</w:t>
      </w:r>
      <w:r>
        <w:rPr>
          <w:rFonts w:hint="eastAsia" w:ascii="宋体" w:hAnsi="宋体" w:cs="宋体"/>
          <w:b/>
          <w:bCs/>
          <w:sz w:val="24"/>
          <w:szCs w:val="24"/>
        </w:rPr>
        <w:t>可根据需要指定其他地点。</w:t>
      </w:r>
    </w:p>
    <w:p w14:paraId="73BF0B21">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（5）成果验收</w:t>
      </w:r>
    </w:p>
    <w:p w14:paraId="1404DCEC">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eastAsia="zh-CN"/>
        </w:rPr>
        <w:t>乙方</w:t>
      </w:r>
      <w:r>
        <w:rPr>
          <w:rFonts w:hint="eastAsia" w:ascii="宋体" w:hAnsi="宋体" w:cs="宋体"/>
          <w:b/>
          <w:bCs/>
          <w:sz w:val="24"/>
          <w:szCs w:val="24"/>
        </w:rPr>
        <w:t>按要求提</w:t>
      </w:r>
      <w:r>
        <w:rPr>
          <w:rFonts w:hint="eastAsia" w:ascii="宋体" w:hAnsi="宋体" w:cs="宋体"/>
          <w:b/>
          <w:bCs/>
          <w:sz w:val="24"/>
          <w:szCs w:val="24"/>
          <w:lang w:eastAsia="zh-CN"/>
        </w:rPr>
        <w:t>交</w:t>
      </w:r>
      <w:r>
        <w:rPr>
          <w:rFonts w:hint="eastAsia" w:ascii="宋体" w:hAnsi="宋体" w:cs="宋体"/>
          <w:b/>
          <w:bCs/>
          <w:sz w:val="24"/>
          <w:szCs w:val="24"/>
        </w:rPr>
        <w:t>成果文件后，由</w:t>
      </w:r>
      <w:r>
        <w:rPr>
          <w:rFonts w:hint="eastAsia" w:ascii="宋体" w:hAnsi="宋体" w:cs="宋体"/>
          <w:b/>
          <w:bCs/>
          <w:sz w:val="24"/>
          <w:szCs w:val="24"/>
          <w:lang w:eastAsia="zh-CN"/>
        </w:rPr>
        <w:t>甲方</w:t>
      </w:r>
      <w:r>
        <w:rPr>
          <w:rFonts w:hint="eastAsia" w:ascii="宋体" w:hAnsi="宋体" w:cs="宋体"/>
          <w:b/>
          <w:bCs/>
          <w:sz w:val="24"/>
          <w:szCs w:val="24"/>
        </w:rPr>
        <w:t>组织专家</w:t>
      </w:r>
      <w:r>
        <w:rPr>
          <w:rFonts w:hint="eastAsia" w:ascii="宋体" w:hAnsi="宋体" w:cs="宋体"/>
          <w:b/>
          <w:bCs/>
          <w:sz w:val="24"/>
          <w:szCs w:val="24"/>
          <w:lang w:eastAsia="zh-CN"/>
        </w:rPr>
        <w:t>评审、</w:t>
      </w:r>
      <w:r>
        <w:rPr>
          <w:rFonts w:hint="eastAsia" w:ascii="宋体" w:hAnsi="宋体" w:cs="宋体"/>
          <w:b/>
          <w:bCs/>
          <w:sz w:val="24"/>
          <w:szCs w:val="24"/>
        </w:rPr>
        <w:t>验收，</w:t>
      </w:r>
      <w:r>
        <w:rPr>
          <w:rFonts w:hint="eastAsia" w:ascii="宋体" w:hAnsi="宋体" w:cs="宋体"/>
          <w:b/>
          <w:bCs/>
          <w:sz w:val="24"/>
          <w:szCs w:val="24"/>
          <w:lang w:eastAsia="zh-CN"/>
        </w:rPr>
        <w:t>评审、</w:t>
      </w:r>
      <w:r>
        <w:rPr>
          <w:rFonts w:hint="eastAsia" w:ascii="宋体" w:hAnsi="宋体" w:cs="宋体"/>
          <w:b/>
          <w:bCs/>
          <w:sz w:val="24"/>
          <w:szCs w:val="24"/>
        </w:rPr>
        <w:t>验收过程所产生的专家咨询费等相关费用由</w:t>
      </w:r>
      <w:r>
        <w:rPr>
          <w:rFonts w:hint="eastAsia" w:ascii="宋体" w:hAnsi="宋体" w:cs="宋体"/>
          <w:b/>
          <w:bCs/>
          <w:sz w:val="24"/>
          <w:szCs w:val="24"/>
          <w:lang w:eastAsia="zh-CN"/>
        </w:rPr>
        <w:t>乙方</w:t>
      </w:r>
      <w:r>
        <w:rPr>
          <w:rFonts w:hint="eastAsia" w:ascii="宋体" w:hAnsi="宋体" w:cs="宋体"/>
          <w:b/>
          <w:bCs/>
          <w:sz w:val="24"/>
          <w:szCs w:val="24"/>
        </w:rPr>
        <w:t>承担。</w:t>
      </w:r>
    </w:p>
    <w:p w14:paraId="0DAAD60F">
      <w:pPr>
        <w:pStyle w:val="45"/>
        <w:spacing w:line="360" w:lineRule="auto"/>
        <w:ind w:firstLine="482" w:firstLineChars="200"/>
        <w:rPr>
          <w:rFonts w:hint="eastAsia" w:ascii="宋体" w:hAnsi="宋体" w:cs="宋体"/>
          <w:b/>
          <w:bCs/>
          <w:sz w:val="24"/>
          <w:szCs w:val="24"/>
          <w:u w:val="single"/>
        </w:rPr>
      </w:pPr>
      <w:r>
        <w:rPr>
          <w:rFonts w:hint="eastAsia" w:ascii="宋体" w:hAnsi="宋体" w:cs="宋体"/>
          <w:b/>
          <w:bCs/>
          <w:sz w:val="24"/>
          <w:szCs w:val="24"/>
        </w:rPr>
        <w:t>4．服务质量要求：</w:t>
      </w:r>
      <w:r>
        <w:rPr>
          <w:rFonts w:hint="eastAsia" w:ascii="宋体" w:hAnsi="宋体" w:cs="宋体"/>
          <w:b/>
          <w:bCs/>
          <w:sz w:val="24"/>
          <w:szCs w:val="24"/>
          <w:u w:val="single"/>
        </w:rPr>
        <w:t>乙方按合同要求完成所有工作，所有工作成果应当符合现行相关国家标准、行业标准、地方标准等标准、规范，满足工程对北部湾二长棘鲷长毛对虾国家级水产种质资源保护区影响专题论证报告、环境影响报告书和海域使用论证等涉海专题报告编制和报批技术要求，并通过专家评审</w:t>
      </w:r>
      <w:r>
        <w:rPr>
          <w:rFonts w:hint="eastAsia" w:ascii="宋体" w:hAnsi="宋体" w:cs="宋体"/>
          <w:b/>
          <w:bCs/>
          <w:sz w:val="24"/>
          <w:szCs w:val="24"/>
          <w:u w:val="single"/>
          <w:lang w:eastAsia="zh-CN"/>
        </w:rPr>
        <w:t>、</w:t>
      </w:r>
      <w:r>
        <w:rPr>
          <w:rFonts w:hint="eastAsia" w:ascii="宋体" w:hAnsi="宋体" w:cs="宋体"/>
          <w:b/>
          <w:bCs/>
          <w:sz w:val="24"/>
          <w:szCs w:val="24"/>
          <w:u w:val="single"/>
        </w:rPr>
        <w:t>验收合格。</w:t>
      </w:r>
    </w:p>
    <w:p w14:paraId="65153E1A">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第四条 费用及支付方式</w:t>
      </w:r>
    </w:p>
    <w:p w14:paraId="3069B75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1．合同费用：</w:t>
      </w:r>
    </w:p>
    <w:p w14:paraId="74E56A94">
      <w:pPr>
        <w:pStyle w:val="45"/>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（1）签约合同价为：</w:t>
      </w:r>
      <w:r>
        <w:rPr>
          <w:rFonts w:hint="eastAsia" w:ascii="宋体" w:hAnsi="宋体" w:cs="宋体"/>
          <w:sz w:val="24"/>
          <w:szCs w:val="24"/>
          <w:u w:val="single"/>
          <w:lang w:val="en-US" w:eastAsia="zh-CN"/>
        </w:rPr>
        <w:t xml:space="preserve">                           </w:t>
      </w:r>
    </w:p>
    <w:p w14:paraId="020580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（2）本合同价格形式为固定总价合同。本合同签约合同价总额是完成合同所规定责任的总费用，包含</w:t>
      </w:r>
      <w:r>
        <w:rPr>
          <w:rFonts w:hint="eastAsia" w:ascii="宋体" w:hAnsi="宋体" w:cs="宋体"/>
          <w:sz w:val="24"/>
          <w:szCs w:val="24"/>
          <w:lang w:eastAsia="zh-CN"/>
        </w:rPr>
        <w:t>了</w:t>
      </w:r>
      <w:r>
        <w:rPr>
          <w:rFonts w:hint="eastAsia" w:ascii="宋体" w:hAnsi="宋体" w:cs="宋体"/>
          <w:sz w:val="24"/>
          <w:szCs w:val="24"/>
        </w:rPr>
        <w:t>为完成</w:t>
      </w:r>
      <w:r>
        <w:rPr>
          <w:rFonts w:hint="eastAsia" w:ascii="宋体" w:hAnsi="宋体" w:cs="宋体"/>
          <w:sz w:val="24"/>
          <w:szCs w:val="24"/>
          <w:lang w:eastAsia="zh-CN"/>
        </w:rPr>
        <w:t>本</w:t>
      </w:r>
      <w:r>
        <w:rPr>
          <w:rFonts w:hint="eastAsia" w:ascii="宋体" w:hAnsi="宋体" w:cs="宋体"/>
          <w:sz w:val="24"/>
          <w:szCs w:val="24"/>
        </w:rPr>
        <w:t>项目的全部工作以及</w:t>
      </w:r>
      <w:r>
        <w:rPr>
          <w:rFonts w:hint="eastAsia" w:ascii="宋体" w:hAnsi="宋体" w:cs="宋体"/>
          <w:sz w:val="24"/>
          <w:szCs w:val="24"/>
          <w:lang w:eastAsia="zh-CN"/>
        </w:rPr>
        <w:t>全过程</w:t>
      </w:r>
      <w:r>
        <w:rPr>
          <w:rFonts w:hint="eastAsia" w:ascii="宋体" w:hAnsi="宋体" w:cs="宋体"/>
          <w:sz w:val="24"/>
          <w:szCs w:val="24"/>
        </w:rPr>
        <w:t>可能发生的各种费用</w:t>
      </w:r>
      <w:r>
        <w:rPr>
          <w:rFonts w:hint="eastAsia" w:ascii="宋体" w:hAnsi="宋体" w:cs="宋体"/>
          <w:sz w:val="24"/>
          <w:szCs w:val="24"/>
          <w:lang w:eastAsia="zh-CN"/>
        </w:rPr>
        <w:t>。</w:t>
      </w:r>
      <w:r>
        <w:rPr>
          <w:rFonts w:hint="eastAsia" w:ascii="宋体" w:hAnsi="宋体" w:cs="宋体"/>
          <w:sz w:val="24"/>
          <w:szCs w:val="24"/>
        </w:rPr>
        <w:t>合同费用包括但不限于：除了包含乙方完成约定工作内容的全部费用外，还包括乙方为完成本项目所发生的调查研究、资料收集、分析论证、报告编制、印刷、出版、安全生产费、人工成本、评估评审验收会务费（含专家劳务费、住宿费、伙食等）、</w:t>
      </w:r>
      <w:r>
        <w:rPr>
          <w:rFonts w:hint="eastAsia" w:ascii="宋体" w:hAnsi="宋体" w:cs="宋体"/>
          <w:sz w:val="24"/>
          <w:szCs w:val="24"/>
          <w:lang w:eastAsia="zh-CN"/>
        </w:rPr>
        <w:t>税费、</w:t>
      </w:r>
      <w:r>
        <w:rPr>
          <w:rFonts w:hint="eastAsia" w:ascii="宋体" w:hAnsi="宋体" w:cs="宋体"/>
          <w:sz w:val="24"/>
          <w:szCs w:val="24"/>
        </w:rPr>
        <w:t>不可预见费等所有费用，其费用含于报价中，甲方不另行向乙方支付其费用。</w:t>
      </w:r>
    </w:p>
    <w:p w14:paraId="34EA3A1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合同执行期间，物价波动(人工、材料上涨等)引起的价格变化不对签约合同价进行调整；法律、法规、规范性文件、规定引起的价格变化，签约合同价不进行调整。乙方应承担物价波动、工作范围内容不符或漏项、气候条件恶劣及其他意外困难等风险。</w:t>
      </w:r>
    </w:p>
    <w:p w14:paraId="571C760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2.服务费支付方式：</w:t>
      </w:r>
    </w:p>
    <w:p w14:paraId="43176FE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甲方根据工作进度，分期支付乙方合同价款。乙方根据工作进度，向甲方提交支付申请，并附相应的支持性证明文件。</w:t>
      </w:r>
    </w:p>
    <w:p w14:paraId="2F54713C">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（1）预付款</w:t>
      </w:r>
    </w:p>
    <w:p w14:paraId="5D093A2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合同签署后，由乙方（</w:t>
      </w:r>
      <w:r>
        <w:rPr>
          <w:rFonts w:hint="eastAsia" w:ascii="宋体" w:hAnsi="宋体" w:cs="宋体"/>
          <w:sz w:val="24"/>
          <w:szCs w:val="24"/>
          <w:lang w:eastAsia="zh-CN"/>
        </w:rPr>
        <w:t>联合体时，为</w:t>
      </w:r>
      <w:r>
        <w:rPr>
          <w:rFonts w:hint="eastAsia" w:ascii="宋体" w:hAnsi="宋体" w:cs="宋体"/>
          <w:sz w:val="24"/>
          <w:szCs w:val="24"/>
        </w:rPr>
        <w:t>牵头人）提交预付款支付申请，</w:t>
      </w:r>
      <w:r>
        <w:rPr>
          <w:rFonts w:hint="eastAsia" w:ascii="宋体" w:hAnsi="宋体" w:cs="宋体"/>
          <w:sz w:val="24"/>
          <w:szCs w:val="24"/>
          <w:lang w:eastAsia="zh-CN"/>
        </w:rPr>
        <w:t>甲方</w:t>
      </w:r>
      <w:r>
        <w:rPr>
          <w:rFonts w:hint="eastAsia" w:ascii="宋体" w:hAnsi="宋体" w:cs="宋体"/>
          <w:sz w:val="24"/>
          <w:szCs w:val="24"/>
        </w:rPr>
        <w:t>收到预付款支付申请后的14天内，向乙方（</w:t>
      </w:r>
      <w:r>
        <w:rPr>
          <w:rFonts w:hint="eastAsia" w:ascii="宋体" w:hAnsi="宋体" w:cs="宋体"/>
          <w:sz w:val="24"/>
          <w:szCs w:val="24"/>
          <w:lang w:eastAsia="zh-CN"/>
        </w:rPr>
        <w:t>联合体时，为</w:t>
      </w:r>
      <w:r>
        <w:rPr>
          <w:rFonts w:hint="eastAsia" w:ascii="宋体" w:hAnsi="宋体" w:cs="宋体"/>
          <w:sz w:val="24"/>
          <w:szCs w:val="24"/>
        </w:rPr>
        <w:t>牵头人）支付合同价的</w:t>
      </w:r>
      <w:r>
        <w:rPr>
          <w:rFonts w:hint="eastAsia" w:ascii="宋体" w:hAnsi="宋体" w:cs="宋体"/>
          <w:sz w:val="24"/>
          <w:szCs w:val="24"/>
          <w:lang w:val="en-US" w:eastAsia="zh-CN"/>
        </w:rPr>
        <w:t>3</w:t>
      </w:r>
      <w:r>
        <w:rPr>
          <w:rFonts w:hint="eastAsia" w:ascii="宋体" w:hAnsi="宋体" w:cs="宋体"/>
          <w:sz w:val="24"/>
          <w:szCs w:val="24"/>
        </w:rPr>
        <w:t>0%作为预付款；</w:t>
      </w:r>
      <w:r>
        <w:rPr>
          <w:rFonts w:hint="eastAsia" w:ascii="宋体" w:hAnsi="宋体" w:cs="宋体"/>
          <w:sz w:val="24"/>
          <w:szCs w:val="24"/>
          <w:lang w:eastAsia="zh-CN"/>
        </w:rPr>
        <w:t>乙方</w:t>
      </w:r>
      <w:r>
        <w:rPr>
          <w:rFonts w:hint="eastAsia" w:ascii="宋体" w:hAnsi="宋体" w:cs="宋体"/>
          <w:sz w:val="24"/>
          <w:szCs w:val="24"/>
        </w:rPr>
        <w:t>应当提供等额的增值税普通发票；本合同履行后，预付款抵作</w:t>
      </w:r>
      <w:r>
        <w:rPr>
          <w:rFonts w:hint="eastAsia" w:ascii="宋体" w:hAnsi="宋体" w:cs="宋体"/>
          <w:sz w:val="24"/>
          <w:szCs w:val="24"/>
          <w:lang w:eastAsia="zh-CN"/>
        </w:rPr>
        <w:t>进度款</w:t>
      </w:r>
      <w:r>
        <w:rPr>
          <w:rFonts w:hint="eastAsia" w:ascii="宋体" w:hAnsi="宋体" w:cs="宋体"/>
          <w:sz w:val="24"/>
          <w:szCs w:val="24"/>
        </w:rPr>
        <w:t>。如因发生不可抗力事件导致预付款已支付但合同无法继续履行的情况，乙方（</w:t>
      </w:r>
      <w:r>
        <w:rPr>
          <w:rFonts w:hint="eastAsia" w:ascii="宋体" w:hAnsi="宋体" w:cs="宋体"/>
          <w:sz w:val="24"/>
          <w:szCs w:val="24"/>
          <w:lang w:eastAsia="zh-CN"/>
        </w:rPr>
        <w:t>联合体时，为</w:t>
      </w:r>
      <w:r>
        <w:rPr>
          <w:rFonts w:hint="eastAsia" w:ascii="宋体" w:hAnsi="宋体" w:cs="宋体"/>
          <w:sz w:val="24"/>
          <w:szCs w:val="24"/>
        </w:rPr>
        <w:t>牵头人）应向甲方退还尚未开展工作内容对应的款项。</w:t>
      </w:r>
    </w:p>
    <w:p w14:paraId="327EA6C6">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（2）</w:t>
      </w:r>
      <w:r>
        <w:rPr>
          <w:rFonts w:hint="eastAsia" w:ascii="宋体" w:hAnsi="宋体" w:cs="宋体"/>
          <w:sz w:val="24"/>
          <w:szCs w:val="24"/>
          <w:lang w:eastAsia="zh-CN"/>
        </w:rPr>
        <w:t>合同尾款</w:t>
      </w:r>
    </w:p>
    <w:p w14:paraId="75ACD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在</w:t>
      </w:r>
      <w:r>
        <w:rPr>
          <w:rFonts w:hint="eastAsia" w:ascii="宋体" w:hAnsi="宋体" w:cs="宋体"/>
          <w:sz w:val="24"/>
          <w:szCs w:val="24"/>
          <w:lang w:eastAsia="zh-CN"/>
        </w:rPr>
        <w:t>所有合同工作完成且评审验收合格</w:t>
      </w:r>
      <w:r>
        <w:rPr>
          <w:rFonts w:hint="eastAsia" w:ascii="宋体" w:hAnsi="宋体" w:cs="宋体"/>
          <w:sz w:val="24"/>
          <w:szCs w:val="24"/>
        </w:rPr>
        <w:t>后，</w:t>
      </w:r>
      <w:r>
        <w:rPr>
          <w:rFonts w:hint="eastAsia" w:ascii="宋体" w:hAnsi="宋体" w:cs="宋体"/>
          <w:sz w:val="24"/>
          <w:szCs w:val="24"/>
          <w:lang w:eastAsia="zh-CN"/>
        </w:rPr>
        <w:t>乙方</w:t>
      </w:r>
      <w:r>
        <w:rPr>
          <w:rFonts w:hint="eastAsia" w:ascii="宋体" w:hAnsi="宋体" w:cs="宋体"/>
          <w:sz w:val="24"/>
          <w:szCs w:val="24"/>
        </w:rPr>
        <w:t>（联合体时，为牵头人）</w:t>
      </w:r>
      <w:r>
        <w:rPr>
          <w:rFonts w:hint="eastAsia" w:ascii="宋体" w:hAnsi="宋体" w:cs="宋体"/>
          <w:sz w:val="24"/>
          <w:szCs w:val="24"/>
          <w:lang w:eastAsia="zh-CN"/>
        </w:rPr>
        <w:t>向甲方</w:t>
      </w:r>
      <w:r>
        <w:rPr>
          <w:rFonts w:hint="eastAsia" w:ascii="宋体" w:hAnsi="宋体" w:cs="宋体"/>
          <w:sz w:val="24"/>
          <w:szCs w:val="24"/>
        </w:rPr>
        <w:t>提交</w:t>
      </w:r>
      <w:r>
        <w:rPr>
          <w:rFonts w:hint="eastAsia" w:ascii="宋体" w:hAnsi="宋体" w:cs="宋体"/>
          <w:sz w:val="24"/>
          <w:szCs w:val="24"/>
          <w:lang w:eastAsia="zh-CN"/>
        </w:rPr>
        <w:t>尾款</w:t>
      </w:r>
      <w:r>
        <w:rPr>
          <w:rFonts w:hint="eastAsia" w:ascii="宋体" w:hAnsi="宋体" w:cs="宋体"/>
          <w:sz w:val="24"/>
          <w:szCs w:val="24"/>
        </w:rPr>
        <w:t>支付申请</w:t>
      </w:r>
      <w:r>
        <w:rPr>
          <w:rFonts w:hint="eastAsia" w:ascii="宋体" w:hAnsi="宋体" w:cs="宋体"/>
          <w:sz w:val="24"/>
          <w:szCs w:val="24"/>
          <w:lang w:eastAsia="zh-CN"/>
        </w:rPr>
        <w:t>，并</w:t>
      </w:r>
      <w:r>
        <w:rPr>
          <w:rFonts w:hint="eastAsia" w:ascii="宋体" w:hAnsi="宋体" w:cs="宋体"/>
          <w:sz w:val="24"/>
          <w:szCs w:val="24"/>
        </w:rPr>
        <w:t>提交</w:t>
      </w:r>
      <w:r>
        <w:rPr>
          <w:rFonts w:hint="eastAsia" w:ascii="宋体" w:hAnsi="宋体" w:cs="宋体"/>
          <w:sz w:val="24"/>
          <w:szCs w:val="24"/>
          <w:lang w:eastAsia="zh-CN"/>
        </w:rPr>
        <w:t>最终</w:t>
      </w:r>
      <w:r>
        <w:rPr>
          <w:rFonts w:hint="eastAsia" w:ascii="宋体" w:hAnsi="宋体" w:cs="宋体"/>
          <w:sz w:val="24"/>
          <w:szCs w:val="24"/>
        </w:rPr>
        <w:t>成果</w:t>
      </w:r>
      <w:r>
        <w:rPr>
          <w:rFonts w:hint="eastAsia" w:ascii="宋体" w:hAnsi="宋体" w:cs="宋体"/>
          <w:sz w:val="24"/>
          <w:szCs w:val="24"/>
          <w:lang w:eastAsia="zh-CN"/>
        </w:rPr>
        <w:t>文件和评审验收合格等有关证明材料</w:t>
      </w:r>
      <w:r>
        <w:rPr>
          <w:rFonts w:hint="eastAsia" w:ascii="宋体" w:hAnsi="宋体" w:cs="宋体"/>
          <w:sz w:val="24"/>
          <w:szCs w:val="24"/>
        </w:rPr>
        <w:t>，</w:t>
      </w:r>
      <w:r>
        <w:rPr>
          <w:rFonts w:hint="eastAsia" w:ascii="宋体" w:hAnsi="宋体" w:cs="宋体"/>
          <w:sz w:val="24"/>
          <w:szCs w:val="24"/>
          <w:lang w:eastAsia="zh-CN"/>
        </w:rPr>
        <w:t>甲方</w:t>
      </w:r>
      <w:r>
        <w:rPr>
          <w:rFonts w:hint="eastAsia" w:ascii="宋体" w:hAnsi="宋体" w:cs="宋体"/>
          <w:sz w:val="24"/>
          <w:szCs w:val="24"/>
        </w:rPr>
        <w:t>收到</w:t>
      </w:r>
      <w:r>
        <w:rPr>
          <w:rFonts w:hint="eastAsia" w:ascii="宋体" w:hAnsi="宋体" w:cs="宋体"/>
          <w:sz w:val="24"/>
          <w:szCs w:val="24"/>
          <w:lang w:eastAsia="zh-CN"/>
        </w:rPr>
        <w:t>尾款</w:t>
      </w:r>
      <w:r>
        <w:rPr>
          <w:rFonts w:hint="eastAsia" w:ascii="宋体" w:hAnsi="宋体" w:cs="宋体"/>
          <w:sz w:val="24"/>
          <w:szCs w:val="24"/>
        </w:rPr>
        <w:t>支付申请后的14天内，向</w:t>
      </w:r>
      <w:r>
        <w:rPr>
          <w:rFonts w:hint="eastAsia" w:ascii="宋体" w:hAnsi="宋体" w:cs="宋体"/>
          <w:sz w:val="24"/>
          <w:szCs w:val="24"/>
          <w:lang w:eastAsia="zh-CN"/>
        </w:rPr>
        <w:t>乙方</w:t>
      </w:r>
      <w:r>
        <w:rPr>
          <w:rFonts w:hint="eastAsia" w:ascii="宋体" w:hAnsi="宋体" w:cs="宋体"/>
          <w:sz w:val="24"/>
          <w:szCs w:val="24"/>
        </w:rPr>
        <w:t>（联合体时，为牵头人）</w:t>
      </w:r>
      <w:r>
        <w:rPr>
          <w:rFonts w:hint="eastAsia" w:ascii="宋体" w:hAnsi="宋体" w:cs="宋体"/>
          <w:sz w:val="24"/>
          <w:szCs w:val="24"/>
          <w:lang w:eastAsia="zh-CN"/>
        </w:rPr>
        <w:t>支付至签约合同价的100%</w:t>
      </w:r>
      <w:r>
        <w:rPr>
          <w:rFonts w:hint="eastAsia" w:ascii="宋体" w:hAnsi="宋体" w:cs="宋体"/>
          <w:sz w:val="24"/>
          <w:szCs w:val="24"/>
        </w:rPr>
        <w:t>；</w:t>
      </w:r>
      <w:r>
        <w:rPr>
          <w:rFonts w:hint="eastAsia" w:ascii="宋体" w:hAnsi="宋体" w:cs="宋体"/>
          <w:sz w:val="24"/>
          <w:szCs w:val="24"/>
          <w:lang w:eastAsia="zh-CN"/>
        </w:rPr>
        <w:t>乙方</w:t>
      </w:r>
      <w:r>
        <w:rPr>
          <w:rFonts w:hint="eastAsia" w:ascii="宋体" w:hAnsi="宋体" w:cs="宋体"/>
          <w:sz w:val="24"/>
          <w:szCs w:val="24"/>
        </w:rPr>
        <w:t>应当提供等额的增值税发票。</w:t>
      </w:r>
    </w:p>
    <w:p w14:paraId="36D3A96F">
      <w:pPr>
        <w:pStyle w:val="45"/>
        <w:spacing w:line="360" w:lineRule="auto"/>
        <w:ind w:left="480"/>
        <w:rPr>
          <w:rFonts w:hint="eastAsia" w:ascii="宋体" w:hAnsi="宋体" w:cs="宋体"/>
          <w:sz w:val="24"/>
          <w:szCs w:val="24"/>
        </w:rPr>
      </w:pPr>
      <w:r>
        <w:rPr>
          <w:rFonts w:hint="eastAsia" w:ascii="宋体" w:hAnsi="宋体" w:cs="宋体"/>
          <w:sz w:val="24"/>
          <w:szCs w:val="24"/>
        </w:rPr>
        <w:t>3.乙方收款账户信息如下：</w:t>
      </w:r>
    </w:p>
    <w:p w14:paraId="1943F94F">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开户名称：</w:t>
      </w:r>
      <w:r>
        <w:rPr>
          <w:rFonts w:hint="eastAsia" w:ascii="宋体" w:hAnsi="宋体" w:cs="宋体"/>
          <w:sz w:val="24"/>
          <w:szCs w:val="24"/>
          <w:lang w:val="en-US" w:eastAsia="zh-CN"/>
        </w:rPr>
        <w:t xml:space="preserve"> </w:t>
      </w:r>
    </w:p>
    <w:p w14:paraId="5FC006E4">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银行帐号：</w:t>
      </w:r>
      <w:r>
        <w:rPr>
          <w:rFonts w:hint="eastAsia" w:ascii="宋体" w:hAnsi="宋体" w:cs="宋体"/>
          <w:sz w:val="24"/>
          <w:szCs w:val="24"/>
          <w:lang w:val="en-US" w:eastAsia="zh-CN"/>
        </w:rPr>
        <w:t xml:space="preserve"> </w:t>
      </w:r>
    </w:p>
    <w:p w14:paraId="01542719">
      <w:pPr>
        <w:pStyle w:val="45"/>
        <w:spacing w:line="360" w:lineRule="auto"/>
        <w:ind w:firstLine="480" w:firstLineChars="200"/>
        <w:rPr>
          <w:rFonts w:hint="eastAsia" w:ascii="宋体" w:hAnsi="宋体" w:eastAsia="宋体" w:cs="宋体"/>
          <w:sz w:val="24"/>
          <w:szCs w:val="24"/>
          <w:highlight w:val="yellow"/>
          <w:lang w:eastAsia="zh-CN"/>
        </w:rPr>
      </w:pPr>
      <w:r>
        <w:rPr>
          <w:rFonts w:hint="eastAsia" w:ascii="宋体" w:hAnsi="宋体" w:cs="宋体"/>
          <w:sz w:val="24"/>
          <w:szCs w:val="24"/>
        </w:rPr>
        <w:t>开户行：</w:t>
      </w:r>
      <w:r>
        <w:rPr>
          <w:rFonts w:hint="eastAsia" w:ascii="宋体" w:hAnsi="宋体" w:cs="宋体"/>
          <w:sz w:val="24"/>
          <w:szCs w:val="24"/>
          <w:lang w:val="en-US" w:eastAsia="zh-CN"/>
        </w:rPr>
        <w:t xml:space="preserve"> </w:t>
      </w:r>
    </w:p>
    <w:p w14:paraId="41DC451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乙方收款账户发生变更的，应当在变更当日书面告知甲方，否则由此产生的损失由乙方承担；甲方不接受乙方委托第三方收款。</w:t>
      </w:r>
    </w:p>
    <w:p w14:paraId="2AC2FE9F">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第五条 履约担保</w:t>
      </w:r>
    </w:p>
    <w:p w14:paraId="4BF969E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在签订合同之前，向甲方提交金额为签约合同价5%的履约保证金。乙方未按约定提交履约保证金的，视为放弃中标资格，甲方有权不予与其签订合同；因此给甲方造成损失的，乙方还应承担相应的赔偿责任。</w:t>
      </w:r>
    </w:p>
    <w:p w14:paraId="689EA9B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2.履约保证金以支票、汇票、本票或者金融机构、担保机构出具的保函等非现金形式提交。</w:t>
      </w:r>
    </w:p>
    <w:p w14:paraId="5CE4ED7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（1）若采用银行保函形式，银行保函由国有商业或股份制商业银行出具，并保证其有效。执行本条规定所需的费用由乙方承担。保函的正本由甲方保存。</w:t>
      </w:r>
    </w:p>
    <w:p w14:paraId="514389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（2）若采用银行转账形式，应当从乙方基本账户转出，且全额一次性转入甲方指定账号，并注明</w:t>
      </w:r>
      <w:r>
        <w:rPr>
          <w:rFonts w:hint="eastAsia" w:ascii="宋体" w:hAnsi="宋体" w:cs="宋体"/>
          <w:b/>
          <w:bCs/>
          <w:sz w:val="24"/>
          <w:szCs w:val="24"/>
        </w:rPr>
        <w:t>“钦州港20万吨级进港航道一期工程秋季海洋生态和水文动力环境现状调查与评价服务项目履约保证金”</w:t>
      </w:r>
      <w:r>
        <w:rPr>
          <w:rFonts w:hint="eastAsia" w:ascii="宋体" w:hAnsi="宋体" w:cs="宋体"/>
          <w:sz w:val="24"/>
          <w:szCs w:val="24"/>
        </w:rPr>
        <w:t>，并且确保在中标通知书发出之日起25日内到账，否则，其履约担保视为无效。</w:t>
      </w:r>
    </w:p>
    <w:p w14:paraId="6522CC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3.履约担保有效期应不短于自合同生效之日起至乙方履行完毕本合同项下所有工作内容并提交全部最终成果资料之日。</w:t>
      </w:r>
    </w:p>
    <w:p w14:paraId="3C9BB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4.在乙方按合同要求履行完毕本合同项下所有工作内容并提交全部最终成果资料后，由乙方向甲方提出退还履约担保申请，甲方收到退还履约担保申请后28天内退还乙方履约担保。履约保证金不计利息。</w:t>
      </w:r>
    </w:p>
    <w:p w14:paraId="75608A9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第六条 双方的责任和义务</w:t>
      </w:r>
    </w:p>
    <w:p w14:paraId="11849096">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（一）甲方责任和义务</w:t>
      </w:r>
    </w:p>
    <w:p w14:paraId="4613F3C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1.甲方应按合同约定支付乙方合同费用。</w:t>
      </w:r>
    </w:p>
    <w:p w14:paraId="430D879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2.甲方有权对乙方实施项目的进度、质量、安全、文明以及资金使用等进行监督、控制。</w:t>
      </w:r>
    </w:p>
    <w:p w14:paraId="56E117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3.承担履行合同过程中甲方的人身和财产安全责任。</w:t>
      </w:r>
    </w:p>
    <w:p w14:paraId="30F81DE7">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（二）乙方责任和义务</w:t>
      </w:r>
    </w:p>
    <w:p w14:paraId="7698C68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1.乙方应按照现行的技术标准、规范规定和行政主管部门要求，完成合同规定的所有工作内容。</w:t>
      </w:r>
    </w:p>
    <w:p w14:paraId="3CD236B4">
      <w:pPr>
        <w:pStyle w:val="45"/>
        <w:spacing w:line="360" w:lineRule="auto"/>
        <w:ind w:firstLine="480" w:firstLineChars="200"/>
        <w:rPr>
          <w:rFonts w:hint="eastAsia" w:ascii="宋体" w:hAnsi="宋体" w:cs="宋体"/>
          <w:bCs/>
          <w:sz w:val="24"/>
          <w:szCs w:val="24"/>
        </w:rPr>
      </w:pPr>
      <w:r>
        <w:rPr>
          <w:rFonts w:hint="eastAsia" w:ascii="宋体" w:hAnsi="宋体" w:cs="宋体"/>
          <w:bCs/>
          <w:sz w:val="24"/>
          <w:szCs w:val="24"/>
        </w:rPr>
        <w:t>2.乙方应在开工前向甲方提交详细的工作方案。</w:t>
      </w:r>
    </w:p>
    <w:p w14:paraId="12684C6F">
      <w:pPr>
        <w:pStyle w:val="45"/>
        <w:spacing w:line="360" w:lineRule="auto"/>
        <w:ind w:firstLine="480" w:firstLineChars="200"/>
        <w:rPr>
          <w:rFonts w:hint="eastAsia" w:ascii="宋体" w:hAnsi="宋体" w:cs="宋体"/>
          <w:bCs/>
          <w:sz w:val="24"/>
          <w:szCs w:val="24"/>
        </w:rPr>
      </w:pPr>
      <w:r>
        <w:rPr>
          <w:rFonts w:hint="eastAsia" w:ascii="宋体" w:hAnsi="宋体" w:cs="宋体"/>
          <w:sz w:val="24"/>
          <w:szCs w:val="24"/>
        </w:rPr>
        <w:t>3.乙方工作过程中应遵守国家及地方的有关法律、法规和规章，因乙方未能采取有效措施而发生的人身伤亡、罚款、赔偿、索赔、损失赔偿、诉讼费用及其他一切责任应由乙方负责。</w:t>
      </w:r>
    </w:p>
    <w:p w14:paraId="00CF1820">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4.</w:t>
      </w:r>
      <w:r>
        <w:rPr>
          <w:rFonts w:hint="eastAsia" w:ascii="宋体" w:hAnsi="宋体" w:cs="宋体"/>
          <w:sz w:val="24"/>
          <w:szCs w:val="24"/>
        </w:rPr>
        <w:t>乙方对其所提交的服务成果质量负责，因成果质量问题而造成返工所发生的一切费用由乙方自理，造成甲方损失的还应予以赔偿。</w:t>
      </w:r>
    </w:p>
    <w:p w14:paraId="2457C857">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5.</w:t>
      </w:r>
      <w:r>
        <w:rPr>
          <w:rFonts w:hint="eastAsia" w:ascii="宋体" w:hAnsi="宋体" w:cs="宋体"/>
          <w:sz w:val="24"/>
          <w:szCs w:val="24"/>
        </w:rPr>
        <w:t>乙方交付服务成果后，按规定参加</w:t>
      </w:r>
      <w:r>
        <w:rPr>
          <w:rFonts w:hint="eastAsia" w:ascii="宋体" w:hAnsi="宋体" w:cs="宋体"/>
          <w:sz w:val="24"/>
          <w:szCs w:val="24"/>
          <w:lang w:eastAsia="zh-CN"/>
        </w:rPr>
        <w:t>甲方或者</w:t>
      </w:r>
      <w:r>
        <w:rPr>
          <w:rFonts w:hint="eastAsia" w:ascii="宋体" w:hAnsi="宋体" w:cs="宋体"/>
          <w:sz w:val="24"/>
          <w:szCs w:val="24"/>
        </w:rPr>
        <w:t>有关主管部门的审查，</w:t>
      </w:r>
      <w:r>
        <w:rPr>
          <w:rFonts w:hint="eastAsia" w:ascii="宋体" w:hAnsi="宋体" w:cs="宋体"/>
          <w:sz w:val="24"/>
          <w:szCs w:val="24"/>
          <w:lang w:eastAsia="zh-CN"/>
        </w:rPr>
        <w:t>配合甲方开展成果评审验收，</w:t>
      </w:r>
      <w:r>
        <w:rPr>
          <w:rFonts w:hint="eastAsia" w:ascii="宋体" w:hAnsi="宋体" w:cs="宋体"/>
          <w:sz w:val="24"/>
          <w:szCs w:val="24"/>
        </w:rPr>
        <w:t>并负责根据审查</w:t>
      </w:r>
      <w:r>
        <w:rPr>
          <w:rFonts w:hint="eastAsia" w:ascii="宋体" w:hAnsi="宋体" w:cs="宋体"/>
          <w:sz w:val="24"/>
          <w:szCs w:val="24"/>
          <w:lang w:eastAsia="zh-CN"/>
        </w:rPr>
        <w:t>、评审</w:t>
      </w:r>
      <w:r>
        <w:rPr>
          <w:rFonts w:hint="eastAsia" w:ascii="宋体" w:hAnsi="宋体" w:cs="宋体"/>
          <w:sz w:val="24"/>
          <w:szCs w:val="24"/>
        </w:rPr>
        <w:t>结论做必要调整补充完善，直至项目通过验收。</w:t>
      </w:r>
    </w:p>
    <w:p w14:paraId="5092D2A4">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乙方应安排投标文件中承诺的人员投入工作，并在服务过程中保持人员的相对稳定。在项目服务期间，未经甲方批准，乙方不得更换项目负责人。如果服务人员(含后续服务人员)不能胜任工作、渎职或从事其他违法活动，甲方有权提出更换要求，乙方应立即派出不低于原服务人员相应资历的人员替换并征得甲方同意。乙方在事先取得甲方的同意后可以更换其所派驻现场的人员，但应符合合同规定的资历要求。</w:t>
      </w:r>
    </w:p>
    <w:p w14:paraId="5F0609B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7.乙方不得将本合同规定的服务任务转包。</w:t>
      </w:r>
    </w:p>
    <w:p w14:paraId="52820FD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8.乙方的工作进度没有达到投标文件中承诺的进度计划时，甲方有权提出要求增加服务人员，乙方应立即安排，其费用被认为已包含在报价之中，甲方不另行支付费用。</w:t>
      </w:r>
    </w:p>
    <w:p w14:paraId="66A72E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9.乙方在进行外业踏勘等工作时，应采取相应的安全、保卫和环境保护措施，因乙方未能采取有效措施而发生的与本项目服务活动有关的人身伤亡、罚款、索赔、损失赔偿、诉讼及其他一切责任应由乙方负责。</w:t>
      </w:r>
    </w:p>
    <w:p w14:paraId="413793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10.乙方服务过程中，提供的成果文件不应侵犯任何第三方的专利权、版权、及其他知识产权，否则由此而引起索赔或诉讼，乙方应承担全部责任，并保障甲方免于承担由此造成的一切损害和损失。</w:t>
      </w:r>
    </w:p>
    <w:p w14:paraId="1F43BC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12.承担履行合同过程中乙方的人身和财产安全责任。</w:t>
      </w:r>
    </w:p>
    <w:p w14:paraId="62E54B2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第七条 知识产权</w:t>
      </w:r>
    </w:p>
    <w:p w14:paraId="10B754D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1.在本合同有效期内，按合同约定所完成的与本服务内容相关的新的技术成果，全部归</w:t>
      </w:r>
      <w:r>
        <w:rPr>
          <w:rFonts w:hint="eastAsia" w:ascii="宋体" w:hAnsi="宋体" w:cs="宋体"/>
          <w:sz w:val="24"/>
          <w:szCs w:val="24"/>
          <w:u w:val="single"/>
        </w:rPr>
        <w:t>甲</w:t>
      </w:r>
      <w:r>
        <w:rPr>
          <w:rFonts w:hint="eastAsia" w:ascii="宋体" w:hAnsi="宋体" w:cs="宋体"/>
          <w:sz w:val="24"/>
          <w:szCs w:val="24"/>
        </w:rPr>
        <w:t>方所有。</w:t>
      </w:r>
    </w:p>
    <w:p w14:paraId="29713B4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2.乙方就本项目工作成果，未经甲方同意，乙方不得向第三方提供或用于本合同以外的项目，否则甲方有权追究乙方的责任。</w:t>
      </w:r>
    </w:p>
    <w:p w14:paraId="6C3A34E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第八条 保密规定</w:t>
      </w:r>
    </w:p>
    <w:p w14:paraId="2577ED9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双方确定因履行本合同应遵守的保密义务如下：</w:t>
      </w:r>
    </w:p>
    <w:p w14:paraId="50B2518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本协议项下保密信息的保密期限自本协议生效之日起至保密信息公开之日或信息提供方许可公开之日止。双方业务合作事宜的终止、失败或者完成不影响本协议所规定的保密义务的履行。</w:t>
      </w:r>
    </w:p>
    <w:p w14:paraId="75FEF64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和乙方双方均不得将本合同中的内容及在本合同执行过程中获得的对方商业信息、技术秘密及其他经营管理、技术等相关信息向任何第三方泄露。本合同无论期满、解除或终止，保密义务仍然有效。双方认可，作为乙方公司的员工或涉及项目的相关人员，除应履行一般的保密义务外，就该项目所涉的任何国家秘密、商业秘密，乙方应均予以严格保密。</w:t>
      </w:r>
    </w:p>
    <w:p w14:paraId="206F6D2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2.甲方向乙方提供的所有资料均为保密资料，乙方除在履行本合同下义务时可向受雇于乙方的相关研究人员透露外，不能在任何情况下(包括本合同有效期内及之后)向第三者透露。</w:t>
      </w:r>
    </w:p>
    <w:p w14:paraId="5450003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服务人员在甲方处工作或参与项目期间，乙方违反保密规定的，虽未造成甲方、甲方关联单位经济、利益、声誉等各种损失，但给甲方正常经营活动带来不便的，甲方有权将乙方服务人员调离项目，并根据规章制度予以处罚；情节严重的，甲方有权无条件解除与乙方的合同关系，乙方应当给予甲方相应的损害赔偿。</w:t>
      </w:r>
    </w:p>
    <w:p w14:paraId="57A2146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乙方在甲方处工作或参与该项目期间，乙方违反保密规定的，造成甲方、甲方关联单位及经济、利益、声誉等损失的，甲方有权要求乙方赔偿甲方相应的损失并无条件与乙方解除合同关系；构成犯罪的，甲方将上报相关部门，依法追究乙方刑事责任。</w:t>
      </w:r>
    </w:p>
    <w:p w14:paraId="287ED77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5.项目完成/终止后或甲方与乙方的合同终止或解除，乙方违反保密规定的，甲方仍有权依法追究乙方全部的赔偿责任。</w:t>
      </w:r>
    </w:p>
    <w:p w14:paraId="06F4164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6.乙方违反保密义务的，应向甲方支付一万元/次的违约金，并赔偿甲方因此而遭受的损失。</w:t>
      </w:r>
    </w:p>
    <w:p w14:paraId="1E17D8ED">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第九条 违约责任</w:t>
      </w:r>
    </w:p>
    <w:p w14:paraId="25F7CEEF">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（一）甲方违约责任</w:t>
      </w:r>
    </w:p>
    <w:p w14:paraId="351D8E9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1.本项目经费为政府资金，视经费到位情况并按照国库集中支付或政府部门预算管理规定等国家相关规定办理支付，因政府资金不能按时到位导致不能及时付款的，不视为甲方违约。</w:t>
      </w:r>
    </w:p>
    <w:p w14:paraId="07409DD3">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2.在合同履行期间，甲方要求终止或解除合同（非乙方原因）</w:t>
      </w:r>
      <w:r>
        <w:rPr>
          <w:rFonts w:hint="eastAsia" w:ascii="宋体" w:hAnsi="宋体" w:cs="宋体"/>
          <w:sz w:val="24"/>
          <w:szCs w:val="24"/>
          <w:lang w:eastAsia="zh-CN"/>
        </w:rPr>
        <w:t>的</w:t>
      </w:r>
      <w:r>
        <w:rPr>
          <w:rFonts w:hint="eastAsia" w:ascii="宋体" w:hAnsi="宋体" w:cs="宋体"/>
          <w:sz w:val="24"/>
          <w:szCs w:val="24"/>
        </w:rPr>
        <w:t>，甲方应按乙方完成的实际工作量支付费用</w:t>
      </w:r>
      <w:r>
        <w:rPr>
          <w:rFonts w:hint="eastAsia" w:ascii="宋体" w:hAnsi="宋体" w:cs="宋体"/>
          <w:sz w:val="24"/>
          <w:szCs w:val="24"/>
          <w:lang w:eastAsia="zh-CN"/>
        </w:rPr>
        <w:t>。</w:t>
      </w:r>
    </w:p>
    <w:p w14:paraId="2C661099">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（二）乙方违约责任</w:t>
      </w:r>
    </w:p>
    <w:p w14:paraId="2B6F141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1.乙方不得转包本合同项目，否则甲方有权解除合同并要求乙方退还所有已付费用，同时，乙方支付甲方签约合同总价5%的违约金并赔偿甲方因此遭受的全部损失。</w:t>
      </w:r>
    </w:p>
    <w:p w14:paraId="32BFFF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的项目负责人和其他人员应与响应文件所承诺的名单一致，未经甲方同意，上述人员不应无故不到位或被替换(但因不可抗力引起的人员变动除外)；发生以上情况，甲方书面提醒后，乙方仍未整改的，乙方将被处以人民币壹万元/人次的违约金，由此引起的责任由乙方负责，甲方有权解除合同，乙方自行承担已发生的费用。</w:t>
      </w:r>
    </w:p>
    <w:p w14:paraId="277F82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未按本合同规定完成合同工作（含提交成果文件）的，乙方须向甲方支付延期违约金，每延期一天按合同总额的0.2‰计算。拖期超过30天，甲方有权单方解除合同，给甲方造成损失的，乙方负责赔偿，甲方的损失包括但不限于诉讼费、保全费、保全保险费、律师费等费用。</w:t>
      </w:r>
    </w:p>
    <w:p w14:paraId="51420D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4.在合同履行期间，乙方无故要求终止或解除合同，乙方应退还甲方已支付的全部费用，并向甲方支付签约合同总价5%的违约金且赔偿甲方因此遭受的全部损失。</w:t>
      </w:r>
    </w:p>
    <w:p w14:paraId="060B464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5.乙方未按本合同规定开展研究工作，导致甲方按照乙方提交的研究成果作出决策造成损失的，由乙方承担，且乙方应向甲方支付签约合同总价5%的违约金并赔偿甲方损失。</w:t>
      </w:r>
    </w:p>
    <w:p w14:paraId="7AB9ADE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6.乙方在本项目的人员应当具备法律规定、行业规定的相关资质并对其工作期间的行为负责。若乙方指派人员在工作中因故意或重大过失给甲方造成损失的，由乙方承担全部法律责任。</w:t>
      </w:r>
    </w:p>
    <w:p w14:paraId="35AACC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7.因乙方违约产生的一切法律纠纷，造成甲方所产生的包括但不限于律师费、诉讼费、仲裁费、评估鉴定费以及承担的损失、赔偿责任等，均由乙方承担。</w:t>
      </w:r>
    </w:p>
    <w:p w14:paraId="5B182F3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本合同项下的违约金和赔偿，甲方均有权从应付给乙方的款项或履约保证金中扣除，不足部分由乙方补足。前述条款约定的违约金和赔偿不足以弥补甲方损失的，乙方应继续赔偿甲方的损失，在收到甲方书面通知后三日内另行支付。</w:t>
      </w:r>
    </w:p>
    <w:p w14:paraId="7F3CBB46">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第十条 分包</w:t>
      </w:r>
    </w:p>
    <w:p w14:paraId="3A65D1E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lang w:eastAsia="zh-CN"/>
        </w:rPr>
        <w:t>本项目不允许分包</w:t>
      </w:r>
      <w:r>
        <w:rPr>
          <w:rFonts w:hint="eastAsia" w:ascii="宋体" w:hAnsi="宋体" w:cs="宋体"/>
          <w:b/>
          <w:bCs/>
          <w:sz w:val="24"/>
          <w:szCs w:val="24"/>
        </w:rPr>
        <w:t>。</w:t>
      </w:r>
    </w:p>
    <w:p w14:paraId="7AFE345B">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第十一条 不可抗力</w:t>
      </w:r>
    </w:p>
    <w:p w14:paraId="42A9A72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本合同所称不可抗力是指不能预见、不能克服、不能避免并对一方当事人造成重大影响的客观事件，如洪水、泥石流、地震、火灾、风暴等自然现象以及战争、动乱、政府行为等社会事件。</w:t>
      </w:r>
    </w:p>
    <w:p w14:paraId="4C98CFC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发生不可抗力事件，一方在本合同项下受不可抗力影响的义务在不可抗力造成的延误期间自动中止，其履行期限应自动延长，延长期间为中止的期间，该方无须为此承担违约责任。</w:t>
      </w:r>
    </w:p>
    <w:p w14:paraId="7FBB0D71">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第十二条 争议的解决</w:t>
      </w:r>
    </w:p>
    <w:p w14:paraId="4689007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本合同争议的解决方式是：因本合同发生的或与本合同有关的任何争议，均提请</w:t>
      </w:r>
      <w:r>
        <w:rPr>
          <w:rFonts w:hint="eastAsia" w:ascii="宋体" w:hAnsi="宋体" w:cs="宋体"/>
          <w:sz w:val="24"/>
          <w:szCs w:val="24"/>
          <w:lang w:eastAsia="zh-CN"/>
        </w:rPr>
        <w:t>北海</w:t>
      </w:r>
      <w:r>
        <w:rPr>
          <w:rFonts w:hint="eastAsia" w:ascii="宋体" w:hAnsi="宋体" w:cs="宋体"/>
          <w:sz w:val="24"/>
          <w:szCs w:val="24"/>
        </w:rPr>
        <w:t>仲裁委员会按照该会仲裁规则进行仲裁。仲裁裁决是终局的，对双方均有约束力</w:t>
      </w:r>
    </w:p>
    <w:p w14:paraId="2D0F364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第十三条 </w:t>
      </w:r>
      <w:r>
        <w:rPr>
          <w:rFonts w:hint="eastAsia" w:ascii="宋体" w:hAnsi="宋体" w:cs="宋体"/>
          <w:sz w:val="24"/>
          <w:szCs w:val="24"/>
        </w:rPr>
        <w:t>甲乙双方应当通过正常途径开展相关业务工作，自觉遵守国家关于廉政建设的各项规定。</w:t>
      </w:r>
    </w:p>
    <w:p w14:paraId="51B07D32">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第十四条 履约验收方案</w:t>
      </w:r>
    </w:p>
    <w:p w14:paraId="50B7626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1.履约验收主体</w:t>
      </w:r>
    </w:p>
    <w:p w14:paraId="3961B39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由甲方按照《广西壮族自治区港航发展中心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》有关规定，组织履约验收。</w:t>
      </w:r>
    </w:p>
    <w:p w14:paraId="45EDD5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2.履约验收时间</w:t>
      </w:r>
    </w:p>
    <w:p w14:paraId="686332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 xml:space="preserve">》规定。 </w:t>
      </w:r>
    </w:p>
    <w:p w14:paraId="40B5CC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3.履约验收方式</w:t>
      </w:r>
    </w:p>
    <w:p w14:paraId="75CE13E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本项目采取采购人自行验收方式实施履约验收。</w:t>
      </w:r>
    </w:p>
    <w:p w14:paraId="25830C0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4.履约验收程序</w:t>
      </w:r>
    </w:p>
    <w:p w14:paraId="4343396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》有关规定，验收程序和要求如下：</w:t>
      </w:r>
    </w:p>
    <w:p w14:paraId="15FCF44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（1）成立验收小组。验收小组原则上应由三人以上单数组成，验收小组组长由采购部门的负责人担任，</w:t>
      </w:r>
      <w:r>
        <w:rPr>
          <w:rFonts w:hint="eastAsia" w:ascii="宋体" w:hAnsi="宋体" w:cs="宋体"/>
          <w:sz w:val="24"/>
          <w:szCs w:val="24"/>
          <w:lang w:eastAsia="zh-CN"/>
        </w:rPr>
        <w:t>成员为原合议小组成员，</w:t>
      </w:r>
      <w:r>
        <w:rPr>
          <w:rFonts w:hint="eastAsia" w:ascii="宋体" w:hAnsi="宋体" w:cs="宋体"/>
          <w:sz w:val="24"/>
          <w:szCs w:val="24"/>
        </w:rPr>
        <w:t>并从相关业务部门安排1人作为监督人。如原合议小组成员因故无法参加，由派出部门另行指派人员参加。</w:t>
      </w:r>
    </w:p>
    <w:p w14:paraId="6C00802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（2）组织验收。验收小组应当按照采购合同对供应商的履约情况进行验收。</w:t>
      </w:r>
    </w:p>
    <w:p w14:paraId="718735D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验收小组应当结合合同项目验收清单和标准，对供应商的完成合同情况进行验收。</w:t>
      </w:r>
    </w:p>
    <w:p w14:paraId="363895C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（3）出具验收书。验收小组完成验收后，应当出具验收书，由所有验收人签字，作为支付采购尾款的必备资料。</w:t>
      </w:r>
    </w:p>
    <w:p w14:paraId="5E92003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5.履约验收内容</w:t>
      </w:r>
    </w:p>
    <w:p w14:paraId="3F7D42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按合同约定完成钦州港20万吨级进港航道一期工程秋季海洋生态和水文动力环境现状调查与评价服务。</w:t>
      </w:r>
    </w:p>
    <w:p w14:paraId="111D5F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6.履约验收标准</w:t>
      </w:r>
    </w:p>
    <w:p w14:paraId="4DFBB16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（1）在合同约定期限内完成钦州港20万吨级进港航道一期工程秋季海洋生态和水文动力环境现状调查与评价服务，提交成果。</w:t>
      </w:r>
    </w:p>
    <w:p w14:paraId="25A0B3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（2）成果文件应当符合现行相关国家标准、行业标准、地方标准等标准、规范，并通过采购人组织的专家评审验收。</w:t>
      </w:r>
    </w:p>
    <w:p w14:paraId="15DA7B57">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第十五条 </w:t>
      </w:r>
      <w:r>
        <w:rPr>
          <w:rFonts w:hint="eastAsia" w:ascii="宋体" w:hAnsi="宋体" w:cs="宋体"/>
          <w:sz w:val="24"/>
          <w:szCs w:val="24"/>
        </w:rPr>
        <w:t>本合同未尽事宜，由甲方和乙方双方协商并签订补充协议，补充协议与本合同不一致的，以补充协议为准。</w:t>
      </w:r>
    </w:p>
    <w:p w14:paraId="16F08960">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 xml:space="preserve">第十六条 </w:t>
      </w:r>
      <w:r>
        <w:rPr>
          <w:rFonts w:hint="eastAsia" w:ascii="宋体" w:hAnsi="宋体" w:cs="宋体"/>
          <w:sz w:val="24"/>
          <w:szCs w:val="24"/>
        </w:rPr>
        <w:t>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份，具有同等法律效力。</w:t>
      </w:r>
    </w:p>
    <w:p w14:paraId="3E50974B">
      <w:pPr>
        <w:pStyle w:val="45"/>
        <w:spacing w:line="360" w:lineRule="auto"/>
        <w:ind w:firstLine="482" w:firstLineChars="200"/>
        <w:rPr>
          <w:rFonts w:hint="eastAsia" w:ascii="宋体" w:hAnsi="宋体" w:cs="宋体"/>
          <w:color w:val="000000"/>
          <w:sz w:val="24"/>
          <w:szCs w:val="24"/>
        </w:rPr>
      </w:pPr>
      <w:r>
        <w:rPr>
          <w:rFonts w:hint="eastAsia" w:ascii="宋体" w:hAnsi="宋体" w:cs="宋体"/>
          <w:b/>
          <w:bCs/>
          <w:sz w:val="24"/>
          <w:szCs w:val="24"/>
        </w:rPr>
        <w:t xml:space="preserve">第十七条 </w:t>
      </w:r>
      <w:r>
        <w:rPr>
          <w:rFonts w:hint="eastAsia" w:ascii="宋体" w:hAnsi="宋体" w:cs="宋体"/>
          <w:sz w:val="24"/>
          <w:szCs w:val="24"/>
        </w:rPr>
        <w:t>本协议书在乙方提供履约担保后，由双方法定代表人或其委托代理人签字（或签章）并加盖单位公章或合同专用章后生效。乙方完成全部服务工作且合同费用结清后终止。</w:t>
      </w:r>
    </w:p>
    <w:p w14:paraId="19FC8CD5">
      <w:pPr>
        <w:pStyle w:val="10"/>
        <w:jc w:val="center"/>
        <w:rPr>
          <w:rFonts w:hint="eastAsia" w:ascii="宋体" w:hAnsi="宋体" w:cs="宋体"/>
          <w:color w:val="000000"/>
          <w:sz w:val="24"/>
        </w:rPr>
      </w:pPr>
      <w:r>
        <w:rPr>
          <w:rFonts w:hint="eastAsia" w:ascii="宋体" w:hAnsi="宋体" w:cs="宋体"/>
          <w:color w:val="000000"/>
          <w:sz w:val="24"/>
        </w:rPr>
        <w:t>（本页以下无正文）</w:t>
      </w:r>
    </w:p>
    <w:tbl>
      <w:tblPr>
        <w:tblStyle w:val="24"/>
        <w:tblW w:w="9070" w:type="dxa"/>
        <w:jc w:val="center"/>
        <w:tblLayout w:type="autofit"/>
        <w:tblCellMar>
          <w:top w:w="0" w:type="dxa"/>
          <w:left w:w="51" w:type="dxa"/>
          <w:bottom w:w="0" w:type="dxa"/>
          <w:right w:w="51" w:type="dxa"/>
        </w:tblCellMar>
      </w:tblPr>
      <w:tblGrid>
        <w:gridCol w:w="4395"/>
        <w:gridCol w:w="425"/>
        <w:gridCol w:w="4250"/>
      </w:tblGrid>
      <w:tr w14:paraId="738D9797">
        <w:tblPrEx>
          <w:tblCellMar>
            <w:top w:w="0" w:type="dxa"/>
            <w:left w:w="51" w:type="dxa"/>
            <w:bottom w:w="0" w:type="dxa"/>
            <w:right w:w="51" w:type="dxa"/>
          </w:tblCellMar>
        </w:tblPrEx>
        <w:trPr>
          <w:trHeight w:val="1661" w:hRule="atLeast"/>
          <w:jc w:val="center"/>
        </w:trPr>
        <w:tc>
          <w:tcPr>
            <w:tcW w:w="4395" w:type="dxa"/>
            <w:vAlign w:val="center"/>
          </w:tcPr>
          <w:p w14:paraId="474B778C">
            <w:pPr>
              <w:pStyle w:val="5"/>
              <w:spacing w:line="360" w:lineRule="auto"/>
              <w:ind w:firstLine="0"/>
              <w:rPr>
                <w:rFonts w:hint="eastAsia" w:ascii="宋体" w:hAnsi="宋体" w:cs="宋体"/>
                <w:szCs w:val="21"/>
              </w:rPr>
            </w:pPr>
          </w:p>
          <w:p w14:paraId="6F031429">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575591DB">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48246E4A">
            <w:pPr>
              <w:pStyle w:val="5"/>
              <w:spacing w:line="360" w:lineRule="auto"/>
              <w:rPr>
                <w:rFonts w:hint="eastAsia" w:ascii="宋体" w:hAnsi="宋体" w:cs="宋体"/>
                <w:sz w:val="10"/>
                <w:szCs w:val="10"/>
              </w:rPr>
            </w:pPr>
          </w:p>
        </w:tc>
        <w:tc>
          <w:tcPr>
            <w:tcW w:w="4250" w:type="dxa"/>
            <w:vAlign w:val="center"/>
          </w:tcPr>
          <w:p w14:paraId="4EEDA1AF">
            <w:pPr>
              <w:pStyle w:val="5"/>
              <w:spacing w:line="360" w:lineRule="auto"/>
              <w:ind w:firstLine="0"/>
              <w:rPr>
                <w:rFonts w:hint="eastAsia" w:ascii="宋体" w:hAnsi="宋体" w:cs="宋体"/>
                <w:szCs w:val="21"/>
              </w:rPr>
            </w:pPr>
          </w:p>
          <w:p w14:paraId="4754E94A">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BBF8CC4">
            <w:pPr>
              <w:pStyle w:val="5"/>
              <w:spacing w:line="360" w:lineRule="auto"/>
              <w:ind w:firstLine="0"/>
              <w:jc w:val="center"/>
              <w:rPr>
                <w:rFonts w:hint="eastAsia" w:ascii="宋体" w:hAnsi="宋体" w:cs="宋体"/>
                <w:szCs w:val="21"/>
              </w:rPr>
            </w:pPr>
          </w:p>
        </w:tc>
      </w:tr>
      <w:tr w14:paraId="71494E85">
        <w:tblPrEx>
          <w:tblCellMar>
            <w:top w:w="0" w:type="dxa"/>
            <w:left w:w="51" w:type="dxa"/>
            <w:bottom w:w="0" w:type="dxa"/>
            <w:right w:w="51" w:type="dxa"/>
          </w:tblCellMar>
        </w:tblPrEx>
        <w:trPr>
          <w:jc w:val="center"/>
        </w:trPr>
        <w:tc>
          <w:tcPr>
            <w:tcW w:w="4395" w:type="dxa"/>
          </w:tcPr>
          <w:p w14:paraId="5DB7C2B9">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0CA08658">
            <w:pPr>
              <w:pStyle w:val="5"/>
              <w:spacing w:line="360" w:lineRule="auto"/>
              <w:rPr>
                <w:rFonts w:hint="eastAsia" w:ascii="宋体" w:hAnsi="宋体" w:cs="宋体"/>
                <w:sz w:val="10"/>
                <w:szCs w:val="10"/>
              </w:rPr>
            </w:pPr>
          </w:p>
        </w:tc>
        <w:tc>
          <w:tcPr>
            <w:tcW w:w="4250" w:type="dxa"/>
          </w:tcPr>
          <w:p w14:paraId="096C6396">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2F648D4D">
        <w:tblPrEx>
          <w:tblCellMar>
            <w:top w:w="0" w:type="dxa"/>
            <w:left w:w="51" w:type="dxa"/>
            <w:bottom w:w="0" w:type="dxa"/>
            <w:right w:w="51" w:type="dxa"/>
          </w:tblCellMar>
        </w:tblPrEx>
        <w:trPr>
          <w:trHeight w:val="637" w:hRule="atLeast"/>
          <w:jc w:val="center"/>
        </w:trPr>
        <w:tc>
          <w:tcPr>
            <w:tcW w:w="4395" w:type="dxa"/>
          </w:tcPr>
          <w:p w14:paraId="60356F3D">
            <w:pPr>
              <w:pStyle w:val="5"/>
              <w:ind w:firstLine="0"/>
              <w:rPr>
                <w:rFonts w:hint="eastAsia" w:ascii="宋体" w:hAnsi="宋体" w:cs="宋体"/>
                <w:szCs w:val="21"/>
              </w:rPr>
            </w:pPr>
            <w:r>
              <w:rPr>
                <w:rFonts w:hint="eastAsia" w:ascii="宋体" w:hAnsi="宋体" w:cs="宋体"/>
                <w:szCs w:val="21"/>
              </w:rPr>
              <w:t>或其委托代理人：</w:t>
            </w:r>
          </w:p>
          <w:p w14:paraId="05CF0790">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3203348F">
            <w:pPr>
              <w:pStyle w:val="5"/>
              <w:spacing w:line="360" w:lineRule="auto"/>
              <w:rPr>
                <w:rFonts w:hint="eastAsia" w:ascii="宋体" w:hAnsi="宋体" w:cs="宋体"/>
                <w:sz w:val="10"/>
                <w:szCs w:val="10"/>
              </w:rPr>
            </w:pPr>
          </w:p>
        </w:tc>
        <w:tc>
          <w:tcPr>
            <w:tcW w:w="4250" w:type="dxa"/>
          </w:tcPr>
          <w:p w14:paraId="49DD9125">
            <w:pPr>
              <w:pStyle w:val="5"/>
              <w:ind w:firstLine="0"/>
              <w:rPr>
                <w:rFonts w:hint="eastAsia" w:ascii="宋体" w:hAnsi="宋体" w:cs="宋体"/>
                <w:szCs w:val="21"/>
              </w:rPr>
            </w:pPr>
            <w:r>
              <w:rPr>
                <w:rFonts w:hint="eastAsia" w:ascii="宋体" w:hAnsi="宋体" w:cs="宋体"/>
                <w:szCs w:val="21"/>
              </w:rPr>
              <w:t>或其委托代理人：</w:t>
            </w:r>
          </w:p>
          <w:p w14:paraId="63EF7B50">
            <w:pPr>
              <w:pStyle w:val="5"/>
              <w:ind w:firstLine="0"/>
              <w:rPr>
                <w:rFonts w:hint="eastAsia" w:ascii="宋体" w:hAnsi="宋体" w:cs="宋体"/>
                <w:szCs w:val="21"/>
              </w:rPr>
            </w:pPr>
            <w:r>
              <w:rPr>
                <w:rFonts w:hint="eastAsia" w:ascii="宋体" w:hAnsi="宋体" w:cs="宋体"/>
                <w:szCs w:val="21"/>
              </w:rPr>
              <w:t>（签章）</w:t>
            </w:r>
          </w:p>
        </w:tc>
      </w:tr>
      <w:tr w14:paraId="02864DC0">
        <w:tblPrEx>
          <w:tblCellMar>
            <w:top w:w="0" w:type="dxa"/>
            <w:left w:w="51" w:type="dxa"/>
            <w:bottom w:w="0" w:type="dxa"/>
            <w:right w:w="51" w:type="dxa"/>
          </w:tblCellMar>
        </w:tblPrEx>
        <w:trPr>
          <w:jc w:val="center"/>
        </w:trPr>
        <w:tc>
          <w:tcPr>
            <w:tcW w:w="4395" w:type="dxa"/>
            <w:vAlign w:val="center"/>
          </w:tcPr>
          <w:p w14:paraId="45A04931">
            <w:pPr>
              <w:rPr>
                <w:sz w:val="28"/>
                <w:szCs w:val="28"/>
              </w:rPr>
            </w:pPr>
            <w:r>
              <w:rPr>
                <w:rFonts w:hint="eastAsia" w:ascii="宋体" w:hAnsi="宋体" w:cs="宋体"/>
                <w:szCs w:val="21"/>
              </w:rPr>
              <w:t>开户银行：建行南宁新民路支行</w:t>
            </w:r>
          </w:p>
        </w:tc>
        <w:tc>
          <w:tcPr>
            <w:tcW w:w="425" w:type="dxa"/>
            <w:tcMar>
              <w:top w:w="0" w:type="dxa"/>
              <w:left w:w="0" w:type="dxa"/>
              <w:bottom w:w="0" w:type="dxa"/>
              <w:right w:w="0" w:type="dxa"/>
            </w:tcMar>
            <w:vAlign w:val="center"/>
          </w:tcPr>
          <w:p w14:paraId="3205E888">
            <w:pPr>
              <w:pStyle w:val="5"/>
              <w:spacing w:line="360" w:lineRule="auto"/>
              <w:rPr>
                <w:rFonts w:hint="eastAsia" w:ascii="宋体" w:hAnsi="宋体" w:cs="宋体"/>
                <w:sz w:val="10"/>
                <w:szCs w:val="10"/>
              </w:rPr>
            </w:pPr>
          </w:p>
        </w:tc>
        <w:tc>
          <w:tcPr>
            <w:tcW w:w="4250" w:type="dxa"/>
            <w:vAlign w:val="center"/>
          </w:tcPr>
          <w:p w14:paraId="176E76FC">
            <w:pPr>
              <w:ind w:left="1050" w:hanging="1050" w:hangingChars="500"/>
              <w:rPr>
                <w:rFonts w:hint="eastAsia" w:eastAsia="宋体"/>
                <w:sz w:val="28"/>
                <w:szCs w:val="28"/>
                <w:lang w:eastAsia="zh-CN"/>
              </w:rPr>
            </w:pPr>
            <w:r>
              <w:rPr>
                <w:rFonts w:hint="eastAsia" w:ascii="宋体" w:hAnsi="宋体" w:cs="宋体"/>
                <w:szCs w:val="21"/>
              </w:rPr>
              <w:t>开户银行：</w:t>
            </w:r>
            <w:r>
              <w:rPr>
                <w:rFonts w:hint="eastAsia" w:ascii="宋体" w:hAnsi="宋体" w:cs="宋体"/>
                <w:lang w:val="en-US" w:eastAsia="zh-CN"/>
              </w:rPr>
              <w:t xml:space="preserve"> </w:t>
            </w:r>
          </w:p>
        </w:tc>
      </w:tr>
      <w:tr w14:paraId="7F6C9303">
        <w:tblPrEx>
          <w:tblCellMar>
            <w:top w:w="0" w:type="dxa"/>
            <w:left w:w="51" w:type="dxa"/>
            <w:bottom w:w="0" w:type="dxa"/>
            <w:right w:w="51" w:type="dxa"/>
          </w:tblCellMar>
        </w:tblPrEx>
        <w:trPr>
          <w:jc w:val="center"/>
        </w:trPr>
        <w:tc>
          <w:tcPr>
            <w:tcW w:w="4395" w:type="dxa"/>
            <w:vAlign w:val="center"/>
          </w:tcPr>
          <w:p w14:paraId="2C463B4D">
            <w:pPr>
              <w:rPr>
                <w:sz w:val="28"/>
                <w:szCs w:val="28"/>
              </w:rPr>
            </w:pPr>
            <w:r>
              <w:rPr>
                <w:rFonts w:hint="eastAsia" w:ascii="宋体" w:hAnsi="宋体" w:cs="宋体"/>
                <w:szCs w:val="21"/>
              </w:rPr>
              <w:t>开户账号：</w:t>
            </w:r>
            <w:r>
              <w:rPr>
                <w:rFonts w:ascii="宋体" w:hAnsi="宋体" w:cs="宋体"/>
                <w:szCs w:val="21"/>
              </w:rPr>
              <w:t>45001604258050502193</w:t>
            </w:r>
          </w:p>
        </w:tc>
        <w:tc>
          <w:tcPr>
            <w:tcW w:w="425" w:type="dxa"/>
            <w:tcMar>
              <w:top w:w="0" w:type="dxa"/>
              <w:left w:w="0" w:type="dxa"/>
              <w:bottom w:w="0" w:type="dxa"/>
              <w:right w:w="0" w:type="dxa"/>
            </w:tcMar>
            <w:vAlign w:val="center"/>
          </w:tcPr>
          <w:p w14:paraId="093550CD">
            <w:pPr>
              <w:pStyle w:val="5"/>
              <w:spacing w:line="360" w:lineRule="auto"/>
              <w:rPr>
                <w:rFonts w:hint="eastAsia" w:ascii="宋体" w:hAnsi="宋体" w:cs="宋体"/>
                <w:sz w:val="10"/>
                <w:szCs w:val="10"/>
              </w:rPr>
            </w:pPr>
          </w:p>
        </w:tc>
        <w:tc>
          <w:tcPr>
            <w:tcW w:w="4250" w:type="dxa"/>
            <w:vAlign w:val="center"/>
          </w:tcPr>
          <w:p w14:paraId="13B378C4">
            <w:pPr>
              <w:rPr>
                <w:rFonts w:hint="eastAsia" w:eastAsia="宋体"/>
                <w:sz w:val="28"/>
                <w:szCs w:val="28"/>
                <w:lang w:eastAsia="zh-CN"/>
              </w:rPr>
            </w:pPr>
            <w:r>
              <w:rPr>
                <w:rFonts w:hint="eastAsia" w:ascii="宋体" w:hAnsi="宋体" w:cs="宋体"/>
                <w:szCs w:val="21"/>
              </w:rPr>
              <w:t>开户账号：</w:t>
            </w:r>
            <w:r>
              <w:rPr>
                <w:rFonts w:hint="eastAsia" w:ascii="宋体" w:hAnsi="宋体" w:cs="宋体"/>
                <w:lang w:val="en-US" w:eastAsia="zh-CN"/>
              </w:rPr>
              <w:t xml:space="preserve"> </w:t>
            </w:r>
          </w:p>
        </w:tc>
      </w:tr>
      <w:tr w14:paraId="15B249F9">
        <w:tblPrEx>
          <w:tblCellMar>
            <w:top w:w="0" w:type="dxa"/>
            <w:left w:w="51" w:type="dxa"/>
            <w:bottom w:w="0" w:type="dxa"/>
            <w:right w:w="51" w:type="dxa"/>
          </w:tblCellMar>
        </w:tblPrEx>
        <w:trPr>
          <w:jc w:val="center"/>
        </w:trPr>
        <w:tc>
          <w:tcPr>
            <w:tcW w:w="4395" w:type="dxa"/>
            <w:vAlign w:val="center"/>
          </w:tcPr>
          <w:p w14:paraId="084284C4">
            <w:pPr>
              <w:rPr>
                <w:rFonts w:hint="eastAsia" w:ascii="宋体" w:hAnsi="宋体" w:cs="宋体"/>
                <w:szCs w:val="21"/>
              </w:rPr>
            </w:pPr>
            <w:r>
              <w:rPr>
                <w:rFonts w:hint="eastAsia" w:ascii="宋体" w:hAnsi="宋体" w:cs="宋体"/>
                <w:szCs w:val="21"/>
              </w:rPr>
              <w:t>开户名称：广西壮族自治区水运发展中心</w:t>
            </w:r>
          </w:p>
        </w:tc>
        <w:tc>
          <w:tcPr>
            <w:tcW w:w="425" w:type="dxa"/>
          </w:tcPr>
          <w:p w14:paraId="76A6275F">
            <w:pPr>
              <w:pStyle w:val="5"/>
              <w:spacing w:line="360" w:lineRule="auto"/>
              <w:rPr>
                <w:rFonts w:hint="eastAsia" w:ascii="宋体" w:hAnsi="宋体" w:cs="宋体"/>
                <w:sz w:val="10"/>
                <w:szCs w:val="10"/>
              </w:rPr>
            </w:pPr>
          </w:p>
        </w:tc>
        <w:tc>
          <w:tcPr>
            <w:tcW w:w="4250" w:type="dxa"/>
            <w:vAlign w:val="center"/>
          </w:tcPr>
          <w:p w14:paraId="41D509DB">
            <w:pPr>
              <w:rPr>
                <w:rFonts w:hint="eastAsia" w:ascii="宋体" w:hAnsi="宋体" w:eastAsia="宋体" w:cs="宋体"/>
                <w:szCs w:val="21"/>
                <w:lang w:eastAsia="zh-CN"/>
              </w:rPr>
            </w:pPr>
            <w:r>
              <w:rPr>
                <w:rFonts w:hint="eastAsia" w:ascii="宋体" w:hAnsi="宋体" w:cs="宋体"/>
                <w:szCs w:val="21"/>
              </w:rPr>
              <w:t>开户名称：</w:t>
            </w:r>
            <w:r>
              <w:rPr>
                <w:rFonts w:hint="eastAsia" w:ascii="宋体" w:hAnsi="宋体" w:cs="宋体"/>
                <w:lang w:val="en-US" w:eastAsia="zh-CN"/>
              </w:rPr>
              <w:t xml:space="preserve"> </w:t>
            </w:r>
          </w:p>
        </w:tc>
      </w:tr>
      <w:tr w14:paraId="2CD77DC3">
        <w:tblPrEx>
          <w:tblCellMar>
            <w:top w:w="0" w:type="dxa"/>
            <w:left w:w="51" w:type="dxa"/>
            <w:bottom w:w="0" w:type="dxa"/>
            <w:right w:w="51" w:type="dxa"/>
          </w:tblCellMar>
        </w:tblPrEx>
        <w:trPr>
          <w:jc w:val="center"/>
        </w:trPr>
        <w:tc>
          <w:tcPr>
            <w:tcW w:w="4395" w:type="dxa"/>
            <w:vAlign w:val="center"/>
          </w:tcPr>
          <w:p w14:paraId="30024269">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12210B56">
            <w:pPr>
              <w:pStyle w:val="5"/>
              <w:spacing w:line="360" w:lineRule="auto"/>
              <w:rPr>
                <w:rFonts w:hint="eastAsia" w:ascii="宋体" w:hAnsi="宋体" w:cs="宋体"/>
                <w:sz w:val="10"/>
                <w:szCs w:val="10"/>
              </w:rPr>
            </w:pPr>
          </w:p>
        </w:tc>
        <w:tc>
          <w:tcPr>
            <w:tcW w:w="4250" w:type="dxa"/>
            <w:vAlign w:val="center"/>
          </w:tcPr>
          <w:p w14:paraId="0412FD6E">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49B99222">
        <w:tblPrEx>
          <w:tblCellMar>
            <w:top w:w="0" w:type="dxa"/>
            <w:left w:w="51" w:type="dxa"/>
            <w:bottom w:w="0" w:type="dxa"/>
            <w:right w:w="51" w:type="dxa"/>
          </w:tblCellMar>
        </w:tblPrEx>
        <w:trPr>
          <w:jc w:val="center"/>
        </w:trPr>
        <w:tc>
          <w:tcPr>
            <w:tcW w:w="4395" w:type="dxa"/>
            <w:vAlign w:val="center"/>
          </w:tcPr>
          <w:p w14:paraId="171246C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752B0D7D">
            <w:pPr>
              <w:pStyle w:val="5"/>
              <w:spacing w:line="360" w:lineRule="auto"/>
              <w:rPr>
                <w:rFonts w:hint="eastAsia" w:ascii="宋体" w:hAnsi="宋体" w:cs="宋体"/>
                <w:sz w:val="10"/>
                <w:szCs w:val="10"/>
              </w:rPr>
            </w:pPr>
          </w:p>
        </w:tc>
        <w:tc>
          <w:tcPr>
            <w:tcW w:w="4250" w:type="dxa"/>
            <w:vAlign w:val="center"/>
          </w:tcPr>
          <w:p w14:paraId="4524B92E">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5C11CF35">
        <w:tblPrEx>
          <w:tblCellMar>
            <w:top w:w="0" w:type="dxa"/>
            <w:left w:w="51" w:type="dxa"/>
            <w:bottom w:w="0" w:type="dxa"/>
            <w:right w:w="51" w:type="dxa"/>
          </w:tblCellMar>
        </w:tblPrEx>
        <w:trPr>
          <w:jc w:val="center"/>
        </w:trPr>
        <w:tc>
          <w:tcPr>
            <w:tcW w:w="4395" w:type="dxa"/>
            <w:vAlign w:val="center"/>
          </w:tcPr>
          <w:p w14:paraId="59BCBD2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3470E63A">
            <w:pPr>
              <w:pStyle w:val="5"/>
              <w:spacing w:line="360" w:lineRule="auto"/>
              <w:rPr>
                <w:rFonts w:hint="eastAsia" w:ascii="宋体" w:hAnsi="宋体" w:cs="宋体"/>
                <w:sz w:val="10"/>
                <w:szCs w:val="10"/>
              </w:rPr>
            </w:pPr>
          </w:p>
        </w:tc>
        <w:tc>
          <w:tcPr>
            <w:tcW w:w="4250" w:type="dxa"/>
            <w:vAlign w:val="center"/>
          </w:tcPr>
          <w:p w14:paraId="7FF5A1CF">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5D4B7289">
        <w:tblPrEx>
          <w:tblCellMar>
            <w:top w:w="0" w:type="dxa"/>
            <w:left w:w="51" w:type="dxa"/>
            <w:bottom w:w="0" w:type="dxa"/>
            <w:right w:w="51" w:type="dxa"/>
          </w:tblCellMar>
        </w:tblPrEx>
        <w:trPr>
          <w:trHeight w:val="312" w:hRule="atLeast"/>
          <w:jc w:val="center"/>
        </w:trPr>
        <w:tc>
          <w:tcPr>
            <w:tcW w:w="4395" w:type="dxa"/>
            <w:vAlign w:val="center"/>
          </w:tcPr>
          <w:p w14:paraId="1C71262B">
            <w:pPr>
              <w:pStyle w:val="5"/>
              <w:spacing w:line="360" w:lineRule="auto"/>
              <w:ind w:firstLine="0"/>
              <w:rPr>
                <w:rFonts w:hint="eastAsia" w:ascii="宋体" w:hAnsi="宋体" w:cs="宋体"/>
                <w:szCs w:val="21"/>
              </w:rPr>
            </w:pPr>
          </w:p>
        </w:tc>
        <w:tc>
          <w:tcPr>
            <w:tcW w:w="425" w:type="dxa"/>
          </w:tcPr>
          <w:p w14:paraId="4BBB4BD5">
            <w:pPr>
              <w:pStyle w:val="5"/>
              <w:spacing w:line="360" w:lineRule="auto"/>
              <w:rPr>
                <w:rFonts w:hint="eastAsia" w:ascii="宋体" w:hAnsi="宋体" w:cs="宋体"/>
                <w:sz w:val="10"/>
                <w:szCs w:val="10"/>
              </w:rPr>
            </w:pPr>
          </w:p>
        </w:tc>
        <w:tc>
          <w:tcPr>
            <w:tcW w:w="4250" w:type="dxa"/>
            <w:vAlign w:val="center"/>
          </w:tcPr>
          <w:p w14:paraId="2D656358">
            <w:pPr>
              <w:pStyle w:val="5"/>
              <w:spacing w:line="360" w:lineRule="auto"/>
              <w:ind w:firstLine="0"/>
              <w:rPr>
                <w:rFonts w:hint="eastAsia" w:ascii="宋体" w:hAnsi="宋体" w:cs="宋体"/>
                <w:szCs w:val="21"/>
              </w:rPr>
            </w:pPr>
          </w:p>
        </w:tc>
      </w:tr>
      <w:tr w14:paraId="6DED8197">
        <w:tblPrEx>
          <w:tblCellMar>
            <w:top w:w="0" w:type="dxa"/>
            <w:left w:w="51" w:type="dxa"/>
            <w:bottom w:w="0" w:type="dxa"/>
            <w:right w:w="51" w:type="dxa"/>
          </w:tblCellMar>
        </w:tblPrEx>
        <w:trPr>
          <w:jc w:val="center"/>
        </w:trPr>
        <w:tc>
          <w:tcPr>
            <w:tcW w:w="9070" w:type="dxa"/>
            <w:gridSpan w:val="3"/>
            <w:vAlign w:val="center"/>
          </w:tcPr>
          <w:p w14:paraId="2AD42BEC">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tbl>
    <w:p w14:paraId="5CE8BB13">
      <w:pPr>
        <w:pStyle w:val="10"/>
        <w:spacing w:after="0"/>
        <w:jc w:val="center"/>
        <w:rPr>
          <w:rFonts w:hint="eastAsia" w:ascii="宋体" w:hAnsi="宋体" w:cs="宋体"/>
          <w:color w:val="000000"/>
          <w:sz w:val="24"/>
        </w:rPr>
      </w:pPr>
    </w:p>
    <w:p w14:paraId="1A78DE4E">
      <w:pPr>
        <w:rPr>
          <w:rFonts w:hint="eastAsia" w:ascii="宋体" w:hAnsi="宋体" w:cs="宋体"/>
          <w:szCs w:val="21"/>
        </w:rPr>
      </w:pPr>
      <w:r>
        <w:rPr>
          <w:rFonts w:ascii="宋体" w:hAnsi="宋体" w:cs="宋体"/>
          <w:szCs w:val="21"/>
        </w:rPr>
        <w:br w:type="page"/>
      </w:r>
    </w:p>
    <w:p w14:paraId="4ACB4452">
      <w:pPr>
        <w:spacing w:before="156" w:beforeLines="50" w:after="156" w:afterLines="50" w:line="360" w:lineRule="auto"/>
        <w:jc w:val="both"/>
        <w:outlineLvl w:val="1"/>
        <w:rPr>
          <w:rFonts w:hint="eastAsia" w:ascii="宋体" w:hAnsi="宋体" w:eastAsia="宋体" w:cs="宋体"/>
          <w:sz w:val="24"/>
          <w:szCs w:val="24"/>
        </w:rPr>
      </w:pPr>
      <w:bookmarkStart w:id="309" w:name="_Toc32300"/>
      <w:bookmarkStart w:id="310" w:name="_Toc13604"/>
      <w:bookmarkStart w:id="311" w:name="_Toc29314"/>
      <w:bookmarkStart w:id="312" w:name="_Toc21149"/>
      <w:bookmarkStart w:id="313" w:name="_Toc28209"/>
      <w:bookmarkStart w:id="314" w:name="_Toc16541"/>
      <w:bookmarkStart w:id="315" w:name="_Toc14961"/>
      <w:bookmarkStart w:id="316" w:name="_Toc29758"/>
      <w:bookmarkStart w:id="317" w:name="_Toc16537"/>
      <w:bookmarkStart w:id="318" w:name="_Toc14353"/>
      <w:bookmarkStart w:id="319" w:name="_Toc20257"/>
      <w:bookmarkStart w:id="320" w:name="_Toc3800"/>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廉政合同</w:t>
      </w:r>
      <w:bookmarkEnd w:id="309"/>
      <w:bookmarkEnd w:id="310"/>
      <w:bookmarkEnd w:id="311"/>
      <w:bookmarkEnd w:id="312"/>
      <w:bookmarkEnd w:id="313"/>
      <w:bookmarkEnd w:id="314"/>
      <w:bookmarkEnd w:id="315"/>
      <w:bookmarkEnd w:id="316"/>
      <w:bookmarkEnd w:id="317"/>
      <w:bookmarkEnd w:id="318"/>
      <w:bookmarkEnd w:id="319"/>
      <w:bookmarkEnd w:id="320"/>
    </w:p>
    <w:p w14:paraId="5E052B6F">
      <w:pPr>
        <w:pStyle w:val="5"/>
        <w:snapToGrid w:val="0"/>
        <w:spacing w:line="360" w:lineRule="auto"/>
        <w:ind w:firstLine="0"/>
        <w:jc w:val="center"/>
        <w:rPr>
          <w:rFonts w:hint="eastAsia" w:ascii="宋体" w:hAnsi="宋体" w:cs="宋体"/>
          <w:sz w:val="24"/>
          <w:szCs w:val="24"/>
        </w:rPr>
      </w:pPr>
      <w:r>
        <w:rPr>
          <w:rFonts w:hint="eastAsia" w:ascii="黑体" w:hAnsi="宋体" w:eastAsia="黑体"/>
          <w:sz w:val="32"/>
          <w:szCs w:val="32"/>
        </w:rPr>
        <w:t>廉政合同</w:t>
      </w:r>
    </w:p>
    <w:p w14:paraId="00265CC9">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s="宋体"/>
          <w:sz w:val="24"/>
          <w:szCs w:val="24"/>
          <w:u w:val="single"/>
        </w:rPr>
        <w:t xml:space="preserve"> 广西壮族自治区水运发展中心</w:t>
      </w:r>
      <w:r>
        <w:rPr>
          <w:rFonts w:hint="eastAsia" w:ascii="宋体" w:hAnsi="宋体" w:cs="宋体"/>
          <w:sz w:val="24"/>
          <w:szCs w:val="24"/>
        </w:rPr>
        <w:t>（以下简称:甲方）为一方与另一方</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（以下称乙方），特订立如下合同。</w:t>
      </w:r>
    </w:p>
    <w:p w14:paraId="28CA4F8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第一条  双方的权利和义务</w:t>
      </w:r>
    </w:p>
    <w:p w14:paraId="10FA00E6">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（一）严格遵守党和国家有关法律法规及交通运输部的有关规定。</w:t>
      </w:r>
    </w:p>
    <w:p w14:paraId="309E2A4D">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（二）严格执行</w:t>
      </w:r>
      <w:r>
        <w:rPr>
          <w:rFonts w:hint="eastAsia" w:ascii="宋体" w:hAnsi="宋体" w:cs="宋体"/>
          <w:sz w:val="24"/>
          <w:szCs w:val="24"/>
          <w:u w:val="single"/>
        </w:rPr>
        <w:t>钦州港20万吨级进港航道一期工程秋季海洋生态和水文动力环境现状调查与评价服务</w:t>
      </w:r>
      <w:r>
        <w:rPr>
          <w:rFonts w:hint="eastAsia" w:ascii="宋体" w:hAnsi="宋体" w:cs="宋体"/>
          <w:sz w:val="24"/>
          <w:szCs w:val="24"/>
        </w:rPr>
        <w:t>合同文件，自觉按合同办事。</w:t>
      </w:r>
    </w:p>
    <w:p w14:paraId="50806CB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（三）双方的业务活动坚持公开、公正、诚信、透明的原则（除法律认定的商业秘密和合同文件另有规定之外），不得损害国家和集体利益，违反工程建设管理规章制度。</w:t>
      </w:r>
    </w:p>
    <w:p w14:paraId="42D0C0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（四）建立健全廉政制度，开展廉政教育，设立廉政告示牌，公布举报电话，监督并认真查处违法违纪行为。</w:t>
      </w:r>
    </w:p>
    <w:p w14:paraId="5E7B926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（五）发现对方在业务活动中有违反廉政规定的行为，有及时提醒对方纠正的权利和义务。</w:t>
      </w:r>
    </w:p>
    <w:p w14:paraId="14F4EB0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（六）发现对方严重违反本合同义务条款的行为，有向其上级有关部门举报、建议给予处理并要求告知处理结果的权利。</w:t>
      </w:r>
    </w:p>
    <w:p w14:paraId="0AEF664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第二条 甲方的义务</w:t>
      </w:r>
    </w:p>
    <w:p w14:paraId="28B2035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（一）甲方及其工作人员不得索要或接受乙方的礼金、有价证券和贵重物品，不得让乙方报销任何应由甲方或个人支付的费用等。</w:t>
      </w:r>
    </w:p>
    <w:p w14:paraId="62D032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（二）甲方工作人员不得参加乙方安排的超标准宴请和娱乐活动；不得接受乙方提供的通讯工具、交通工具和高档办公用品等。</w:t>
      </w:r>
    </w:p>
    <w:p w14:paraId="5CF305F7">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（三）甲方及其工作人员不得要求或者接受乙方为其住房装修、婚丧嫁娶活动、配偶子女的工作安排以及出国出境、旅游等提供方便等。</w:t>
      </w:r>
    </w:p>
    <w:p w14:paraId="5216627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（四）不准向乙方和相关单位介绍或为配偶、子女、亲属参与同甲方项目工程合同有关的咨询业务等活动。不得以任何理由要求乙方和相关单位在咨询中使用某种产品、材料和设备。</w:t>
      </w:r>
    </w:p>
    <w:p w14:paraId="01B7D35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第三条  乙方义务</w:t>
      </w:r>
    </w:p>
    <w:p w14:paraId="3C0B6BB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（一）乙方不得以任何理由向甲方及其工作人员行贿或馈赠礼金、有价证券、贵重礼品。</w:t>
      </w:r>
    </w:p>
    <w:p w14:paraId="3AF3363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（二）乙方不得以任何名义为甲方及其工作人员报销应由甲方单位或个人支付的任何费用。</w:t>
      </w:r>
    </w:p>
    <w:p w14:paraId="2A33C4D4">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（三）乙方不得以任何理由安排甲方工作人员参加超标准宴请及娱乐活动。</w:t>
      </w:r>
    </w:p>
    <w:p w14:paraId="728EA12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（四）乙方不得为甲方单位和个人购置或提供通讯工具、交通工具和高档办公用品等。</w:t>
      </w:r>
    </w:p>
    <w:p w14:paraId="08FC42C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第四条  违约责任</w:t>
      </w:r>
    </w:p>
    <w:p w14:paraId="33C72B3E">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（一）甲方及其工作人员违反本合同第一、二条，按管理权限，依据有关规定给予党纪、政纪处分或组织处理；涉嫌犯罪的，移交司法机关追究刑事责任；给乙方单位造成经济损失的，应予以赔偿。</w:t>
      </w:r>
    </w:p>
    <w:p w14:paraId="102A3D7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及其工作人员违反本合同第一、三条，按管理权限，依据有关规定给予党纪、政纪处分或组织处理；给甲方单位造成经济损失的，应予以赔偿；情节严重的，甲方建议交通工程建设主管部门给予乙方一至三年内不得进入其主管的交通工程建设市场的处罚。</w:t>
      </w:r>
    </w:p>
    <w:p w14:paraId="34DB17BB">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五条：双方约定：本合同由双方或双方上级单位的纪检监察机关负责监督。由甲方或甲方上级单位的纪检监察机关约请乙方或乙方上级单位纪检监察机关对本合同履行情况进行检查，提出在本合同规定范围内的裁定意见。</w:t>
      </w:r>
    </w:p>
    <w:p w14:paraId="0DFD3AD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第六条  本合同自双方法定代表人或其委托代理人签字并加盖双方单位公章后、且甲方收到乙方的履约担保后生效，至本项目全部成果通过验收后终止。</w:t>
      </w:r>
    </w:p>
    <w:p w14:paraId="6FB68FB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第七条  本合同作为</w:t>
      </w:r>
      <w:r>
        <w:rPr>
          <w:rFonts w:hint="eastAsia" w:ascii="宋体" w:hAnsi="宋体" w:cs="宋体"/>
          <w:sz w:val="24"/>
          <w:szCs w:val="24"/>
          <w:u w:val="single"/>
        </w:rPr>
        <w:t xml:space="preserve"> 钦州港20万吨级进港航道一期工程秋季海洋生态和水文动力环境现状调查与评价服务 </w:t>
      </w:r>
      <w:r>
        <w:rPr>
          <w:rFonts w:hint="eastAsia" w:ascii="宋体" w:hAnsi="宋体" w:cs="宋体"/>
          <w:sz w:val="24"/>
          <w:szCs w:val="24"/>
        </w:rPr>
        <w:t>合同的附件，与咨询合同具有同等的法律效力。</w:t>
      </w:r>
    </w:p>
    <w:p w14:paraId="13887A85">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第八条  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w:t>
      </w:r>
    </w:p>
    <w:p w14:paraId="069E8F55">
      <w:pPr>
        <w:pStyle w:val="5"/>
        <w:snapToGrid w:val="0"/>
        <w:spacing w:line="360" w:lineRule="auto"/>
        <w:ind w:firstLine="480"/>
        <w:rPr>
          <w:rFonts w:hint="eastAsia" w:ascii="宋体" w:hAnsi="宋体" w:cs="宋体"/>
          <w:szCs w:val="21"/>
        </w:rPr>
      </w:pPr>
    </w:p>
    <w:tbl>
      <w:tblPr>
        <w:tblStyle w:val="24"/>
        <w:tblW w:w="9070" w:type="dxa"/>
        <w:jc w:val="center"/>
        <w:tblLayout w:type="autofit"/>
        <w:tblCellMar>
          <w:top w:w="0" w:type="dxa"/>
          <w:left w:w="51" w:type="dxa"/>
          <w:bottom w:w="0" w:type="dxa"/>
          <w:right w:w="51" w:type="dxa"/>
        </w:tblCellMar>
      </w:tblPr>
      <w:tblGrid>
        <w:gridCol w:w="4395"/>
        <w:gridCol w:w="425"/>
        <w:gridCol w:w="4250"/>
      </w:tblGrid>
      <w:tr w14:paraId="44D4D2F1">
        <w:tblPrEx>
          <w:tblCellMar>
            <w:top w:w="0" w:type="dxa"/>
            <w:left w:w="51" w:type="dxa"/>
            <w:bottom w:w="0" w:type="dxa"/>
            <w:right w:w="51" w:type="dxa"/>
          </w:tblCellMar>
        </w:tblPrEx>
        <w:trPr>
          <w:trHeight w:val="1661" w:hRule="atLeast"/>
          <w:jc w:val="center"/>
        </w:trPr>
        <w:tc>
          <w:tcPr>
            <w:tcW w:w="4395" w:type="dxa"/>
            <w:vAlign w:val="center"/>
          </w:tcPr>
          <w:p w14:paraId="1C083A70">
            <w:pPr>
              <w:pStyle w:val="5"/>
              <w:spacing w:line="360" w:lineRule="auto"/>
              <w:ind w:firstLine="0"/>
              <w:rPr>
                <w:rFonts w:hint="eastAsia" w:ascii="宋体" w:hAnsi="宋体" w:cs="宋体"/>
                <w:szCs w:val="21"/>
              </w:rPr>
            </w:pPr>
          </w:p>
          <w:p w14:paraId="11C7CFE3">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055FFDAE">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2E5F1E92">
            <w:pPr>
              <w:pStyle w:val="5"/>
              <w:spacing w:line="360" w:lineRule="auto"/>
              <w:rPr>
                <w:rFonts w:hint="eastAsia" w:ascii="宋体" w:hAnsi="宋体" w:cs="宋体"/>
                <w:sz w:val="10"/>
                <w:szCs w:val="10"/>
              </w:rPr>
            </w:pPr>
          </w:p>
        </w:tc>
        <w:tc>
          <w:tcPr>
            <w:tcW w:w="4250" w:type="dxa"/>
            <w:vAlign w:val="center"/>
          </w:tcPr>
          <w:p w14:paraId="67C8C776">
            <w:pPr>
              <w:pStyle w:val="5"/>
              <w:spacing w:line="360" w:lineRule="auto"/>
              <w:ind w:firstLine="0"/>
              <w:rPr>
                <w:rFonts w:hint="eastAsia" w:ascii="宋体" w:hAnsi="宋体" w:cs="宋体"/>
                <w:szCs w:val="21"/>
              </w:rPr>
            </w:pPr>
          </w:p>
          <w:p w14:paraId="3A4E8056">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1E150CC">
            <w:pPr>
              <w:pStyle w:val="5"/>
              <w:spacing w:line="360" w:lineRule="auto"/>
              <w:ind w:firstLine="0"/>
              <w:jc w:val="center"/>
              <w:rPr>
                <w:rFonts w:hint="eastAsia" w:ascii="宋体" w:hAnsi="宋体" w:cs="宋体"/>
                <w:szCs w:val="21"/>
              </w:rPr>
            </w:pPr>
          </w:p>
        </w:tc>
      </w:tr>
      <w:tr w14:paraId="623D2328">
        <w:tblPrEx>
          <w:tblCellMar>
            <w:top w:w="0" w:type="dxa"/>
            <w:left w:w="51" w:type="dxa"/>
            <w:bottom w:w="0" w:type="dxa"/>
            <w:right w:w="51" w:type="dxa"/>
          </w:tblCellMar>
        </w:tblPrEx>
        <w:trPr>
          <w:jc w:val="center"/>
        </w:trPr>
        <w:tc>
          <w:tcPr>
            <w:tcW w:w="4395" w:type="dxa"/>
          </w:tcPr>
          <w:p w14:paraId="2C60C77A">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5FECF083">
            <w:pPr>
              <w:pStyle w:val="5"/>
              <w:spacing w:line="360" w:lineRule="auto"/>
              <w:rPr>
                <w:rFonts w:hint="eastAsia" w:ascii="宋体" w:hAnsi="宋体" w:cs="宋体"/>
                <w:sz w:val="10"/>
                <w:szCs w:val="10"/>
              </w:rPr>
            </w:pPr>
          </w:p>
        </w:tc>
        <w:tc>
          <w:tcPr>
            <w:tcW w:w="4250" w:type="dxa"/>
          </w:tcPr>
          <w:p w14:paraId="29FB6AE4">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72264EC4">
        <w:tblPrEx>
          <w:tblCellMar>
            <w:top w:w="0" w:type="dxa"/>
            <w:left w:w="51" w:type="dxa"/>
            <w:bottom w:w="0" w:type="dxa"/>
            <w:right w:w="51" w:type="dxa"/>
          </w:tblCellMar>
        </w:tblPrEx>
        <w:trPr>
          <w:trHeight w:val="637" w:hRule="atLeast"/>
          <w:jc w:val="center"/>
        </w:trPr>
        <w:tc>
          <w:tcPr>
            <w:tcW w:w="4395" w:type="dxa"/>
          </w:tcPr>
          <w:p w14:paraId="342BDD7F">
            <w:pPr>
              <w:pStyle w:val="5"/>
              <w:ind w:firstLine="0"/>
              <w:rPr>
                <w:rFonts w:hint="eastAsia" w:ascii="宋体" w:hAnsi="宋体" w:cs="宋体"/>
                <w:szCs w:val="21"/>
              </w:rPr>
            </w:pPr>
            <w:r>
              <w:rPr>
                <w:rFonts w:hint="eastAsia" w:ascii="宋体" w:hAnsi="宋体" w:cs="宋体"/>
                <w:szCs w:val="21"/>
              </w:rPr>
              <w:t>或其委托代理人：</w:t>
            </w:r>
          </w:p>
          <w:p w14:paraId="4B36269A">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0257D13F">
            <w:pPr>
              <w:pStyle w:val="5"/>
              <w:spacing w:line="360" w:lineRule="auto"/>
              <w:rPr>
                <w:rFonts w:hint="eastAsia" w:ascii="宋体" w:hAnsi="宋体" w:cs="宋体"/>
                <w:sz w:val="10"/>
                <w:szCs w:val="10"/>
              </w:rPr>
            </w:pPr>
          </w:p>
        </w:tc>
        <w:tc>
          <w:tcPr>
            <w:tcW w:w="4250" w:type="dxa"/>
          </w:tcPr>
          <w:p w14:paraId="3C009D0C">
            <w:pPr>
              <w:pStyle w:val="5"/>
              <w:ind w:firstLine="0"/>
              <w:rPr>
                <w:rFonts w:hint="eastAsia" w:ascii="宋体" w:hAnsi="宋体" w:cs="宋体"/>
                <w:szCs w:val="21"/>
              </w:rPr>
            </w:pPr>
            <w:r>
              <w:rPr>
                <w:rFonts w:hint="eastAsia" w:ascii="宋体" w:hAnsi="宋体" w:cs="宋体"/>
                <w:szCs w:val="21"/>
              </w:rPr>
              <w:t>或其委托代理人：</w:t>
            </w:r>
          </w:p>
          <w:p w14:paraId="779F8057">
            <w:pPr>
              <w:pStyle w:val="5"/>
              <w:ind w:firstLine="0"/>
              <w:rPr>
                <w:rFonts w:hint="eastAsia" w:ascii="宋体" w:hAnsi="宋体" w:cs="宋体"/>
                <w:szCs w:val="21"/>
              </w:rPr>
            </w:pPr>
            <w:r>
              <w:rPr>
                <w:rFonts w:hint="eastAsia" w:ascii="宋体" w:hAnsi="宋体" w:cs="宋体"/>
                <w:szCs w:val="21"/>
              </w:rPr>
              <w:t>（签章）</w:t>
            </w:r>
          </w:p>
        </w:tc>
      </w:tr>
      <w:tr w14:paraId="673D5EBB">
        <w:tblPrEx>
          <w:tblCellMar>
            <w:top w:w="0" w:type="dxa"/>
            <w:left w:w="51" w:type="dxa"/>
            <w:bottom w:w="0" w:type="dxa"/>
            <w:right w:w="51" w:type="dxa"/>
          </w:tblCellMar>
        </w:tblPrEx>
        <w:trPr>
          <w:jc w:val="center"/>
        </w:trPr>
        <w:tc>
          <w:tcPr>
            <w:tcW w:w="4395" w:type="dxa"/>
            <w:vAlign w:val="center"/>
          </w:tcPr>
          <w:p w14:paraId="04248564">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2C03012D">
            <w:pPr>
              <w:pStyle w:val="5"/>
              <w:spacing w:line="360" w:lineRule="auto"/>
              <w:rPr>
                <w:rFonts w:hint="eastAsia" w:ascii="宋体" w:hAnsi="宋体" w:cs="宋体"/>
                <w:sz w:val="10"/>
                <w:szCs w:val="10"/>
              </w:rPr>
            </w:pPr>
          </w:p>
        </w:tc>
        <w:tc>
          <w:tcPr>
            <w:tcW w:w="4250" w:type="dxa"/>
            <w:vAlign w:val="center"/>
          </w:tcPr>
          <w:p w14:paraId="3973EEBF">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67D30FAD">
        <w:tblPrEx>
          <w:tblCellMar>
            <w:top w:w="0" w:type="dxa"/>
            <w:left w:w="51" w:type="dxa"/>
            <w:bottom w:w="0" w:type="dxa"/>
            <w:right w:w="51" w:type="dxa"/>
          </w:tblCellMar>
        </w:tblPrEx>
        <w:trPr>
          <w:jc w:val="center"/>
        </w:trPr>
        <w:tc>
          <w:tcPr>
            <w:tcW w:w="4395" w:type="dxa"/>
            <w:vAlign w:val="center"/>
          </w:tcPr>
          <w:p w14:paraId="02C683A4">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15CAB4B1">
            <w:pPr>
              <w:pStyle w:val="5"/>
              <w:spacing w:line="360" w:lineRule="auto"/>
              <w:rPr>
                <w:rFonts w:hint="eastAsia" w:ascii="宋体" w:hAnsi="宋体" w:cs="宋体"/>
                <w:sz w:val="10"/>
                <w:szCs w:val="10"/>
              </w:rPr>
            </w:pPr>
          </w:p>
        </w:tc>
        <w:tc>
          <w:tcPr>
            <w:tcW w:w="4250" w:type="dxa"/>
            <w:vAlign w:val="center"/>
          </w:tcPr>
          <w:p w14:paraId="29668A5B">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049AF9C0">
        <w:tblPrEx>
          <w:tblCellMar>
            <w:top w:w="0" w:type="dxa"/>
            <w:left w:w="51" w:type="dxa"/>
            <w:bottom w:w="0" w:type="dxa"/>
            <w:right w:w="51" w:type="dxa"/>
          </w:tblCellMar>
        </w:tblPrEx>
        <w:trPr>
          <w:jc w:val="center"/>
        </w:trPr>
        <w:tc>
          <w:tcPr>
            <w:tcW w:w="4395" w:type="dxa"/>
            <w:vAlign w:val="center"/>
          </w:tcPr>
          <w:p w14:paraId="5FD76B16">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650955F0">
            <w:pPr>
              <w:pStyle w:val="5"/>
              <w:spacing w:line="360" w:lineRule="auto"/>
              <w:rPr>
                <w:rFonts w:hint="eastAsia" w:ascii="宋体" w:hAnsi="宋体" w:cs="宋体"/>
                <w:sz w:val="10"/>
                <w:szCs w:val="10"/>
              </w:rPr>
            </w:pPr>
          </w:p>
        </w:tc>
        <w:tc>
          <w:tcPr>
            <w:tcW w:w="4250" w:type="dxa"/>
            <w:vAlign w:val="center"/>
          </w:tcPr>
          <w:p w14:paraId="7C93EA41">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3BC24475">
        <w:tblPrEx>
          <w:tblCellMar>
            <w:top w:w="0" w:type="dxa"/>
            <w:left w:w="51" w:type="dxa"/>
            <w:bottom w:w="0" w:type="dxa"/>
            <w:right w:w="51" w:type="dxa"/>
          </w:tblCellMar>
        </w:tblPrEx>
        <w:trPr>
          <w:jc w:val="center"/>
        </w:trPr>
        <w:tc>
          <w:tcPr>
            <w:tcW w:w="9070" w:type="dxa"/>
            <w:gridSpan w:val="3"/>
            <w:vAlign w:val="center"/>
          </w:tcPr>
          <w:p w14:paraId="584715F4">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bookmarkEnd w:id="287"/>
      <w:bookmarkEnd w:id="288"/>
      <w:bookmarkEnd w:id="289"/>
      <w:bookmarkEnd w:id="290"/>
      <w:bookmarkEnd w:id="291"/>
      <w:bookmarkEnd w:id="292"/>
      <w:bookmarkEnd w:id="293"/>
      <w:bookmarkEnd w:id="294"/>
      <w:bookmarkEnd w:id="306"/>
      <w:bookmarkEnd w:id="307"/>
      <w:bookmarkEnd w:id="308"/>
    </w:tbl>
    <w:p w14:paraId="650911AC">
      <w:pPr>
        <w:pStyle w:val="31"/>
        <w:adjustRightInd/>
        <w:snapToGrid/>
        <w:spacing w:line="240" w:lineRule="auto"/>
        <w:ind w:firstLine="0" w:firstLineChars="0"/>
        <w:jc w:val="both"/>
        <w:rPr>
          <w:b/>
          <w:bCs/>
          <w:color w:val="auto"/>
          <w:sz w:val="21"/>
          <w:szCs w:val="21"/>
          <w:highlight w:val="none"/>
        </w:rPr>
      </w:pPr>
    </w:p>
    <w:sectPr>
      <w:footerReference r:id="rId9" w:type="first"/>
      <w:headerReference r:id="rId7" w:type="default"/>
      <w:footerReference r:id="rId8" w:type="default"/>
      <w:pgSz w:w="11906" w:h="16838"/>
      <w:pgMar w:top="1134" w:right="1134" w:bottom="1134" w:left="1134" w:header="851" w:footer="567"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75F87">
    <w:pPr>
      <w:pStyle w:val="16"/>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0C1DE230">
                          <w:pPr>
                            <w:pStyle w:val="16"/>
                          </w:pPr>
                          <w:r>
                            <w:fldChar w:fldCharType="begin"/>
                          </w:r>
                          <w:r>
                            <w:instrText xml:space="preserve"> PAGE  \* MERGEFORMAT </w:instrText>
                          </w:r>
                          <w:r>
                            <w:fldChar w:fldCharType="separate"/>
                          </w:r>
                          <w:r>
                            <w:t>20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4vdRNAAAAACAQAADwAAAAAAAAABACAAAAAiAAAAZHJzL2Rvd25yZXYueG1s&#10;UEsBAhQAFAAAAAgAh07iQNG89CvHAQAAigMAAA4AAAAAAAAAAQAgAAAAHwEAAGRycy9lMm9Eb2Mu&#10;eG1sUEsFBgAAAAAGAAYAWQEAAFgFAAAAAA==&#10;">
              <v:fill on="f" focussize="0,0"/>
              <v:stroke on="f"/>
              <v:imagedata o:title=""/>
              <o:lock v:ext="edit" aspectratio="f"/>
              <v:textbox inset="0mm,0mm,0mm,0mm" style="mso-fit-shape-to-text:t;">
                <w:txbxContent>
                  <w:p w14:paraId="0C1DE230">
                    <w:pPr>
                      <w:pStyle w:val="16"/>
                    </w:pPr>
                    <w:r>
                      <w:fldChar w:fldCharType="begin"/>
                    </w:r>
                    <w:r>
                      <w:instrText xml:space="preserve"> PAGE  \* MERGEFORMAT </w:instrText>
                    </w:r>
                    <w:r>
                      <w:fldChar w:fldCharType="separate"/>
                    </w:r>
                    <w:r>
                      <w:t>20</w:t>
                    </w:r>
                    <w:r>
                      <w:fldChar w:fldCharType="end"/>
                    </w:r>
                  </w:p>
                </w:txbxContent>
              </v:textbox>
            </v:shape>
          </w:pict>
        </mc:Fallback>
      </mc:AlternateContent>
    </w:r>
  </w:p>
  <w:p w14:paraId="098A3566">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7785">
    <w:pPr>
      <w:pStyle w:val="16"/>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5303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wps:spPr>
                    <wps:txbx>
                      <w:txbxContent>
                        <w:p w14:paraId="7AD98580"/>
                      </w:txbxContent>
                    </wps:txbx>
                    <wps:bodyPr wrap="none" lIns="0" tIns="0" rIns="0" bIns="0">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2336;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kFT5rQAAAAAwEAAA8AAAAAAAAAAQAgAAAAIgAAAGRycy9kb3ducmV2LnhtbFBL&#10;AQIUABQAAAAIAIdO4kBUxB8bxQEAAIsDAAAOAAAAAAAAAAEAIAAAAB8BAABkcnMvZTJvRG9jLnht&#10;bFBLBQYAAAAABgAGAFkBAABWBQAAAAA=&#10;">
              <v:fill on="f" focussize="0,0"/>
              <v:stroke on="f"/>
              <v:imagedata o:title=""/>
              <o:lock v:ext="edit" aspectratio="f"/>
              <v:textbox inset="0mm,0mm,0mm,0mm" style="mso-fit-shape-to-text:t;">
                <w:txbxContent>
                  <w:p w14:paraId="7AD9858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59EBD">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3724D02">
                          <w:pPr>
                            <w:pStyle w:val="16"/>
                            <w:jc w:val="center"/>
                          </w:pPr>
                          <w:r>
                            <w:fldChar w:fldCharType="begin"/>
                          </w:r>
                          <w:r>
                            <w:instrText xml:space="preserve"> PAGE  \* MERGEFORMAT </w:instrText>
                          </w:r>
                          <w:r>
                            <w:fldChar w:fldCharType="separate"/>
                          </w:r>
                          <w:r>
                            <w:t>38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D5X5J0AAAAAMBAAAPAAAAAAAAAAEAIAAAACIAAABkcnMvZG93bnJldi54bWxQ&#10;SwECFAAUAAAACACHTuJAt87d2MYBAACLAwAADgAAAAAAAAABACAAAAAfAQAAZHJzL2Uyb0RvYy54&#10;bWxQSwUGAAAAAAYABgBZAQAAVwUAAAAA&#10;">
              <v:fill on="f" focussize="0,0"/>
              <v:stroke on="f"/>
              <v:imagedata o:title=""/>
              <o:lock v:ext="edit" aspectratio="f"/>
              <v:textbox inset="0mm,0mm,0mm,0mm" style="mso-fit-shape-to-text:t;">
                <w:txbxContent>
                  <w:p w14:paraId="43724D02">
                    <w:pPr>
                      <w:pStyle w:val="16"/>
                      <w:jc w:val="center"/>
                    </w:pPr>
                    <w:r>
                      <w:fldChar w:fldCharType="begin"/>
                    </w:r>
                    <w:r>
                      <w:instrText xml:space="preserve"> PAGE  \* MERGEFORMAT </w:instrText>
                    </w:r>
                    <w:r>
                      <w:fldChar w:fldCharType="separate"/>
                    </w:r>
                    <w:r>
                      <w:t>38</w:t>
                    </w:r>
                    <w:r>
                      <w:fldChar w:fldCharType="end"/>
                    </w:r>
                  </w:p>
                </w:txbxContent>
              </v:textbox>
            </v:shape>
          </w:pict>
        </mc:Fallback>
      </mc:AlternateContent>
    </w:r>
  </w:p>
  <w:p w14:paraId="1DAA0BBC">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07C61">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31100E0B">
                          <w:pPr>
                            <w:pStyle w:val="16"/>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V+SdAAAAADAQAADwAAAAAAAAABACAAAAAiAAAAZHJzL2Rvd25yZXYueG1s&#10;UEsBAhQAFAAAAAgAh07iQDhQJ3LHAQAAiwMAAA4AAAAAAAAAAQAgAAAAHwEAAGRycy9lMm9Eb2Mu&#10;eG1sUEsFBgAAAAAGAAYAWQEAAFgFAAAAAA==&#10;">
              <v:fill on="f" focussize="0,0"/>
              <v:stroke on="f"/>
              <v:imagedata o:title=""/>
              <o:lock v:ext="edit" aspectratio="f"/>
              <v:textbox inset="0mm,0mm,0mm,0mm" style="mso-fit-shape-to-text:t;">
                <w:txbxContent>
                  <w:p w14:paraId="31100E0B">
                    <w:pPr>
                      <w:pStyle w:val="16"/>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D0D21">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C40D6">
    <w:pPr>
      <w:pStyle w:val="1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D3197">
    <w:pPr>
      <w:pStyle w:val="17"/>
      <w:pBdr>
        <w:bottom w:val="none" w:color="auto" w:sz="0" w:space="0"/>
      </w:pBdr>
      <w:tabs>
        <w:tab w:val="center" w:pos="0"/>
        <w:tab w:val="left" w:pos="8306"/>
        <w:tab w:val="clear" w:pos="415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1OTAyNjUwMzAwOTUzNDY4MDgzZGQ4NmQxNDljMzUifQ=="/>
  </w:docVars>
  <w:rsids>
    <w:rsidRoot w:val="34C93999"/>
    <w:rsid w:val="00024F75"/>
    <w:rsid w:val="000B2587"/>
    <w:rsid w:val="000C3020"/>
    <w:rsid w:val="000D1C12"/>
    <w:rsid w:val="001077E5"/>
    <w:rsid w:val="00110E50"/>
    <w:rsid w:val="00120044"/>
    <w:rsid w:val="001249E5"/>
    <w:rsid w:val="001370CC"/>
    <w:rsid w:val="001943F3"/>
    <w:rsid w:val="00197D7C"/>
    <w:rsid w:val="002074A1"/>
    <w:rsid w:val="0024633E"/>
    <w:rsid w:val="002A321A"/>
    <w:rsid w:val="002E0DBD"/>
    <w:rsid w:val="002F2BC6"/>
    <w:rsid w:val="00337FF8"/>
    <w:rsid w:val="00356FF0"/>
    <w:rsid w:val="00376890"/>
    <w:rsid w:val="003914E4"/>
    <w:rsid w:val="003A58E6"/>
    <w:rsid w:val="003C697E"/>
    <w:rsid w:val="004129E9"/>
    <w:rsid w:val="004136C7"/>
    <w:rsid w:val="00426ECB"/>
    <w:rsid w:val="00437639"/>
    <w:rsid w:val="00445134"/>
    <w:rsid w:val="00463433"/>
    <w:rsid w:val="004759B0"/>
    <w:rsid w:val="004A514D"/>
    <w:rsid w:val="004B2FF5"/>
    <w:rsid w:val="004C2157"/>
    <w:rsid w:val="004C23B8"/>
    <w:rsid w:val="004F44A0"/>
    <w:rsid w:val="00513C9C"/>
    <w:rsid w:val="005169C0"/>
    <w:rsid w:val="00560754"/>
    <w:rsid w:val="005750CF"/>
    <w:rsid w:val="0057562B"/>
    <w:rsid w:val="005D741C"/>
    <w:rsid w:val="00644C63"/>
    <w:rsid w:val="0067215E"/>
    <w:rsid w:val="006909B7"/>
    <w:rsid w:val="006C69FB"/>
    <w:rsid w:val="006D1841"/>
    <w:rsid w:val="006D1962"/>
    <w:rsid w:val="006E12E6"/>
    <w:rsid w:val="006F21CF"/>
    <w:rsid w:val="0074337D"/>
    <w:rsid w:val="0075157B"/>
    <w:rsid w:val="00781CD2"/>
    <w:rsid w:val="00795E21"/>
    <w:rsid w:val="007C12D2"/>
    <w:rsid w:val="007C77CE"/>
    <w:rsid w:val="007F27CB"/>
    <w:rsid w:val="007F6099"/>
    <w:rsid w:val="00833F13"/>
    <w:rsid w:val="0087406B"/>
    <w:rsid w:val="008B4D30"/>
    <w:rsid w:val="008D7B67"/>
    <w:rsid w:val="00923A67"/>
    <w:rsid w:val="009545EB"/>
    <w:rsid w:val="009F2F68"/>
    <w:rsid w:val="00A14D97"/>
    <w:rsid w:val="00A368F1"/>
    <w:rsid w:val="00A66DC7"/>
    <w:rsid w:val="00A808C0"/>
    <w:rsid w:val="00A91449"/>
    <w:rsid w:val="00AF6A6D"/>
    <w:rsid w:val="00B2161F"/>
    <w:rsid w:val="00B2494B"/>
    <w:rsid w:val="00B47223"/>
    <w:rsid w:val="00B66956"/>
    <w:rsid w:val="00B74FA0"/>
    <w:rsid w:val="00B8174C"/>
    <w:rsid w:val="00B8222F"/>
    <w:rsid w:val="00BB6DD5"/>
    <w:rsid w:val="00BF6D0E"/>
    <w:rsid w:val="00C03FA9"/>
    <w:rsid w:val="00C26B47"/>
    <w:rsid w:val="00C30C5D"/>
    <w:rsid w:val="00C50E49"/>
    <w:rsid w:val="00C74DE9"/>
    <w:rsid w:val="00C96759"/>
    <w:rsid w:val="00CC1689"/>
    <w:rsid w:val="00CC303F"/>
    <w:rsid w:val="00D028CA"/>
    <w:rsid w:val="00D0295C"/>
    <w:rsid w:val="00D45E9B"/>
    <w:rsid w:val="00D80D26"/>
    <w:rsid w:val="00D8107C"/>
    <w:rsid w:val="00D856B9"/>
    <w:rsid w:val="00D94B29"/>
    <w:rsid w:val="00D96E53"/>
    <w:rsid w:val="00DA6169"/>
    <w:rsid w:val="00DE3D00"/>
    <w:rsid w:val="00DF6716"/>
    <w:rsid w:val="00E15E97"/>
    <w:rsid w:val="00E46AD2"/>
    <w:rsid w:val="00E73E52"/>
    <w:rsid w:val="00EA1794"/>
    <w:rsid w:val="00EA17BF"/>
    <w:rsid w:val="00EC3DEE"/>
    <w:rsid w:val="00F21422"/>
    <w:rsid w:val="00F26B11"/>
    <w:rsid w:val="00F464C3"/>
    <w:rsid w:val="00FD2DED"/>
    <w:rsid w:val="015837E7"/>
    <w:rsid w:val="019404F8"/>
    <w:rsid w:val="01B97F5E"/>
    <w:rsid w:val="023A2582"/>
    <w:rsid w:val="0241242E"/>
    <w:rsid w:val="02532161"/>
    <w:rsid w:val="02777065"/>
    <w:rsid w:val="02860B12"/>
    <w:rsid w:val="02FF20EF"/>
    <w:rsid w:val="03121CB1"/>
    <w:rsid w:val="03327053"/>
    <w:rsid w:val="038E6260"/>
    <w:rsid w:val="03F86B1C"/>
    <w:rsid w:val="047932FF"/>
    <w:rsid w:val="047D34C5"/>
    <w:rsid w:val="04A04910"/>
    <w:rsid w:val="04EA18B4"/>
    <w:rsid w:val="04F80D9E"/>
    <w:rsid w:val="05017C52"/>
    <w:rsid w:val="056C0210"/>
    <w:rsid w:val="05AC2A96"/>
    <w:rsid w:val="05D073C6"/>
    <w:rsid w:val="06093262"/>
    <w:rsid w:val="0650484D"/>
    <w:rsid w:val="06AB56C6"/>
    <w:rsid w:val="06B55160"/>
    <w:rsid w:val="06DD0D61"/>
    <w:rsid w:val="06E1398D"/>
    <w:rsid w:val="06E65352"/>
    <w:rsid w:val="07124399"/>
    <w:rsid w:val="07135F64"/>
    <w:rsid w:val="074F5A1D"/>
    <w:rsid w:val="07635DC6"/>
    <w:rsid w:val="08013031"/>
    <w:rsid w:val="08640C24"/>
    <w:rsid w:val="08C77405"/>
    <w:rsid w:val="08FB3710"/>
    <w:rsid w:val="08FB7730"/>
    <w:rsid w:val="08FC70AE"/>
    <w:rsid w:val="0925661E"/>
    <w:rsid w:val="094B3982"/>
    <w:rsid w:val="09CC40B1"/>
    <w:rsid w:val="0AEB7501"/>
    <w:rsid w:val="0B705B32"/>
    <w:rsid w:val="0B7F7B23"/>
    <w:rsid w:val="0C154AE6"/>
    <w:rsid w:val="0C510D41"/>
    <w:rsid w:val="0C71390F"/>
    <w:rsid w:val="0C780787"/>
    <w:rsid w:val="0CA54A66"/>
    <w:rsid w:val="0CAC2B9A"/>
    <w:rsid w:val="0CC84203"/>
    <w:rsid w:val="0CF9630A"/>
    <w:rsid w:val="0CFD1647"/>
    <w:rsid w:val="0D693D8C"/>
    <w:rsid w:val="0DC14423"/>
    <w:rsid w:val="0E047436"/>
    <w:rsid w:val="0E630A57"/>
    <w:rsid w:val="0EC145B8"/>
    <w:rsid w:val="0ECC18E9"/>
    <w:rsid w:val="0F2D5DBF"/>
    <w:rsid w:val="0F87169C"/>
    <w:rsid w:val="10233173"/>
    <w:rsid w:val="102962AF"/>
    <w:rsid w:val="115351DC"/>
    <w:rsid w:val="11651569"/>
    <w:rsid w:val="11CE52C6"/>
    <w:rsid w:val="1238175F"/>
    <w:rsid w:val="12C435FB"/>
    <w:rsid w:val="13D50C28"/>
    <w:rsid w:val="13FF1575"/>
    <w:rsid w:val="141510EF"/>
    <w:rsid w:val="14171240"/>
    <w:rsid w:val="144D4C62"/>
    <w:rsid w:val="14BC3939"/>
    <w:rsid w:val="14F25809"/>
    <w:rsid w:val="15055A09"/>
    <w:rsid w:val="153A762E"/>
    <w:rsid w:val="15D76C42"/>
    <w:rsid w:val="172C078B"/>
    <w:rsid w:val="173819A8"/>
    <w:rsid w:val="178D2C0D"/>
    <w:rsid w:val="17F7561A"/>
    <w:rsid w:val="18517B09"/>
    <w:rsid w:val="185C36C6"/>
    <w:rsid w:val="18610CDC"/>
    <w:rsid w:val="189310B2"/>
    <w:rsid w:val="189A5F9C"/>
    <w:rsid w:val="18AE37F5"/>
    <w:rsid w:val="18F5277F"/>
    <w:rsid w:val="1930354C"/>
    <w:rsid w:val="199B6470"/>
    <w:rsid w:val="1A295749"/>
    <w:rsid w:val="1A512A09"/>
    <w:rsid w:val="1A516B2E"/>
    <w:rsid w:val="1A5D3725"/>
    <w:rsid w:val="1A7E6175"/>
    <w:rsid w:val="1AA21A2F"/>
    <w:rsid w:val="1AE00FE3"/>
    <w:rsid w:val="1AFC6F03"/>
    <w:rsid w:val="1B23068A"/>
    <w:rsid w:val="1B8A054A"/>
    <w:rsid w:val="1B997902"/>
    <w:rsid w:val="1C01115D"/>
    <w:rsid w:val="1C2009E4"/>
    <w:rsid w:val="1C7E3439"/>
    <w:rsid w:val="1C827473"/>
    <w:rsid w:val="1D216C8C"/>
    <w:rsid w:val="1D594AE3"/>
    <w:rsid w:val="1D617DC0"/>
    <w:rsid w:val="1E2A6984"/>
    <w:rsid w:val="1E3100D9"/>
    <w:rsid w:val="1F19738B"/>
    <w:rsid w:val="1F3033A9"/>
    <w:rsid w:val="1F3507CD"/>
    <w:rsid w:val="1F9C381F"/>
    <w:rsid w:val="200077CF"/>
    <w:rsid w:val="20880961"/>
    <w:rsid w:val="2091237A"/>
    <w:rsid w:val="20992FDD"/>
    <w:rsid w:val="20BD316F"/>
    <w:rsid w:val="20BE4ACB"/>
    <w:rsid w:val="20BF7061"/>
    <w:rsid w:val="20E95A81"/>
    <w:rsid w:val="20EC5803"/>
    <w:rsid w:val="21073EBF"/>
    <w:rsid w:val="21246D4B"/>
    <w:rsid w:val="21510141"/>
    <w:rsid w:val="21837F15"/>
    <w:rsid w:val="21AE2AB8"/>
    <w:rsid w:val="222B119F"/>
    <w:rsid w:val="22381879"/>
    <w:rsid w:val="224156DA"/>
    <w:rsid w:val="22AA2231"/>
    <w:rsid w:val="22EE13BE"/>
    <w:rsid w:val="23571659"/>
    <w:rsid w:val="236B2A0F"/>
    <w:rsid w:val="23D7424E"/>
    <w:rsid w:val="241237D2"/>
    <w:rsid w:val="242B31D9"/>
    <w:rsid w:val="24341D04"/>
    <w:rsid w:val="244D480A"/>
    <w:rsid w:val="2547125A"/>
    <w:rsid w:val="263A355B"/>
    <w:rsid w:val="263D5FAD"/>
    <w:rsid w:val="266E0A9E"/>
    <w:rsid w:val="26B714BD"/>
    <w:rsid w:val="26CE26D3"/>
    <w:rsid w:val="26FE003E"/>
    <w:rsid w:val="27206206"/>
    <w:rsid w:val="272F01F7"/>
    <w:rsid w:val="27472128"/>
    <w:rsid w:val="274E2D73"/>
    <w:rsid w:val="278470DC"/>
    <w:rsid w:val="27894FA0"/>
    <w:rsid w:val="27D2215A"/>
    <w:rsid w:val="27F76F67"/>
    <w:rsid w:val="281A0EA7"/>
    <w:rsid w:val="284877C3"/>
    <w:rsid w:val="28701767"/>
    <w:rsid w:val="28836A4D"/>
    <w:rsid w:val="28A144DE"/>
    <w:rsid w:val="28C606E7"/>
    <w:rsid w:val="29394A5F"/>
    <w:rsid w:val="29B82726"/>
    <w:rsid w:val="29C67536"/>
    <w:rsid w:val="2A4012A5"/>
    <w:rsid w:val="2AA91F68"/>
    <w:rsid w:val="2ACA1B3C"/>
    <w:rsid w:val="2ACA39A7"/>
    <w:rsid w:val="2AEA2DB3"/>
    <w:rsid w:val="2B8D1D21"/>
    <w:rsid w:val="2BDC1346"/>
    <w:rsid w:val="2BEC4909"/>
    <w:rsid w:val="2C26606D"/>
    <w:rsid w:val="2CB25CD8"/>
    <w:rsid w:val="2CDA6E57"/>
    <w:rsid w:val="2D1F7BBC"/>
    <w:rsid w:val="2DB87C25"/>
    <w:rsid w:val="2DDB94E8"/>
    <w:rsid w:val="2DE4019A"/>
    <w:rsid w:val="2DFA422D"/>
    <w:rsid w:val="2ED82DE9"/>
    <w:rsid w:val="2F01691D"/>
    <w:rsid w:val="2F567BD9"/>
    <w:rsid w:val="2F93694C"/>
    <w:rsid w:val="2FA77026"/>
    <w:rsid w:val="2FB64A2C"/>
    <w:rsid w:val="30A36FF1"/>
    <w:rsid w:val="30AE74B8"/>
    <w:rsid w:val="30E57806"/>
    <w:rsid w:val="30E76319"/>
    <w:rsid w:val="31061FC9"/>
    <w:rsid w:val="31D65C22"/>
    <w:rsid w:val="31DD2B6C"/>
    <w:rsid w:val="32003B98"/>
    <w:rsid w:val="32A77828"/>
    <w:rsid w:val="32FA5B5D"/>
    <w:rsid w:val="32FD48AE"/>
    <w:rsid w:val="330A7EFD"/>
    <w:rsid w:val="3330157F"/>
    <w:rsid w:val="33B81DE8"/>
    <w:rsid w:val="33FF67B9"/>
    <w:rsid w:val="34060480"/>
    <w:rsid w:val="34173F47"/>
    <w:rsid w:val="34A96881"/>
    <w:rsid w:val="34C93999"/>
    <w:rsid w:val="350A50A2"/>
    <w:rsid w:val="357065AB"/>
    <w:rsid w:val="35C87F34"/>
    <w:rsid w:val="35CB558F"/>
    <w:rsid w:val="35D703D8"/>
    <w:rsid w:val="36BA61CA"/>
    <w:rsid w:val="36CF145E"/>
    <w:rsid w:val="375816CF"/>
    <w:rsid w:val="375BD3A9"/>
    <w:rsid w:val="37795AC3"/>
    <w:rsid w:val="378219F7"/>
    <w:rsid w:val="37BB699A"/>
    <w:rsid w:val="381E7F4D"/>
    <w:rsid w:val="3836605E"/>
    <w:rsid w:val="385D1988"/>
    <w:rsid w:val="3861455A"/>
    <w:rsid w:val="38BE589B"/>
    <w:rsid w:val="38DE5291"/>
    <w:rsid w:val="38DF7CCF"/>
    <w:rsid w:val="390037A2"/>
    <w:rsid w:val="39691347"/>
    <w:rsid w:val="39B567E8"/>
    <w:rsid w:val="39FA28E7"/>
    <w:rsid w:val="3A1A6AE5"/>
    <w:rsid w:val="3A457788"/>
    <w:rsid w:val="3AC73FF0"/>
    <w:rsid w:val="3B4958D4"/>
    <w:rsid w:val="3B5B73B5"/>
    <w:rsid w:val="3BAD2B18"/>
    <w:rsid w:val="3BC04D42"/>
    <w:rsid w:val="3BE70255"/>
    <w:rsid w:val="3BE90E02"/>
    <w:rsid w:val="3C3C0578"/>
    <w:rsid w:val="3C812E4B"/>
    <w:rsid w:val="3CB6196A"/>
    <w:rsid w:val="3CD56668"/>
    <w:rsid w:val="3CDC4C15"/>
    <w:rsid w:val="3D5C7EC0"/>
    <w:rsid w:val="3D772DA7"/>
    <w:rsid w:val="3D7B0B45"/>
    <w:rsid w:val="3E110989"/>
    <w:rsid w:val="3E182556"/>
    <w:rsid w:val="3E1A3C76"/>
    <w:rsid w:val="3E3068D7"/>
    <w:rsid w:val="3EBF1848"/>
    <w:rsid w:val="3EC534C3"/>
    <w:rsid w:val="3ED2798E"/>
    <w:rsid w:val="3F0C16C4"/>
    <w:rsid w:val="3F3F4625"/>
    <w:rsid w:val="3F4F1E6B"/>
    <w:rsid w:val="3F6D4C9E"/>
    <w:rsid w:val="3F740BAA"/>
    <w:rsid w:val="3FA33136"/>
    <w:rsid w:val="3FAC745B"/>
    <w:rsid w:val="400224F5"/>
    <w:rsid w:val="403A1C8F"/>
    <w:rsid w:val="40592CD6"/>
    <w:rsid w:val="40EA5463"/>
    <w:rsid w:val="4105229D"/>
    <w:rsid w:val="41166258"/>
    <w:rsid w:val="4139028D"/>
    <w:rsid w:val="415B5189"/>
    <w:rsid w:val="418E68AF"/>
    <w:rsid w:val="420C2FE8"/>
    <w:rsid w:val="420D12B8"/>
    <w:rsid w:val="422453BF"/>
    <w:rsid w:val="424F6D01"/>
    <w:rsid w:val="425B4FCD"/>
    <w:rsid w:val="429D02B3"/>
    <w:rsid w:val="43186F5D"/>
    <w:rsid w:val="441F3676"/>
    <w:rsid w:val="442E38B7"/>
    <w:rsid w:val="444035EC"/>
    <w:rsid w:val="444D590E"/>
    <w:rsid w:val="445552E9"/>
    <w:rsid w:val="44BF2B1E"/>
    <w:rsid w:val="451821CA"/>
    <w:rsid w:val="451D4333"/>
    <w:rsid w:val="45EC4EB1"/>
    <w:rsid w:val="46B53161"/>
    <w:rsid w:val="46C2653A"/>
    <w:rsid w:val="46D71FE6"/>
    <w:rsid w:val="46DD59F3"/>
    <w:rsid w:val="46F26477"/>
    <w:rsid w:val="473453C9"/>
    <w:rsid w:val="477135F2"/>
    <w:rsid w:val="481D7ECC"/>
    <w:rsid w:val="487A43A9"/>
    <w:rsid w:val="48A24DF2"/>
    <w:rsid w:val="48EC2473"/>
    <w:rsid w:val="4910358D"/>
    <w:rsid w:val="49325BF9"/>
    <w:rsid w:val="495B5F96"/>
    <w:rsid w:val="4A7A7858"/>
    <w:rsid w:val="4A833DDE"/>
    <w:rsid w:val="4AAD1497"/>
    <w:rsid w:val="4AF60EA8"/>
    <w:rsid w:val="4B766399"/>
    <w:rsid w:val="4B9B6A46"/>
    <w:rsid w:val="4BD126B6"/>
    <w:rsid w:val="4CAE4D4E"/>
    <w:rsid w:val="4D061CEA"/>
    <w:rsid w:val="4D2D2077"/>
    <w:rsid w:val="4D3079B0"/>
    <w:rsid w:val="4D483CFB"/>
    <w:rsid w:val="4DC766D9"/>
    <w:rsid w:val="4DC837F1"/>
    <w:rsid w:val="4DD42237"/>
    <w:rsid w:val="4DE43E38"/>
    <w:rsid w:val="4E57207E"/>
    <w:rsid w:val="4E577EB0"/>
    <w:rsid w:val="4E643CA3"/>
    <w:rsid w:val="4E827BAD"/>
    <w:rsid w:val="4E8B0801"/>
    <w:rsid w:val="4EEA0D24"/>
    <w:rsid w:val="4F906C8C"/>
    <w:rsid w:val="4FA15887"/>
    <w:rsid w:val="4FEB6B02"/>
    <w:rsid w:val="500110B1"/>
    <w:rsid w:val="50B53E76"/>
    <w:rsid w:val="51023383"/>
    <w:rsid w:val="51220301"/>
    <w:rsid w:val="517D19DC"/>
    <w:rsid w:val="51FC1C0F"/>
    <w:rsid w:val="52232583"/>
    <w:rsid w:val="522B77E3"/>
    <w:rsid w:val="52434B27"/>
    <w:rsid w:val="526C64D6"/>
    <w:rsid w:val="526F3A1A"/>
    <w:rsid w:val="533B3EA3"/>
    <w:rsid w:val="53C33EBA"/>
    <w:rsid w:val="543F741C"/>
    <w:rsid w:val="54431BBA"/>
    <w:rsid w:val="547748A2"/>
    <w:rsid w:val="551366B0"/>
    <w:rsid w:val="551E6BFD"/>
    <w:rsid w:val="55412866"/>
    <w:rsid w:val="557E5D22"/>
    <w:rsid w:val="55E55DA1"/>
    <w:rsid w:val="55F52488"/>
    <w:rsid w:val="560B3A5A"/>
    <w:rsid w:val="567B37A2"/>
    <w:rsid w:val="5687029A"/>
    <w:rsid w:val="57011E43"/>
    <w:rsid w:val="5712706A"/>
    <w:rsid w:val="5758166F"/>
    <w:rsid w:val="585F0ED5"/>
    <w:rsid w:val="587C2220"/>
    <w:rsid w:val="58F0571B"/>
    <w:rsid w:val="596D445E"/>
    <w:rsid w:val="59800714"/>
    <w:rsid w:val="59C97EB4"/>
    <w:rsid w:val="59CD1026"/>
    <w:rsid w:val="59F34F31"/>
    <w:rsid w:val="5A6D0B73"/>
    <w:rsid w:val="5B4077C3"/>
    <w:rsid w:val="5B7764D4"/>
    <w:rsid w:val="5B94358B"/>
    <w:rsid w:val="5C065A52"/>
    <w:rsid w:val="5C213F6E"/>
    <w:rsid w:val="5C3A7AA5"/>
    <w:rsid w:val="5C965BD2"/>
    <w:rsid w:val="5CB96961"/>
    <w:rsid w:val="5CBB20D7"/>
    <w:rsid w:val="5D2A3B84"/>
    <w:rsid w:val="5D4265D8"/>
    <w:rsid w:val="5D557CB0"/>
    <w:rsid w:val="5DEB4B5C"/>
    <w:rsid w:val="5EA902B4"/>
    <w:rsid w:val="5F2F6EFE"/>
    <w:rsid w:val="5F334C6A"/>
    <w:rsid w:val="5F3956A4"/>
    <w:rsid w:val="5F3A9E27"/>
    <w:rsid w:val="5F7C5450"/>
    <w:rsid w:val="600357A2"/>
    <w:rsid w:val="600734E4"/>
    <w:rsid w:val="60132BBC"/>
    <w:rsid w:val="606631BD"/>
    <w:rsid w:val="615C0D42"/>
    <w:rsid w:val="617C2DA3"/>
    <w:rsid w:val="61893794"/>
    <w:rsid w:val="620D2688"/>
    <w:rsid w:val="621C3B96"/>
    <w:rsid w:val="625B6C51"/>
    <w:rsid w:val="627100CA"/>
    <w:rsid w:val="62DE63D1"/>
    <w:rsid w:val="62DF24F6"/>
    <w:rsid w:val="634C54F0"/>
    <w:rsid w:val="6361115D"/>
    <w:rsid w:val="637D564F"/>
    <w:rsid w:val="638E7A78"/>
    <w:rsid w:val="6411213F"/>
    <w:rsid w:val="64151D68"/>
    <w:rsid w:val="642239BF"/>
    <w:rsid w:val="645111D2"/>
    <w:rsid w:val="6460463E"/>
    <w:rsid w:val="648A665B"/>
    <w:rsid w:val="64C16798"/>
    <w:rsid w:val="64CC60FB"/>
    <w:rsid w:val="64EF4547"/>
    <w:rsid w:val="64F00543"/>
    <w:rsid w:val="64F41B5D"/>
    <w:rsid w:val="64F46E25"/>
    <w:rsid w:val="6519323D"/>
    <w:rsid w:val="6526668E"/>
    <w:rsid w:val="65292C1E"/>
    <w:rsid w:val="65570F81"/>
    <w:rsid w:val="65586590"/>
    <w:rsid w:val="65701CA0"/>
    <w:rsid w:val="65A40EB0"/>
    <w:rsid w:val="65A42D3E"/>
    <w:rsid w:val="65A74E21"/>
    <w:rsid w:val="65BD23B8"/>
    <w:rsid w:val="65C06603"/>
    <w:rsid w:val="668533B4"/>
    <w:rsid w:val="66E030EB"/>
    <w:rsid w:val="670912D2"/>
    <w:rsid w:val="670C06CC"/>
    <w:rsid w:val="67406DA3"/>
    <w:rsid w:val="67572C64"/>
    <w:rsid w:val="67C62A04"/>
    <w:rsid w:val="68201F24"/>
    <w:rsid w:val="68303D68"/>
    <w:rsid w:val="683C3F47"/>
    <w:rsid w:val="689B6EBF"/>
    <w:rsid w:val="68A65864"/>
    <w:rsid w:val="68F86230"/>
    <w:rsid w:val="69054339"/>
    <w:rsid w:val="699D0A15"/>
    <w:rsid w:val="6A070584"/>
    <w:rsid w:val="6A1A3585"/>
    <w:rsid w:val="6A2904FB"/>
    <w:rsid w:val="6A2E2559"/>
    <w:rsid w:val="6A4175F2"/>
    <w:rsid w:val="6B146ABA"/>
    <w:rsid w:val="6B982E39"/>
    <w:rsid w:val="6BB61B32"/>
    <w:rsid w:val="6BEA6F9E"/>
    <w:rsid w:val="6C0905E4"/>
    <w:rsid w:val="6C87065C"/>
    <w:rsid w:val="6CBA151E"/>
    <w:rsid w:val="6CC44F34"/>
    <w:rsid w:val="6CDC0F65"/>
    <w:rsid w:val="6D102D0B"/>
    <w:rsid w:val="6D447383"/>
    <w:rsid w:val="6D45389E"/>
    <w:rsid w:val="6D617FAC"/>
    <w:rsid w:val="6D773F73"/>
    <w:rsid w:val="6D8048D6"/>
    <w:rsid w:val="6D806C9D"/>
    <w:rsid w:val="6D8845E0"/>
    <w:rsid w:val="6F242BE9"/>
    <w:rsid w:val="6F763A18"/>
    <w:rsid w:val="6F9E1043"/>
    <w:rsid w:val="6FA333B6"/>
    <w:rsid w:val="6FF03E60"/>
    <w:rsid w:val="6FFC562B"/>
    <w:rsid w:val="6FFF9462"/>
    <w:rsid w:val="701F6731"/>
    <w:rsid w:val="703E3ADE"/>
    <w:rsid w:val="708A4BE7"/>
    <w:rsid w:val="7091303E"/>
    <w:rsid w:val="70D96BE4"/>
    <w:rsid w:val="719731AA"/>
    <w:rsid w:val="72600832"/>
    <w:rsid w:val="72626453"/>
    <w:rsid w:val="729A188F"/>
    <w:rsid w:val="72FB5001"/>
    <w:rsid w:val="731B25F8"/>
    <w:rsid w:val="732857F3"/>
    <w:rsid w:val="7357017C"/>
    <w:rsid w:val="736138AF"/>
    <w:rsid w:val="73813156"/>
    <w:rsid w:val="73BF31A6"/>
    <w:rsid w:val="742D5082"/>
    <w:rsid w:val="7444344F"/>
    <w:rsid w:val="7475174F"/>
    <w:rsid w:val="74842EFD"/>
    <w:rsid w:val="752217B8"/>
    <w:rsid w:val="75322959"/>
    <w:rsid w:val="75D24C43"/>
    <w:rsid w:val="75D9C1FB"/>
    <w:rsid w:val="767470AF"/>
    <w:rsid w:val="76FD65E3"/>
    <w:rsid w:val="777F385B"/>
    <w:rsid w:val="77B7D072"/>
    <w:rsid w:val="7835413B"/>
    <w:rsid w:val="78643027"/>
    <w:rsid w:val="787B1EF7"/>
    <w:rsid w:val="78FB3A2D"/>
    <w:rsid w:val="78FBE2E9"/>
    <w:rsid w:val="79751067"/>
    <w:rsid w:val="79CF4A40"/>
    <w:rsid w:val="79E10F69"/>
    <w:rsid w:val="79ED83A9"/>
    <w:rsid w:val="79FA49EF"/>
    <w:rsid w:val="7A2111EE"/>
    <w:rsid w:val="7A971BA9"/>
    <w:rsid w:val="7B4406C9"/>
    <w:rsid w:val="7B8F3F36"/>
    <w:rsid w:val="7BC462D5"/>
    <w:rsid w:val="7BE424D4"/>
    <w:rsid w:val="7BE6385A"/>
    <w:rsid w:val="7BEDAB3F"/>
    <w:rsid w:val="7C536688"/>
    <w:rsid w:val="7C773856"/>
    <w:rsid w:val="7CC876FF"/>
    <w:rsid w:val="7CCE07CD"/>
    <w:rsid w:val="7D6F7B12"/>
    <w:rsid w:val="7D9B0C98"/>
    <w:rsid w:val="7DA0340B"/>
    <w:rsid w:val="7DBF3E05"/>
    <w:rsid w:val="7DFE02F7"/>
    <w:rsid w:val="7E066731"/>
    <w:rsid w:val="7E644817"/>
    <w:rsid w:val="7E7A34BE"/>
    <w:rsid w:val="7E8458A8"/>
    <w:rsid w:val="7ECB2820"/>
    <w:rsid w:val="7F2802D8"/>
    <w:rsid w:val="7F305D22"/>
    <w:rsid w:val="7F6530A9"/>
    <w:rsid w:val="7F6F6FA7"/>
    <w:rsid w:val="7FB50F02"/>
    <w:rsid w:val="7FB73BE7"/>
    <w:rsid w:val="7FCA0496"/>
    <w:rsid w:val="7FE722DE"/>
    <w:rsid w:val="7FFAE390"/>
    <w:rsid w:val="7FFDCA44"/>
    <w:rsid w:val="7FFF7199"/>
    <w:rsid w:val="8EEEE644"/>
    <w:rsid w:val="9DFE7EA4"/>
    <w:rsid w:val="B7CE34E3"/>
    <w:rsid w:val="BBEFBB2E"/>
    <w:rsid w:val="BD68E148"/>
    <w:rsid w:val="BFABC73B"/>
    <w:rsid w:val="BFBD0CF5"/>
    <w:rsid w:val="CB7B2F97"/>
    <w:rsid w:val="CBB7A07C"/>
    <w:rsid w:val="CFFC5471"/>
    <w:rsid w:val="E34D1BFE"/>
    <w:rsid w:val="EBEBA934"/>
    <w:rsid w:val="EFBFA2F6"/>
    <w:rsid w:val="F8BBC25D"/>
    <w:rsid w:val="FA6F2BB0"/>
    <w:rsid w:val="FD1F67E4"/>
    <w:rsid w:val="FD3651C9"/>
    <w:rsid w:val="FDFB5E4E"/>
    <w:rsid w:val="FE3E1195"/>
    <w:rsid w:val="FF4FCBD6"/>
    <w:rsid w:val="FFDAD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nhideWhenUsed="0" w:uiPriority="9"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jc w:val="center"/>
      <w:outlineLvl w:val="1"/>
    </w:pPr>
    <w:rPr>
      <w:rFonts w:ascii="黑体" w:hAnsi="宋体" w:eastAsia="黑体"/>
      <w:b/>
      <w:bCs/>
      <w:sz w:val="36"/>
      <w:szCs w:val="32"/>
    </w:rPr>
  </w:style>
  <w:style w:type="paragraph" w:styleId="4">
    <w:name w:val="heading 5"/>
    <w:basedOn w:val="1"/>
    <w:next w:val="5"/>
    <w:qFormat/>
    <w:uiPriority w:val="9"/>
    <w:pPr>
      <w:keepNext/>
      <w:keepLines/>
      <w:spacing w:before="280" w:after="290" w:line="376" w:lineRule="auto"/>
      <w:outlineLvl w:val="4"/>
    </w:pPr>
    <w:rPr>
      <w:b/>
      <w:bCs/>
      <w:sz w:val="28"/>
      <w:szCs w:val="28"/>
    </w:rPr>
  </w:style>
  <w:style w:type="paragraph" w:styleId="6">
    <w:name w:val="heading 6"/>
    <w:basedOn w:val="1"/>
    <w:next w:val="1"/>
    <w:qFormat/>
    <w:uiPriority w:val="0"/>
    <w:pPr>
      <w:keepNext/>
      <w:keepLines/>
      <w:spacing w:line="360" w:lineRule="auto"/>
      <w:outlineLvl w:val="5"/>
    </w:pPr>
    <w:rPr>
      <w:b/>
      <w:bCs/>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annotation text"/>
    <w:basedOn w:val="1"/>
    <w:link w:val="32"/>
    <w:qFormat/>
    <w:uiPriority w:val="0"/>
    <w:pPr>
      <w:jc w:val="left"/>
    </w:pPr>
  </w:style>
  <w:style w:type="paragraph" w:styleId="9">
    <w:name w:val="Body Text 3"/>
    <w:basedOn w:val="1"/>
    <w:unhideWhenUsed/>
    <w:qFormat/>
    <w:uiPriority w:val="99"/>
    <w:pPr>
      <w:spacing w:after="120"/>
    </w:pPr>
    <w:rPr>
      <w:sz w:val="16"/>
      <w:szCs w:val="16"/>
    </w:rPr>
  </w:style>
  <w:style w:type="paragraph" w:styleId="10">
    <w:name w:val="Body Text"/>
    <w:basedOn w:val="1"/>
    <w:unhideWhenUsed/>
    <w:qFormat/>
    <w:uiPriority w:val="0"/>
    <w:pPr>
      <w:spacing w:after="120"/>
    </w:pPr>
  </w:style>
  <w:style w:type="paragraph" w:styleId="11">
    <w:name w:val="Body Text Indent"/>
    <w:basedOn w:val="1"/>
    <w:next w:val="1"/>
    <w:qFormat/>
    <w:uiPriority w:val="0"/>
    <w:pPr>
      <w:ind w:firstLine="830" w:firstLineChars="352"/>
    </w:pPr>
    <w:rPr>
      <w:rFonts w:ascii="仿宋_GB2312" w:eastAsia="仿宋_GB2312"/>
      <w:kern w:val="0"/>
      <w:sz w:val="32"/>
      <w:szCs w:val="20"/>
    </w:rPr>
  </w:style>
  <w:style w:type="paragraph" w:styleId="12">
    <w:name w:val="List 2"/>
    <w:basedOn w:val="1"/>
    <w:unhideWhenUsed/>
    <w:qFormat/>
    <w:uiPriority w:val="99"/>
    <w:pPr>
      <w:ind w:left="100" w:leftChars="200" w:hanging="200" w:hangingChars="200"/>
      <w:contextualSpacing/>
    </w:pPr>
  </w:style>
  <w:style w:type="paragraph" w:styleId="13">
    <w:name w:val="toc 3"/>
    <w:basedOn w:val="1"/>
    <w:next w:val="1"/>
    <w:qFormat/>
    <w:uiPriority w:val="0"/>
    <w:pPr>
      <w:ind w:left="840" w:leftChars="400"/>
    </w:pPr>
  </w:style>
  <w:style w:type="paragraph" w:styleId="14">
    <w:name w:val="Plain Text"/>
    <w:basedOn w:val="1"/>
    <w:next w:val="1"/>
    <w:qFormat/>
    <w:uiPriority w:val="0"/>
    <w:rPr>
      <w:rFonts w:ascii="宋体" w:hAnsi="Courier New"/>
      <w:kern w:val="0"/>
      <w:sz w:val="20"/>
      <w:szCs w:val="21"/>
    </w:rPr>
  </w:style>
  <w:style w:type="paragraph" w:styleId="15">
    <w:name w:val="Balloon Text"/>
    <w:basedOn w:val="1"/>
    <w:link w:val="41"/>
    <w:qFormat/>
    <w:uiPriority w:val="0"/>
    <w:rPr>
      <w:sz w:val="18"/>
      <w:szCs w:val="18"/>
    </w:rPr>
  </w:style>
  <w:style w:type="paragraph" w:styleId="16">
    <w:name w:val="footer"/>
    <w:basedOn w:val="1"/>
    <w:unhideWhenUsed/>
    <w:qFormat/>
    <w:uiPriority w:val="99"/>
    <w:pPr>
      <w:tabs>
        <w:tab w:val="center" w:pos="4153"/>
        <w:tab w:val="right" w:pos="8306"/>
      </w:tabs>
      <w:snapToGrid w:val="0"/>
      <w:jc w:val="left"/>
    </w:pPr>
    <w:rPr>
      <w:kern w:val="0"/>
      <w:sz w:val="18"/>
      <w:szCs w:val="18"/>
    </w:rPr>
  </w:style>
  <w:style w:type="paragraph" w:styleId="17">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unhideWhenUsed/>
    <w:qFormat/>
    <w:uiPriority w:val="39"/>
  </w:style>
  <w:style w:type="paragraph" w:styleId="19">
    <w:name w:val="List"/>
    <w:basedOn w:val="1"/>
    <w:qFormat/>
    <w:uiPriority w:val="0"/>
    <w:pPr>
      <w:ind w:left="200" w:hanging="200" w:hangingChars="200"/>
    </w:pPr>
    <w:rPr>
      <w:sz w:val="28"/>
    </w:rPr>
  </w:style>
  <w:style w:type="paragraph" w:styleId="20">
    <w:name w:val="toc 2"/>
    <w:basedOn w:val="1"/>
    <w:next w:val="1"/>
    <w:unhideWhenUsed/>
    <w:qFormat/>
    <w:uiPriority w:val="39"/>
    <w:pPr>
      <w:tabs>
        <w:tab w:val="right" w:leader="dot" w:pos="8296"/>
      </w:tabs>
      <w:ind w:left="420" w:leftChars="200"/>
    </w:pPr>
  </w:style>
  <w:style w:type="paragraph" w:styleId="21">
    <w:name w:val="Message Header"/>
    <w:basedOn w:val="1"/>
    <w:next w:val="10"/>
    <w:qFormat/>
    <w:uiPriority w:val="0"/>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sz w:val="28"/>
    </w:rPr>
  </w:style>
  <w:style w:type="paragraph" w:styleId="22">
    <w:name w:val="annotation subject"/>
    <w:basedOn w:val="8"/>
    <w:next w:val="8"/>
    <w:link w:val="33"/>
    <w:qFormat/>
    <w:uiPriority w:val="0"/>
    <w:rPr>
      <w:b/>
      <w:bCs/>
    </w:rPr>
  </w:style>
  <w:style w:type="paragraph" w:styleId="23">
    <w:name w:val="Body Text First Indent 2"/>
    <w:basedOn w:val="11"/>
    <w:next w:val="1"/>
    <w:qFormat/>
    <w:uiPriority w:val="0"/>
    <w:pPr>
      <w:tabs>
        <w:tab w:val="left" w:pos="0"/>
        <w:tab w:val="left" w:pos="420"/>
      </w:tabs>
      <w:wordWrap w:val="0"/>
      <w:topLinePunct/>
      <w:spacing w:line="360" w:lineRule="auto"/>
      <w:ind w:firstLine="480" w:firstLineChars="200"/>
    </w:pPr>
    <w:rPr>
      <w:rFonts w:ascii="幼圆" w:eastAsia="幼圆"/>
      <w:bCs/>
      <w:color w:val="000000"/>
      <w:spacing w:val="20"/>
      <w:sz w:val="24"/>
      <w:szCs w:val="24"/>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qFormat/>
    <w:uiPriority w:val="0"/>
  </w:style>
  <w:style w:type="character" w:styleId="28">
    <w:name w:val="Emphasis"/>
    <w:basedOn w:val="26"/>
    <w:qFormat/>
    <w:uiPriority w:val="20"/>
    <w:rPr>
      <w:i/>
      <w:iCs/>
    </w:rPr>
  </w:style>
  <w:style w:type="character" w:styleId="29">
    <w:name w:val="annotation reference"/>
    <w:qFormat/>
    <w:uiPriority w:val="0"/>
    <w:rPr>
      <w:sz w:val="21"/>
      <w:szCs w:val="21"/>
    </w:rPr>
  </w:style>
  <w:style w:type="paragraph" w:customStyle="1" w:styleId="30">
    <w:name w:val="默认段落"/>
    <w:basedOn w:val="1"/>
    <w:qFormat/>
    <w:uiPriority w:val="0"/>
    <w:rPr>
      <w:rFonts w:ascii="Calibri" w:hAnsi="Calibri"/>
    </w:rPr>
  </w:style>
  <w:style w:type="paragraph" w:customStyle="1" w:styleId="31">
    <w:name w:val="Body Text First Indent1"/>
    <w:basedOn w:val="16"/>
    <w:qFormat/>
    <w:uiPriority w:val="0"/>
    <w:pPr>
      <w:spacing w:line="360" w:lineRule="auto"/>
      <w:ind w:firstLine="420" w:firstLineChars="100"/>
    </w:pPr>
  </w:style>
  <w:style w:type="character" w:customStyle="1" w:styleId="32">
    <w:name w:val="批注文字 Char"/>
    <w:link w:val="8"/>
    <w:qFormat/>
    <w:uiPriority w:val="0"/>
    <w:rPr>
      <w:kern w:val="2"/>
      <w:sz w:val="21"/>
      <w:szCs w:val="24"/>
    </w:rPr>
  </w:style>
  <w:style w:type="character" w:customStyle="1" w:styleId="33">
    <w:name w:val="批注主题 Char"/>
    <w:link w:val="22"/>
    <w:qFormat/>
    <w:uiPriority w:val="0"/>
    <w:rPr>
      <w:b/>
      <w:bCs/>
      <w:kern w:val="2"/>
      <w:sz w:val="21"/>
      <w:szCs w:val="24"/>
    </w:rPr>
  </w:style>
  <w:style w:type="paragraph" w:customStyle="1" w:styleId="34">
    <w:name w:val="表格文字"/>
    <w:basedOn w:val="1"/>
    <w:next w:val="10"/>
    <w:qFormat/>
    <w:uiPriority w:val="0"/>
    <w:pPr>
      <w:spacing w:before="25" w:after="25"/>
      <w:jc w:val="left"/>
    </w:pPr>
    <w:rPr>
      <w:bCs/>
      <w:spacing w:val="10"/>
      <w:kern w:val="0"/>
      <w:sz w:val="24"/>
      <w:szCs w:val="20"/>
    </w:rPr>
  </w:style>
  <w:style w:type="paragraph" w:customStyle="1" w:styleId="35">
    <w:name w:val="Default"/>
    <w:qFormat/>
    <w:uiPriority w:val="0"/>
    <w:pPr>
      <w:widowControl w:val="0"/>
      <w:autoSpaceDE w:val="0"/>
      <w:autoSpaceDN w:val="0"/>
      <w:adjustRightInd w:val="0"/>
    </w:pPr>
    <w:rPr>
      <w:rFonts w:hint="eastAsia" w:ascii="方正小标宋简体" w:hAnsi="方正小标宋简体" w:eastAsia="方正小标宋简体" w:cs="Times New Roman"/>
      <w:color w:val="000000"/>
      <w:sz w:val="24"/>
      <w:szCs w:val="22"/>
      <w:lang w:val="en-US" w:eastAsia="zh-CN" w:bidi="ar-SA"/>
    </w:rPr>
  </w:style>
  <w:style w:type="paragraph" w:customStyle="1" w:styleId="36">
    <w:name w:val="题目"/>
    <w:basedOn w:val="1"/>
    <w:qFormat/>
    <w:uiPriority w:val="0"/>
    <w:pPr>
      <w:spacing w:beforeLines="200" w:afterLines="100"/>
      <w:jc w:val="center"/>
    </w:pPr>
    <w:rPr>
      <w:rFonts w:ascii="黑体" w:eastAsia="黑体"/>
      <w:color w:val="C00000"/>
      <w:sz w:val="28"/>
      <w:szCs w:val="28"/>
    </w:rPr>
  </w:style>
  <w:style w:type="paragraph" w:styleId="37">
    <w:name w:val="List Paragraph"/>
    <w:basedOn w:val="1"/>
    <w:qFormat/>
    <w:uiPriority w:val="99"/>
    <w:pPr>
      <w:ind w:firstLine="420" w:firstLineChars="200"/>
    </w:pPr>
    <w:rPr>
      <w:snapToGrid w:val="0"/>
      <w:kern w:val="0"/>
    </w:rPr>
  </w:style>
  <w:style w:type="character" w:customStyle="1" w:styleId="38">
    <w:name w:val="font11"/>
    <w:qFormat/>
    <w:uiPriority w:val="0"/>
    <w:rPr>
      <w:rFonts w:hint="eastAsia" w:ascii="微软雅黑" w:hAnsi="微软雅黑" w:eastAsia="微软雅黑" w:cs="微软雅黑"/>
      <w:color w:val="000000"/>
      <w:sz w:val="20"/>
      <w:szCs w:val="20"/>
      <w:u w:val="none"/>
    </w:rPr>
  </w:style>
  <w:style w:type="paragraph" w:customStyle="1" w:styleId="39">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正文中"/>
    <w:basedOn w:val="1"/>
    <w:next w:val="1"/>
    <w:qFormat/>
    <w:uiPriority w:val="0"/>
    <w:pPr>
      <w:spacing w:line="440" w:lineRule="exact"/>
      <w:jc w:val="center"/>
    </w:pPr>
    <w:rPr>
      <w:rFonts w:ascii="仿宋_GB2312" w:hAnsi="宋体" w:eastAsia="仿宋_GB2312"/>
      <w:sz w:val="28"/>
    </w:rPr>
  </w:style>
  <w:style w:type="character" w:customStyle="1" w:styleId="41">
    <w:name w:val="批注框文本 Char"/>
    <w:basedOn w:val="26"/>
    <w:link w:val="15"/>
    <w:qFormat/>
    <w:uiPriority w:val="0"/>
    <w:rPr>
      <w:kern w:val="2"/>
      <w:sz w:val="18"/>
      <w:szCs w:val="18"/>
    </w:rPr>
  </w:style>
  <w:style w:type="paragraph" w:customStyle="1" w:styleId="42">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43">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Normal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正文_0"/>
    <w:next w:val="1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11429</Words>
  <Characters>12713</Characters>
  <Lines>150</Lines>
  <Paragraphs>42</Paragraphs>
  <TotalTime>2</TotalTime>
  <ScaleCrop>false</ScaleCrop>
  <LinksUpToDate>false</LinksUpToDate>
  <CharactersWithSpaces>12967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2025-08-21T02:13:00Z</dcterms:created>
  <dc:creator>sugeke2</dc:creator>
  <cp:lastModifiedBy>sugeke2</cp:lastModifiedBy>
  <cp:lastPrinted>2024-01-19T02:33:00Z</cp:lastPrinted>
  <dcterms:modified xsi:type="dcterms:W3CDTF">2026-08-27T10:44:20Z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B29B974620964887BB7560058F674B11_13</vt:lpwstr>
  </property>
  <property fmtid="{D5CDD505-2E9C-101B-9397-08002B2CF9AE}" pid="4" name="KSOTemplateDocerSaveRecord">
    <vt:lpwstr>eyJoZGlkIjoiNjViYWI4NDcyOGM2YTM0N2YzMDM3MzYxZjhiYzJiYzgiLCJ1c2VySWQiOiIyMTU1NjE4NDUifQ==</vt:lpwstr>
  </property>
</Properties>
</file>