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8A433">
      <w:pPr>
        <w:rPr>
          <w:color w:val="auto"/>
          <w:highlight w:val="none"/>
        </w:rPr>
      </w:pPr>
    </w:p>
    <w:p w14:paraId="1F0619C3">
      <w:pPr>
        <w:adjustRightInd w:val="0"/>
        <w:snapToGrid w:val="0"/>
        <w:spacing w:before="156" w:beforeLines="50"/>
        <w:jc w:val="center"/>
        <w:rPr>
          <w:rFonts w:hint="eastAsia" w:ascii="宋体" w:hAnsi="宋体" w:cs="宋体"/>
          <w:b/>
          <w:bCs/>
          <w:color w:val="auto"/>
          <w:sz w:val="32"/>
          <w:szCs w:val="32"/>
          <w:highlight w:val="none"/>
        </w:rPr>
      </w:pPr>
    </w:p>
    <w:p w14:paraId="36AE9468">
      <w:pPr>
        <w:snapToGrid w:val="0"/>
        <w:spacing w:before="156" w:beforeLines="50" w:line="36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红水河（曹渡河口至桥巩）三级航道工程</w:t>
      </w:r>
    </w:p>
    <w:p w14:paraId="5A96AC45">
      <w:pPr>
        <w:snapToGrid w:val="0"/>
        <w:spacing w:before="156" w:beforeLines="50" w:line="360" w:lineRule="auto"/>
        <w:jc w:val="center"/>
        <w:rPr>
          <w:rFonts w:ascii="黑体" w:hAnsi="黑体" w:eastAsia="黑体" w:cs="黑体"/>
          <w:color w:val="auto"/>
          <w:sz w:val="72"/>
          <w:szCs w:val="72"/>
          <w:highlight w:val="none"/>
        </w:rPr>
      </w:pPr>
      <w:r>
        <w:rPr>
          <w:rFonts w:hint="eastAsia" w:ascii="宋体" w:hAnsi="宋体" w:cs="宋体"/>
          <w:b/>
          <w:bCs/>
          <w:color w:val="auto"/>
          <w:sz w:val="36"/>
          <w:szCs w:val="36"/>
          <w:highlight w:val="none"/>
        </w:rPr>
        <w:t>船舶操纵仿真模拟试验</w:t>
      </w:r>
      <w:r>
        <w:rPr>
          <w:rFonts w:hint="eastAsia" w:ascii="宋体" w:hAnsi="宋体" w:cs="宋体"/>
          <w:b/>
          <w:bCs/>
          <w:color w:val="auto"/>
          <w:sz w:val="36"/>
          <w:szCs w:val="36"/>
          <w:highlight w:val="none"/>
          <w:lang w:eastAsia="zh-CN"/>
        </w:rPr>
        <w:t>专题研究服务</w:t>
      </w:r>
    </w:p>
    <w:p w14:paraId="4D4EA5EE">
      <w:pPr>
        <w:snapToGrid w:val="0"/>
        <w:spacing w:before="156" w:beforeLines="50" w:line="360" w:lineRule="auto"/>
        <w:jc w:val="center"/>
        <w:rPr>
          <w:rFonts w:ascii="黑体" w:hAnsi="黑体" w:eastAsia="黑体" w:cs="黑体"/>
          <w:color w:val="auto"/>
          <w:sz w:val="72"/>
          <w:szCs w:val="72"/>
          <w:highlight w:val="none"/>
        </w:rPr>
      </w:pPr>
    </w:p>
    <w:p w14:paraId="289D5190">
      <w:pPr>
        <w:snapToGrid w:val="0"/>
        <w:spacing w:before="156" w:beforeLines="50" w:line="360" w:lineRule="auto"/>
        <w:jc w:val="center"/>
        <w:rPr>
          <w:rFonts w:ascii="黑体" w:hAnsi="黑体" w:eastAsia="黑体" w:cs="黑体"/>
          <w:color w:val="auto"/>
          <w:sz w:val="72"/>
          <w:szCs w:val="72"/>
          <w:highlight w:val="none"/>
        </w:rPr>
      </w:pPr>
      <w:r>
        <w:rPr>
          <w:rFonts w:hint="eastAsia" w:ascii="黑体" w:hAnsi="黑体" w:eastAsia="黑体" w:cs="黑体"/>
          <w:color w:val="auto"/>
          <w:sz w:val="72"/>
          <w:szCs w:val="72"/>
          <w:highlight w:val="none"/>
        </w:rPr>
        <w:t>采购方案</w:t>
      </w:r>
    </w:p>
    <w:p w14:paraId="53AB89DE">
      <w:pPr>
        <w:snapToGrid w:val="0"/>
        <w:spacing w:before="156" w:beforeLines="50" w:line="360" w:lineRule="auto"/>
        <w:jc w:val="center"/>
        <w:rPr>
          <w:rFonts w:ascii="黑体" w:hAnsi="黑体" w:eastAsia="黑体" w:cs="黑体"/>
          <w:color w:val="auto"/>
          <w:sz w:val="72"/>
          <w:szCs w:val="72"/>
          <w:highlight w:val="none"/>
        </w:rPr>
      </w:pPr>
    </w:p>
    <w:p w14:paraId="0D03CC46">
      <w:pPr>
        <w:spacing w:line="360" w:lineRule="auto"/>
        <w:jc w:val="center"/>
        <w:rPr>
          <w:rFonts w:ascii="宋体" w:hAnsi="宋体"/>
          <w:b/>
          <w:color w:val="auto"/>
          <w:sz w:val="32"/>
          <w:szCs w:val="32"/>
          <w:highlight w:val="none"/>
        </w:rPr>
      </w:pPr>
    </w:p>
    <w:p w14:paraId="2DD41416">
      <w:pPr>
        <w:spacing w:line="480" w:lineRule="auto"/>
        <w:jc w:val="center"/>
        <w:rPr>
          <w:rFonts w:ascii="宋体" w:hAnsi="宋体"/>
          <w:b/>
          <w:color w:val="auto"/>
          <w:sz w:val="32"/>
          <w:szCs w:val="32"/>
          <w:highlight w:val="none"/>
        </w:rPr>
      </w:pPr>
    </w:p>
    <w:p w14:paraId="3827504A">
      <w:pPr>
        <w:pStyle w:val="34"/>
        <w:rPr>
          <w:rFonts w:ascii="宋体" w:hAnsi="宋体"/>
          <w:b/>
          <w:color w:val="auto"/>
          <w:sz w:val="32"/>
          <w:szCs w:val="32"/>
          <w:highlight w:val="none"/>
        </w:rPr>
      </w:pPr>
    </w:p>
    <w:p w14:paraId="356C16B1">
      <w:pPr>
        <w:spacing w:line="480" w:lineRule="auto"/>
        <w:ind w:firstLine="1285" w:firstLineChars="400"/>
        <w:rPr>
          <w:rFonts w:ascii="仿宋_GB2312" w:hAnsi="宋体" w:eastAsia="仿宋_GB2312"/>
          <w:b/>
          <w:color w:val="auto"/>
          <w:sz w:val="32"/>
          <w:szCs w:val="32"/>
          <w:highlight w:val="none"/>
        </w:rPr>
      </w:pPr>
    </w:p>
    <w:p w14:paraId="148A3539">
      <w:pPr>
        <w:spacing w:line="480" w:lineRule="auto"/>
        <w:ind w:firstLine="1285" w:firstLineChars="400"/>
        <w:rPr>
          <w:rFonts w:ascii="仿宋_GB2312" w:hAnsi="宋体" w:eastAsia="仿宋_GB2312"/>
          <w:b/>
          <w:color w:val="auto"/>
          <w:sz w:val="32"/>
          <w:szCs w:val="32"/>
          <w:highlight w:val="none"/>
        </w:rPr>
      </w:pPr>
    </w:p>
    <w:p w14:paraId="6537B3F7">
      <w:pPr>
        <w:spacing w:line="480" w:lineRule="auto"/>
        <w:ind w:firstLine="1285" w:firstLineChars="400"/>
        <w:rPr>
          <w:rFonts w:ascii="仿宋_GB2312" w:hAnsi="宋体" w:eastAsia="仿宋_GB2312"/>
          <w:b/>
          <w:color w:val="auto"/>
          <w:sz w:val="32"/>
          <w:szCs w:val="32"/>
          <w:highlight w:val="none"/>
        </w:rPr>
      </w:pPr>
    </w:p>
    <w:p w14:paraId="6DDB2092">
      <w:pPr>
        <w:spacing w:line="480" w:lineRule="auto"/>
        <w:ind w:firstLine="1285" w:firstLineChars="400"/>
        <w:rPr>
          <w:rFonts w:ascii="仿宋_GB2312" w:hAnsi="宋体" w:eastAsia="仿宋_GB2312"/>
          <w:b/>
          <w:color w:val="auto"/>
          <w:sz w:val="32"/>
          <w:szCs w:val="32"/>
          <w:highlight w:val="none"/>
        </w:rPr>
      </w:pPr>
    </w:p>
    <w:p w14:paraId="4C0F2C09">
      <w:pPr>
        <w:spacing w:line="360" w:lineRule="auto"/>
        <w:jc w:val="cente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采购人：</w:t>
      </w:r>
      <w:bookmarkStart w:id="0" w:name="OLE_LINK2"/>
      <w:r>
        <w:rPr>
          <w:rFonts w:hint="eastAsia" w:ascii="宋体" w:hAnsi="宋体" w:cs="宋体"/>
          <w:b/>
          <w:color w:val="auto"/>
          <w:sz w:val="32"/>
          <w:szCs w:val="32"/>
          <w:highlight w:val="none"/>
          <w:lang w:eastAsia="zh-CN"/>
        </w:rPr>
        <w:t>广西壮族自治区水运发展中心</w:t>
      </w:r>
    </w:p>
    <w:bookmarkEnd w:id="0"/>
    <w:p w14:paraId="5C44BAE5">
      <w:pPr>
        <w:spacing w:line="360" w:lineRule="auto"/>
        <w:jc w:val="center"/>
        <w:rPr>
          <w:rFonts w:ascii="宋体" w:hAnsi="宋体" w:cs="宋体"/>
          <w:b/>
          <w:color w:val="auto"/>
          <w:sz w:val="32"/>
          <w:szCs w:val="32"/>
          <w:highlight w:val="none"/>
        </w:rPr>
      </w:pPr>
      <w:r>
        <w:rPr>
          <w:rFonts w:hint="eastAsia" w:ascii="宋体" w:hAnsi="宋体" w:cs="宋体"/>
          <w:b/>
          <w:bCs/>
          <w:color w:val="auto"/>
          <w:w w:val="95"/>
          <w:sz w:val="32"/>
          <w:szCs w:val="32"/>
          <w:highlight w:val="none"/>
        </w:rPr>
        <w:t>2026年</w:t>
      </w:r>
      <w:r>
        <w:rPr>
          <w:rFonts w:hint="eastAsia" w:ascii="宋体" w:hAnsi="宋体" w:cs="宋体"/>
          <w:b/>
          <w:bCs/>
          <w:color w:val="auto"/>
          <w:w w:val="95"/>
          <w:sz w:val="32"/>
          <w:szCs w:val="32"/>
          <w:highlight w:val="none"/>
          <w:lang w:val="en-US" w:eastAsia="zh-CN"/>
        </w:rPr>
        <w:t>9</w:t>
      </w:r>
      <w:r>
        <w:rPr>
          <w:rFonts w:hint="eastAsia" w:ascii="宋体" w:hAnsi="宋体" w:cs="宋体"/>
          <w:b/>
          <w:bCs/>
          <w:color w:val="auto"/>
          <w:w w:val="95"/>
          <w:sz w:val="32"/>
          <w:szCs w:val="32"/>
          <w:highlight w:val="none"/>
        </w:rPr>
        <w:t>月</w:t>
      </w:r>
    </w:p>
    <w:p w14:paraId="35F6D071">
      <w:pPr>
        <w:rPr>
          <w:rFonts w:ascii="宋体" w:hAnsi="宋体" w:cs="宋体"/>
          <w:b/>
          <w:bCs/>
          <w:color w:val="auto"/>
          <w:kern w:val="0"/>
          <w:sz w:val="32"/>
          <w:szCs w:val="32"/>
          <w:highlight w:val="none"/>
        </w:rPr>
      </w:pPr>
      <w:r>
        <w:rPr>
          <w:rFonts w:ascii="宋体" w:hAnsi="宋体" w:cs="宋体"/>
          <w:b/>
          <w:bCs/>
          <w:color w:val="auto"/>
          <w:kern w:val="0"/>
          <w:sz w:val="32"/>
          <w:szCs w:val="32"/>
          <w:highlight w:val="none"/>
        </w:rPr>
        <w:br w:type="page"/>
      </w:r>
    </w:p>
    <w:p w14:paraId="009A4C46">
      <w:pPr>
        <w:pStyle w:val="21"/>
        <w:tabs>
          <w:tab w:val="right" w:leader="dot" w:pos="8931"/>
          <w:tab w:val="clear" w:pos="8296"/>
        </w:tabs>
        <w:adjustRightInd w:val="0"/>
        <w:snapToGrid w:val="0"/>
        <w:spacing w:line="264" w:lineRule="auto"/>
        <w:ind w:left="0" w:leftChars="0"/>
        <w:rPr>
          <w:rFonts w:ascii="宋体" w:hAnsi="宋体"/>
          <w:b/>
          <w:color w:val="auto"/>
          <w:sz w:val="32"/>
          <w:szCs w:val="32"/>
          <w:highlight w:val="none"/>
        </w:rPr>
      </w:pPr>
    </w:p>
    <w:sdt>
      <w:sdtPr>
        <w:rPr>
          <w:rFonts w:ascii="宋体" w:hAnsi="宋体"/>
          <w:color w:val="auto"/>
          <w:highlight w:val="none"/>
        </w:rPr>
        <w:id w:val="147480604"/>
        <w15:color w:val="DBDBDB"/>
        <w:docPartObj>
          <w:docPartGallery w:val="Table of Contents"/>
          <w:docPartUnique/>
        </w:docPartObj>
      </w:sdtPr>
      <w:sdtEndPr>
        <w:rPr>
          <w:rFonts w:hint="eastAsia" w:ascii="宋体" w:hAnsi="宋体"/>
          <w:color w:val="auto"/>
          <w:szCs w:val="32"/>
          <w:highlight w:val="none"/>
        </w:rPr>
      </w:sdtEndPr>
      <w:sdtContent>
        <w:p w14:paraId="2BF94CBE">
          <w:pPr>
            <w:jc w:val="center"/>
            <w:rPr>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rPr>
            <w:t xml:space="preserve"> </w:t>
          </w:r>
          <w:r>
            <w:rPr>
              <w:rFonts w:ascii="宋体" w:hAnsi="宋体"/>
              <w:b/>
              <w:bCs/>
              <w:color w:val="auto"/>
              <w:sz w:val="44"/>
              <w:szCs w:val="44"/>
              <w:highlight w:val="none"/>
            </w:rPr>
            <w:t>录</w:t>
          </w:r>
        </w:p>
        <w:p w14:paraId="0E9D8993">
          <w:pPr>
            <w:pStyle w:val="19"/>
            <w:tabs>
              <w:tab w:val="right" w:leader="dot" w:pos="8879"/>
            </w:tabs>
          </w:pPr>
          <w:r>
            <w:fldChar w:fldCharType="begin"/>
          </w:r>
          <w:r>
            <w:instrText xml:space="preserve">TOC \o "1-2" \h \u </w:instrText>
          </w:r>
          <w:r>
            <w:fldChar w:fldCharType="separate"/>
          </w:r>
          <w:r>
            <w:fldChar w:fldCharType="begin"/>
          </w:r>
          <w:r>
            <w:instrText xml:space="preserve"> HYPERLINK \l _Toc13953 </w:instrText>
          </w:r>
          <w:r>
            <w:fldChar w:fldCharType="separate"/>
          </w:r>
          <w:r>
            <w:rPr>
              <w:rFonts w:hint="eastAsia"/>
              <w:szCs w:val="28"/>
              <w:highlight w:val="none"/>
            </w:rPr>
            <w:t>第一章 采购公告</w:t>
          </w:r>
          <w:r>
            <w:tab/>
          </w:r>
          <w:r>
            <w:fldChar w:fldCharType="begin"/>
          </w:r>
          <w:r>
            <w:instrText xml:space="preserve"> PAGEREF _Toc13953 \h </w:instrText>
          </w:r>
          <w:r>
            <w:fldChar w:fldCharType="separate"/>
          </w:r>
          <w:r>
            <w:t>2</w:t>
          </w:r>
          <w:r>
            <w:fldChar w:fldCharType="end"/>
          </w:r>
          <w:r>
            <w:fldChar w:fldCharType="end"/>
          </w:r>
        </w:p>
        <w:p w14:paraId="0F8166E9">
          <w:pPr>
            <w:pStyle w:val="19"/>
            <w:tabs>
              <w:tab w:val="right" w:leader="dot" w:pos="8879"/>
            </w:tabs>
          </w:pPr>
          <w:r>
            <w:fldChar w:fldCharType="begin"/>
          </w:r>
          <w:r>
            <w:instrText xml:space="preserve"> HYPERLINK \l _Toc12668 </w:instrText>
          </w:r>
          <w:r>
            <w:fldChar w:fldCharType="separate"/>
          </w:r>
          <w:r>
            <w:rPr>
              <w:rFonts w:hint="eastAsia"/>
              <w:szCs w:val="28"/>
              <w:highlight w:val="none"/>
            </w:rPr>
            <w:t>第二章 供应商须知</w:t>
          </w:r>
          <w:r>
            <w:tab/>
          </w:r>
          <w:r>
            <w:fldChar w:fldCharType="begin"/>
          </w:r>
          <w:r>
            <w:instrText xml:space="preserve"> PAGEREF _Toc12668 \h </w:instrText>
          </w:r>
          <w:r>
            <w:fldChar w:fldCharType="separate"/>
          </w:r>
          <w:r>
            <w:t>4</w:t>
          </w:r>
          <w:r>
            <w:fldChar w:fldCharType="end"/>
          </w:r>
          <w:r>
            <w:fldChar w:fldCharType="end"/>
          </w:r>
        </w:p>
        <w:p w14:paraId="5F398FDB">
          <w:pPr>
            <w:pStyle w:val="19"/>
            <w:tabs>
              <w:tab w:val="right" w:leader="dot" w:pos="8879"/>
            </w:tabs>
          </w:pPr>
          <w:r>
            <w:fldChar w:fldCharType="begin"/>
          </w:r>
          <w:r>
            <w:instrText xml:space="preserve"> HYPERLINK \l _Toc22272 </w:instrText>
          </w:r>
          <w:r>
            <w:fldChar w:fldCharType="separate"/>
          </w:r>
          <w:r>
            <w:rPr>
              <w:rFonts w:hint="eastAsia"/>
              <w:szCs w:val="28"/>
              <w:highlight w:val="none"/>
            </w:rPr>
            <w:t>第三章 采购需求</w:t>
          </w:r>
          <w:r>
            <w:tab/>
          </w:r>
          <w:r>
            <w:fldChar w:fldCharType="begin"/>
          </w:r>
          <w:r>
            <w:instrText xml:space="preserve"> PAGEREF _Toc22272 \h </w:instrText>
          </w:r>
          <w:r>
            <w:fldChar w:fldCharType="separate"/>
          </w:r>
          <w:r>
            <w:t>5</w:t>
          </w:r>
          <w:r>
            <w:fldChar w:fldCharType="end"/>
          </w:r>
          <w:r>
            <w:fldChar w:fldCharType="end"/>
          </w:r>
        </w:p>
        <w:p w14:paraId="70B222A6">
          <w:pPr>
            <w:pStyle w:val="21"/>
            <w:tabs>
              <w:tab w:val="right" w:leader="dot" w:pos="8879"/>
              <w:tab w:val="clear" w:pos="8296"/>
            </w:tabs>
          </w:pPr>
          <w:r>
            <w:fldChar w:fldCharType="begin"/>
          </w:r>
          <w:r>
            <w:instrText xml:space="preserve"> HYPERLINK \l _Toc8072 </w:instrText>
          </w:r>
          <w:r>
            <w:fldChar w:fldCharType="separate"/>
          </w:r>
          <w:r>
            <w:rPr>
              <w:rFonts w:hint="eastAsia" w:ascii="宋体" w:hAnsi="宋体" w:cs="宋体"/>
              <w:bCs/>
              <w:szCs w:val="21"/>
              <w:highlight w:val="none"/>
              <w:lang w:bidi="ar"/>
            </w:rPr>
            <w:t>一、项目概况</w:t>
          </w:r>
          <w:r>
            <w:tab/>
          </w:r>
          <w:r>
            <w:fldChar w:fldCharType="begin"/>
          </w:r>
          <w:r>
            <w:instrText xml:space="preserve"> PAGEREF _Toc8072 \h </w:instrText>
          </w:r>
          <w:r>
            <w:fldChar w:fldCharType="separate"/>
          </w:r>
          <w:r>
            <w:t>5</w:t>
          </w:r>
          <w:r>
            <w:fldChar w:fldCharType="end"/>
          </w:r>
          <w:r>
            <w:fldChar w:fldCharType="end"/>
          </w:r>
        </w:p>
        <w:p w14:paraId="12D6AF54">
          <w:pPr>
            <w:pStyle w:val="21"/>
            <w:tabs>
              <w:tab w:val="right" w:leader="dot" w:pos="8879"/>
              <w:tab w:val="clear" w:pos="8296"/>
            </w:tabs>
          </w:pPr>
          <w:r>
            <w:fldChar w:fldCharType="begin"/>
          </w:r>
          <w:r>
            <w:instrText xml:space="preserve"> HYPERLINK \l _Toc25958 </w:instrText>
          </w:r>
          <w:r>
            <w:fldChar w:fldCharType="separate"/>
          </w:r>
          <w:r>
            <w:rPr>
              <w:rFonts w:hint="eastAsia" w:ascii="宋体" w:hAnsi="宋体" w:cs="宋体"/>
              <w:bCs/>
              <w:szCs w:val="21"/>
              <w:highlight w:val="none"/>
              <w:lang w:bidi="ar"/>
            </w:rPr>
            <w:t>二、采购内容</w:t>
          </w:r>
          <w:r>
            <w:tab/>
          </w:r>
          <w:r>
            <w:fldChar w:fldCharType="begin"/>
          </w:r>
          <w:r>
            <w:instrText xml:space="preserve"> PAGEREF _Toc25958 \h </w:instrText>
          </w:r>
          <w:r>
            <w:fldChar w:fldCharType="separate"/>
          </w:r>
          <w:r>
            <w:t>5</w:t>
          </w:r>
          <w:r>
            <w:fldChar w:fldCharType="end"/>
          </w:r>
          <w:r>
            <w:fldChar w:fldCharType="end"/>
          </w:r>
          <w:bookmarkStart w:id="332" w:name="_GoBack"/>
          <w:bookmarkEnd w:id="332"/>
        </w:p>
        <w:p w14:paraId="1DFC11F5">
          <w:pPr>
            <w:pStyle w:val="21"/>
            <w:tabs>
              <w:tab w:val="right" w:leader="dot" w:pos="8879"/>
              <w:tab w:val="clear" w:pos="8296"/>
            </w:tabs>
          </w:pPr>
          <w:r>
            <w:fldChar w:fldCharType="begin"/>
          </w:r>
          <w:r>
            <w:instrText xml:space="preserve"> HYPERLINK \l _Toc5464 </w:instrText>
          </w:r>
          <w:r>
            <w:fldChar w:fldCharType="separate"/>
          </w:r>
          <w:r>
            <w:rPr>
              <w:rFonts w:hint="eastAsia" w:ascii="宋体" w:hAnsi="宋体" w:cs="宋体"/>
              <w:bCs/>
              <w:szCs w:val="21"/>
              <w:highlight w:val="none"/>
              <w:lang w:bidi="ar"/>
            </w:rPr>
            <w:t>三、技术要求</w:t>
          </w:r>
          <w:r>
            <w:tab/>
          </w:r>
          <w:r>
            <w:fldChar w:fldCharType="begin"/>
          </w:r>
          <w:r>
            <w:instrText xml:space="preserve"> PAGEREF _Toc5464 \h </w:instrText>
          </w:r>
          <w:r>
            <w:fldChar w:fldCharType="separate"/>
          </w:r>
          <w:r>
            <w:t>5</w:t>
          </w:r>
          <w:r>
            <w:fldChar w:fldCharType="end"/>
          </w:r>
          <w:r>
            <w:fldChar w:fldCharType="end"/>
          </w:r>
        </w:p>
        <w:p w14:paraId="1BA33BEE">
          <w:pPr>
            <w:pStyle w:val="21"/>
            <w:tabs>
              <w:tab w:val="right" w:leader="dot" w:pos="8879"/>
              <w:tab w:val="clear" w:pos="8296"/>
            </w:tabs>
          </w:pPr>
          <w:r>
            <w:fldChar w:fldCharType="begin"/>
          </w:r>
          <w:r>
            <w:instrText xml:space="preserve"> HYPERLINK \l _Toc8467 </w:instrText>
          </w:r>
          <w:r>
            <w:fldChar w:fldCharType="separate"/>
          </w:r>
          <w:r>
            <w:rPr>
              <w:rFonts w:hint="eastAsia" w:ascii="宋体" w:hAnsi="宋体" w:cs="宋体"/>
              <w:bCs/>
              <w:szCs w:val="21"/>
              <w:highlight w:val="none"/>
              <w:lang w:bidi="ar"/>
            </w:rPr>
            <w:t>四、商务要求</w:t>
          </w:r>
          <w:r>
            <w:tab/>
          </w:r>
          <w:r>
            <w:fldChar w:fldCharType="begin"/>
          </w:r>
          <w:r>
            <w:instrText xml:space="preserve"> PAGEREF _Toc8467 \h </w:instrText>
          </w:r>
          <w:r>
            <w:fldChar w:fldCharType="separate"/>
          </w:r>
          <w:r>
            <w:t>5</w:t>
          </w:r>
          <w:r>
            <w:fldChar w:fldCharType="end"/>
          </w:r>
          <w:r>
            <w:fldChar w:fldCharType="end"/>
          </w:r>
        </w:p>
        <w:p w14:paraId="4907CBAF">
          <w:pPr>
            <w:pStyle w:val="19"/>
            <w:tabs>
              <w:tab w:val="right" w:leader="dot" w:pos="8879"/>
            </w:tabs>
          </w:pPr>
          <w:r>
            <w:fldChar w:fldCharType="begin"/>
          </w:r>
          <w:r>
            <w:instrText xml:space="preserve"> HYPERLINK \l _Toc2719 </w:instrText>
          </w:r>
          <w:r>
            <w:fldChar w:fldCharType="separate"/>
          </w:r>
          <w:r>
            <w:rPr>
              <w:rFonts w:hint="eastAsia"/>
              <w:szCs w:val="28"/>
              <w:highlight w:val="none"/>
            </w:rPr>
            <w:t>第四章  评审办法</w:t>
          </w:r>
          <w:r>
            <w:tab/>
          </w:r>
          <w:r>
            <w:fldChar w:fldCharType="begin"/>
          </w:r>
          <w:r>
            <w:instrText xml:space="preserve"> PAGEREF _Toc2719 \h </w:instrText>
          </w:r>
          <w:r>
            <w:fldChar w:fldCharType="separate"/>
          </w:r>
          <w:r>
            <w:t>8</w:t>
          </w:r>
          <w:r>
            <w:fldChar w:fldCharType="end"/>
          </w:r>
          <w:r>
            <w:fldChar w:fldCharType="end"/>
          </w:r>
        </w:p>
        <w:p w14:paraId="7377F7E3">
          <w:pPr>
            <w:pStyle w:val="21"/>
            <w:tabs>
              <w:tab w:val="right" w:leader="dot" w:pos="8879"/>
              <w:tab w:val="clear" w:pos="8296"/>
            </w:tabs>
          </w:pPr>
          <w:r>
            <w:fldChar w:fldCharType="begin"/>
          </w:r>
          <w:r>
            <w:instrText xml:space="preserve"> HYPERLINK \l _Toc18804 </w:instrText>
          </w:r>
          <w:r>
            <w:fldChar w:fldCharType="separate"/>
          </w:r>
          <w:r>
            <w:rPr>
              <w:rFonts w:hint="eastAsia" w:ascii="宋体" w:hAnsi="宋体"/>
              <w:highlight w:val="none"/>
            </w:rPr>
            <w:t>第一节  评审程序和评审方法</w:t>
          </w:r>
          <w:r>
            <w:tab/>
          </w:r>
          <w:r>
            <w:fldChar w:fldCharType="begin"/>
          </w:r>
          <w:r>
            <w:instrText xml:space="preserve"> PAGEREF _Toc18804 \h </w:instrText>
          </w:r>
          <w:r>
            <w:fldChar w:fldCharType="separate"/>
          </w:r>
          <w:r>
            <w:t>8</w:t>
          </w:r>
          <w:r>
            <w:fldChar w:fldCharType="end"/>
          </w:r>
          <w:r>
            <w:fldChar w:fldCharType="end"/>
          </w:r>
        </w:p>
        <w:p w14:paraId="4424F0A0">
          <w:pPr>
            <w:pStyle w:val="21"/>
            <w:tabs>
              <w:tab w:val="right" w:leader="dot" w:pos="8879"/>
              <w:tab w:val="clear" w:pos="8296"/>
            </w:tabs>
          </w:pPr>
          <w:r>
            <w:fldChar w:fldCharType="begin"/>
          </w:r>
          <w:r>
            <w:instrText xml:space="preserve"> HYPERLINK \l _Toc30071 </w:instrText>
          </w:r>
          <w:r>
            <w:fldChar w:fldCharType="separate"/>
          </w:r>
          <w:r>
            <w:rPr>
              <w:rFonts w:hint="eastAsia" w:ascii="宋体" w:hAnsi="宋体"/>
              <w:highlight w:val="none"/>
            </w:rPr>
            <w:t>第二节  评审标准</w:t>
          </w:r>
          <w:r>
            <w:tab/>
          </w:r>
          <w:r>
            <w:fldChar w:fldCharType="begin"/>
          </w:r>
          <w:r>
            <w:instrText xml:space="preserve"> PAGEREF _Toc30071 \h </w:instrText>
          </w:r>
          <w:r>
            <w:fldChar w:fldCharType="separate"/>
          </w:r>
          <w:r>
            <w:t>11</w:t>
          </w:r>
          <w:r>
            <w:fldChar w:fldCharType="end"/>
          </w:r>
          <w:r>
            <w:fldChar w:fldCharType="end"/>
          </w:r>
        </w:p>
        <w:p w14:paraId="4F57049A">
          <w:pPr>
            <w:pStyle w:val="19"/>
            <w:tabs>
              <w:tab w:val="right" w:leader="dot" w:pos="8879"/>
            </w:tabs>
          </w:pPr>
          <w:r>
            <w:fldChar w:fldCharType="begin"/>
          </w:r>
          <w:r>
            <w:instrText xml:space="preserve"> HYPERLINK \l _Toc26394 </w:instrText>
          </w:r>
          <w:r>
            <w:fldChar w:fldCharType="separate"/>
          </w:r>
          <w:r>
            <w:rPr>
              <w:rFonts w:hint="eastAsia"/>
              <w:szCs w:val="28"/>
              <w:highlight w:val="none"/>
            </w:rPr>
            <w:t>第五章 响应文件格式</w:t>
          </w:r>
          <w:r>
            <w:tab/>
          </w:r>
          <w:r>
            <w:fldChar w:fldCharType="begin"/>
          </w:r>
          <w:r>
            <w:instrText xml:space="preserve"> PAGEREF _Toc26394 \h </w:instrText>
          </w:r>
          <w:r>
            <w:fldChar w:fldCharType="separate"/>
          </w:r>
          <w:r>
            <w:t>12</w:t>
          </w:r>
          <w:r>
            <w:fldChar w:fldCharType="end"/>
          </w:r>
          <w:r>
            <w:fldChar w:fldCharType="end"/>
          </w:r>
        </w:p>
        <w:p w14:paraId="69644E97">
          <w:pPr>
            <w:pStyle w:val="21"/>
            <w:tabs>
              <w:tab w:val="right" w:leader="dot" w:pos="8879"/>
              <w:tab w:val="clear" w:pos="8296"/>
            </w:tabs>
          </w:pPr>
          <w:r>
            <w:fldChar w:fldCharType="begin"/>
          </w:r>
          <w:r>
            <w:instrText xml:space="preserve"> HYPERLINK \l _Toc25507 </w:instrText>
          </w:r>
          <w:r>
            <w:fldChar w:fldCharType="separate"/>
          </w:r>
          <w:r>
            <w:rPr>
              <w:rFonts w:hint="eastAsia" w:ascii="宋体" w:hAnsi="宋体"/>
              <w:bCs/>
              <w:szCs w:val="36"/>
              <w:highlight w:val="none"/>
            </w:rPr>
            <w:t>目录</w:t>
          </w:r>
          <w:r>
            <w:tab/>
          </w:r>
          <w:r>
            <w:fldChar w:fldCharType="begin"/>
          </w:r>
          <w:r>
            <w:instrText xml:space="preserve"> PAGEREF _Toc25507 \h </w:instrText>
          </w:r>
          <w:r>
            <w:fldChar w:fldCharType="separate"/>
          </w:r>
          <w:r>
            <w:t>14</w:t>
          </w:r>
          <w:r>
            <w:fldChar w:fldCharType="end"/>
          </w:r>
          <w:r>
            <w:fldChar w:fldCharType="end"/>
          </w:r>
        </w:p>
        <w:p w14:paraId="25B405A2">
          <w:pPr>
            <w:pStyle w:val="21"/>
            <w:tabs>
              <w:tab w:val="right" w:leader="dot" w:pos="8879"/>
              <w:tab w:val="clear" w:pos="8296"/>
            </w:tabs>
          </w:pPr>
          <w:r>
            <w:fldChar w:fldCharType="begin"/>
          </w:r>
          <w:r>
            <w:instrText xml:space="preserve"> HYPERLINK \l _Toc8799 </w:instrText>
          </w:r>
          <w:r>
            <w:fldChar w:fldCharType="separate"/>
          </w:r>
          <w:r>
            <w:rPr>
              <w:rFonts w:hint="eastAsia" w:ascii="黑体" w:hAnsi="黑体" w:eastAsia="黑体" w:cs="黑体"/>
              <w:szCs w:val="36"/>
              <w:highlight w:val="none"/>
            </w:rPr>
            <w:t>一、投标函</w:t>
          </w:r>
          <w:r>
            <w:tab/>
          </w:r>
          <w:r>
            <w:fldChar w:fldCharType="begin"/>
          </w:r>
          <w:r>
            <w:instrText xml:space="preserve"> PAGEREF _Toc8799 \h </w:instrText>
          </w:r>
          <w:r>
            <w:fldChar w:fldCharType="separate"/>
          </w:r>
          <w:r>
            <w:t>15</w:t>
          </w:r>
          <w:r>
            <w:fldChar w:fldCharType="end"/>
          </w:r>
          <w:r>
            <w:fldChar w:fldCharType="end"/>
          </w:r>
        </w:p>
        <w:p w14:paraId="0EA909D1">
          <w:pPr>
            <w:pStyle w:val="21"/>
            <w:tabs>
              <w:tab w:val="right" w:leader="dot" w:pos="8879"/>
              <w:tab w:val="clear" w:pos="8296"/>
            </w:tabs>
          </w:pPr>
          <w:r>
            <w:fldChar w:fldCharType="begin"/>
          </w:r>
          <w:r>
            <w:instrText xml:space="preserve"> HYPERLINK \l _Toc3856 </w:instrText>
          </w:r>
          <w:r>
            <w:fldChar w:fldCharType="separate"/>
          </w:r>
          <w:r>
            <w:rPr>
              <w:rFonts w:hint="eastAsia" w:ascii="黑体" w:hAnsi="黑体" w:eastAsia="黑体" w:cs="黑体"/>
              <w:szCs w:val="36"/>
              <w:highlight w:val="none"/>
            </w:rPr>
            <w:t>二、法定代表人身份证明</w:t>
          </w:r>
          <w:r>
            <w:tab/>
          </w:r>
          <w:r>
            <w:fldChar w:fldCharType="begin"/>
          </w:r>
          <w:r>
            <w:instrText xml:space="preserve"> PAGEREF _Toc3856 \h </w:instrText>
          </w:r>
          <w:r>
            <w:fldChar w:fldCharType="separate"/>
          </w:r>
          <w:r>
            <w:t>16</w:t>
          </w:r>
          <w:r>
            <w:fldChar w:fldCharType="end"/>
          </w:r>
          <w:r>
            <w:fldChar w:fldCharType="end"/>
          </w:r>
        </w:p>
        <w:p w14:paraId="4BB6DAE5">
          <w:pPr>
            <w:pStyle w:val="21"/>
            <w:tabs>
              <w:tab w:val="right" w:leader="dot" w:pos="8879"/>
              <w:tab w:val="clear" w:pos="8296"/>
            </w:tabs>
          </w:pPr>
          <w:r>
            <w:fldChar w:fldCharType="begin"/>
          </w:r>
          <w:r>
            <w:instrText xml:space="preserve"> HYPERLINK \l _Toc15486 </w:instrText>
          </w:r>
          <w:r>
            <w:fldChar w:fldCharType="separate"/>
          </w:r>
          <w:r>
            <w:rPr>
              <w:rFonts w:hint="eastAsia" w:ascii="黑体" w:hAnsi="黑体" w:eastAsia="黑体" w:cs="黑体"/>
              <w:szCs w:val="36"/>
              <w:highlight w:val="none"/>
            </w:rPr>
            <w:t>二、授权委托书</w:t>
          </w:r>
          <w:r>
            <w:tab/>
          </w:r>
          <w:r>
            <w:fldChar w:fldCharType="begin"/>
          </w:r>
          <w:r>
            <w:instrText xml:space="preserve"> PAGEREF _Toc15486 \h </w:instrText>
          </w:r>
          <w:r>
            <w:fldChar w:fldCharType="separate"/>
          </w:r>
          <w:r>
            <w:t>17</w:t>
          </w:r>
          <w:r>
            <w:fldChar w:fldCharType="end"/>
          </w:r>
          <w:r>
            <w:fldChar w:fldCharType="end"/>
          </w:r>
        </w:p>
        <w:p w14:paraId="0C61ABD9">
          <w:pPr>
            <w:pStyle w:val="21"/>
            <w:tabs>
              <w:tab w:val="right" w:leader="dot" w:pos="8879"/>
              <w:tab w:val="clear" w:pos="8296"/>
            </w:tabs>
          </w:pPr>
          <w:r>
            <w:fldChar w:fldCharType="begin"/>
          </w:r>
          <w:r>
            <w:instrText xml:space="preserve"> HYPERLINK \l _Toc20264 </w:instrText>
          </w:r>
          <w:r>
            <w:fldChar w:fldCharType="separate"/>
          </w:r>
          <w:r>
            <w:rPr>
              <w:rFonts w:hint="eastAsia" w:ascii="黑体" w:hAnsi="黑体" w:eastAsia="黑体" w:cs="黑体"/>
              <w:szCs w:val="36"/>
              <w:highlight w:val="none"/>
              <w:lang w:eastAsia="zh-CN"/>
            </w:rPr>
            <w:t>三</w:t>
          </w:r>
          <w:r>
            <w:rPr>
              <w:rFonts w:hint="eastAsia" w:ascii="黑体" w:hAnsi="黑体" w:eastAsia="黑体" w:cs="黑体"/>
              <w:szCs w:val="36"/>
              <w:highlight w:val="none"/>
            </w:rPr>
            <w:t>、报价清单</w:t>
          </w:r>
          <w:r>
            <w:tab/>
          </w:r>
          <w:r>
            <w:fldChar w:fldCharType="begin"/>
          </w:r>
          <w:r>
            <w:instrText xml:space="preserve"> PAGEREF _Toc20264 \h </w:instrText>
          </w:r>
          <w:r>
            <w:fldChar w:fldCharType="separate"/>
          </w:r>
          <w:r>
            <w:t>18</w:t>
          </w:r>
          <w:r>
            <w:fldChar w:fldCharType="end"/>
          </w:r>
          <w:r>
            <w:fldChar w:fldCharType="end"/>
          </w:r>
        </w:p>
        <w:p w14:paraId="5B3AAF50">
          <w:pPr>
            <w:pStyle w:val="21"/>
            <w:tabs>
              <w:tab w:val="right" w:leader="dot" w:pos="8879"/>
              <w:tab w:val="clear" w:pos="8296"/>
            </w:tabs>
          </w:pPr>
          <w:r>
            <w:fldChar w:fldCharType="begin"/>
          </w:r>
          <w:r>
            <w:instrText xml:space="preserve"> HYPERLINK \l _Toc9725 </w:instrText>
          </w:r>
          <w:r>
            <w:fldChar w:fldCharType="separate"/>
          </w:r>
          <w:r>
            <w:rPr>
              <w:rFonts w:hint="eastAsia" w:ascii="黑体" w:hAnsi="黑体" w:eastAsia="黑体" w:cs="黑体"/>
              <w:szCs w:val="36"/>
              <w:highlight w:val="none"/>
              <w:lang w:eastAsia="zh-CN"/>
            </w:rPr>
            <w:t>四</w:t>
          </w:r>
          <w:r>
            <w:rPr>
              <w:rFonts w:hint="eastAsia" w:ascii="黑体" w:hAnsi="黑体" w:eastAsia="黑体" w:cs="黑体"/>
              <w:szCs w:val="36"/>
              <w:highlight w:val="none"/>
            </w:rPr>
            <w:t>、资格审查资料</w:t>
          </w:r>
          <w:r>
            <w:tab/>
          </w:r>
          <w:r>
            <w:fldChar w:fldCharType="begin"/>
          </w:r>
          <w:r>
            <w:instrText xml:space="preserve"> PAGEREF _Toc9725 \h </w:instrText>
          </w:r>
          <w:r>
            <w:fldChar w:fldCharType="separate"/>
          </w:r>
          <w:r>
            <w:t>20</w:t>
          </w:r>
          <w:r>
            <w:fldChar w:fldCharType="end"/>
          </w:r>
          <w:r>
            <w:fldChar w:fldCharType="end"/>
          </w:r>
        </w:p>
        <w:p w14:paraId="0D46BCB7">
          <w:pPr>
            <w:pStyle w:val="21"/>
            <w:tabs>
              <w:tab w:val="right" w:leader="dot" w:pos="8879"/>
              <w:tab w:val="clear" w:pos="8296"/>
            </w:tabs>
          </w:pPr>
          <w:r>
            <w:fldChar w:fldCharType="begin"/>
          </w:r>
          <w:r>
            <w:instrText xml:space="preserve"> HYPERLINK \l _Toc5620 </w:instrText>
          </w:r>
          <w:r>
            <w:fldChar w:fldCharType="separate"/>
          </w:r>
          <w:r>
            <w:rPr>
              <w:rFonts w:hint="eastAsia" w:ascii="黑体" w:hAnsi="黑体" w:eastAsia="黑体" w:cs="黑体"/>
              <w:szCs w:val="36"/>
              <w:highlight w:val="none"/>
              <w:lang w:eastAsia="zh-CN"/>
            </w:rPr>
            <w:t>五</w:t>
          </w:r>
          <w:r>
            <w:rPr>
              <w:rFonts w:hint="eastAsia" w:ascii="黑体" w:hAnsi="黑体" w:eastAsia="黑体" w:cs="黑体"/>
              <w:szCs w:val="36"/>
              <w:highlight w:val="none"/>
            </w:rPr>
            <w:t>、</w:t>
          </w:r>
          <w:r>
            <w:rPr>
              <w:rFonts w:hint="eastAsia" w:ascii="黑体" w:hAnsi="黑体" w:eastAsia="黑体" w:cs="黑体"/>
              <w:szCs w:val="36"/>
              <w:highlight w:val="none"/>
              <w:lang w:eastAsia="zh-CN"/>
            </w:rPr>
            <w:t>专题研究</w:t>
          </w:r>
          <w:r>
            <w:rPr>
              <w:rFonts w:hint="eastAsia" w:ascii="黑体" w:hAnsi="黑体" w:eastAsia="黑体" w:cs="黑体"/>
              <w:szCs w:val="36"/>
              <w:highlight w:val="none"/>
            </w:rPr>
            <w:t>方案</w:t>
          </w:r>
          <w:r>
            <w:tab/>
          </w:r>
          <w:r>
            <w:fldChar w:fldCharType="begin"/>
          </w:r>
          <w:r>
            <w:instrText xml:space="preserve"> PAGEREF _Toc5620 \h </w:instrText>
          </w:r>
          <w:r>
            <w:fldChar w:fldCharType="separate"/>
          </w:r>
          <w:r>
            <w:t>25</w:t>
          </w:r>
          <w:r>
            <w:fldChar w:fldCharType="end"/>
          </w:r>
          <w:r>
            <w:fldChar w:fldCharType="end"/>
          </w:r>
        </w:p>
        <w:p w14:paraId="1C2C99F1">
          <w:pPr>
            <w:pStyle w:val="21"/>
            <w:tabs>
              <w:tab w:val="right" w:leader="dot" w:pos="8879"/>
              <w:tab w:val="clear" w:pos="8296"/>
            </w:tabs>
          </w:pPr>
          <w:r>
            <w:fldChar w:fldCharType="begin"/>
          </w:r>
          <w:r>
            <w:instrText xml:space="preserve"> HYPERLINK \l _Toc17885 </w:instrText>
          </w:r>
          <w:r>
            <w:fldChar w:fldCharType="separate"/>
          </w:r>
          <w:r>
            <w:rPr>
              <w:rFonts w:hint="eastAsia" w:ascii="黑体" w:hAnsi="黑体" w:eastAsia="黑体" w:cs="黑体"/>
              <w:szCs w:val="36"/>
              <w:highlight w:val="none"/>
              <w:lang w:eastAsia="zh-CN"/>
            </w:rPr>
            <w:t>六</w:t>
          </w:r>
          <w:r>
            <w:rPr>
              <w:rFonts w:hint="eastAsia" w:ascii="黑体" w:hAnsi="黑体" w:eastAsia="黑体" w:cs="黑体"/>
              <w:szCs w:val="36"/>
              <w:highlight w:val="none"/>
            </w:rPr>
            <w:t>、其他资料</w:t>
          </w:r>
          <w:r>
            <w:tab/>
          </w:r>
          <w:r>
            <w:fldChar w:fldCharType="begin"/>
          </w:r>
          <w:r>
            <w:instrText xml:space="preserve"> PAGEREF _Toc17885 \h </w:instrText>
          </w:r>
          <w:r>
            <w:fldChar w:fldCharType="separate"/>
          </w:r>
          <w:r>
            <w:t>26</w:t>
          </w:r>
          <w:r>
            <w:fldChar w:fldCharType="end"/>
          </w:r>
          <w:r>
            <w:fldChar w:fldCharType="end"/>
          </w:r>
        </w:p>
        <w:p w14:paraId="559AF061">
          <w:pPr>
            <w:pStyle w:val="19"/>
            <w:tabs>
              <w:tab w:val="right" w:leader="dot" w:pos="8879"/>
            </w:tabs>
          </w:pPr>
          <w:r>
            <w:fldChar w:fldCharType="begin"/>
          </w:r>
          <w:r>
            <w:instrText xml:space="preserve"> HYPERLINK \l _Toc24357 </w:instrText>
          </w:r>
          <w:r>
            <w:fldChar w:fldCharType="separate"/>
          </w:r>
          <w:r>
            <w:rPr>
              <w:rFonts w:hint="eastAsia"/>
              <w:highlight w:val="none"/>
            </w:rPr>
            <w:t>第六章 合同条款</w:t>
          </w:r>
          <w:r>
            <w:tab/>
          </w:r>
          <w:r>
            <w:fldChar w:fldCharType="begin"/>
          </w:r>
          <w:r>
            <w:instrText xml:space="preserve"> PAGEREF _Toc24357 \h </w:instrText>
          </w:r>
          <w:r>
            <w:fldChar w:fldCharType="separate"/>
          </w:r>
          <w:r>
            <w:t>27</w:t>
          </w:r>
          <w:r>
            <w:fldChar w:fldCharType="end"/>
          </w:r>
          <w:r>
            <w:fldChar w:fldCharType="end"/>
          </w:r>
        </w:p>
        <w:p w14:paraId="05D765A8">
          <w:pPr>
            <w:pStyle w:val="21"/>
            <w:tabs>
              <w:tab w:val="right" w:leader="dot" w:pos="8879"/>
              <w:tab w:val="clear" w:pos="8296"/>
            </w:tabs>
          </w:pPr>
          <w:r>
            <w:fldChar w:fldCharType="begin"/>
          </w:r>
          <w:r>
            <w:instrText xml:space="preserve"> HYPERLINK \l _Toc24311 </w:instrText>
          </w:r>
          <w:r>
            <w:fldChar w:fldCharType="separate"/>
          </w:r>
          <w:r>
            <w:rPr>
              <w:rFonts w:hint="eastAsia" w:ascii="黑体" w:hAnsi="宋体" w:eastAsia="黑体"/>
              <w:szCs w:val="32"/>
            </w:rPr>
            <w:t>合同协议书</w:t>
          </w:r>
          <w:r>
            <w:tab/>
          </w:r>
          <w:r>
            <w:fldChar w:fldCharType="begin"/>
          </w:r>
          <w:r>
            <w:instrText xml:space="preserve"> PAGEREF _Toc24311 \h </w:instrText>
          </w:r>
          <w:r>
            <w:fldChar w:fldCharType="separate"/>
          </w:r>
          <w:r>
            <w:t>28</w:t>
          </w:r>
          <w:r>
            <w:fldChar w:fldCharType="end"/>
          </w:r>
          <w:r>
            <w:fldChar w:fldCharType="end"/>
          </w:r>
        </w:p>
        <w:p w14:paraId="0B8C1B24">
          <w:pPr>
            <w:pStyle w:val="21"/>
            <w:tabs>
              <w:tab w:val="right" w:leader="dot" w:pos="8879"/>
              <w:tab w:val="clear" w:pos="8296"/>
            </w:tabs>
          </w:pPr>
          <w:r>
            <w:fldChar w:fldCharType="begin"/>
          </w:r>
          <w:r>
            <w:instrText xml:space="preserve"> HYPERLINK \l _Toc26738 </w:instrText>
          </w:r>
          <w:r>
            <w:fldChar w:fldCharType="separate"/>
          </w:r>
          <w:r>
            <w:rPr>
              <w:rFonts w:hint="eastAsia" w:ascii="宋体" w:hAnsi="宋体" w:eastAsia="宋体" w:cs="宋体"/>
              <w:szCs w:val="24"/>
              <w:lang w:eastAsia="zh-CN"/>
            </w:rPr>
            <w:t>附件</w:t>
          </w:r>
          <w:r>
            <w:rPr>
              <w:rFonts w:hint="eastAsia" w:ascii="宋体" w:hAnsi="宋体" w:eastAsia="宋体" w:cs="宋体"/>
              <w:szCs w:val="24"/>
              <w:lang w:val="en-US" w:eastAsia="zh-CN"/>
            </w:rPr>
            <w:t xml:space="preserve"> </w:t>
          </w:r>
          <w:r>
            <w:rPr>
              <w:rFonts w:hint="eastAsia" w:ascii="宋体" w:hAnsi="宋体" w:eastAsia="宋体" w:cs="宋体"/>
              <w:szCs w:val="24"/>
            </w:rPr>
            <w:t>廉政合同</w:t>
          </w:r>
          <w:r>
            <w:tab/>
          </w:r>
          <w:r>
            <w:fldChar w:fldCharType="begin"/>
          </w:r>
          <w:r>
            <w:instrText xml:space="preserve"> PAGEREF _Toc26738 \h </w:instrText>
          </w:r>
          <w:r>
            <w:fldChar w:fldCharType="separate"/>
          </w:r>
          <w:r>
            <w:t>37</w:t>
          </w:r>
          <w:r>
            <w:fldChar w:fldCharType="end"/>
          </w:r>
          <w:r>
            <w:fldChar w:fldCharType="end"/>
          </w:r>
        </w:p>
        <w:p w14:paraId="02FD6BB1">
          <w:pPr>
            <w:spacing w:line="400" w:lineRule="exact"/>
            <w:rPr>
              <w:rFonts w:ascii="宋体" w:hAnsi="宋体"/>
              <w:color w:val="auto"/>
              <w:szCs w:val="32"/>
              <w:highlight w:val="none"/>
            </w:rPr>
          </w:pPr>
          <w:r>
            <w:fldChar w:fldCharType="end"/>
          </w:r>
        </w:p>
      </w:sdtContent>
    </w:sdt>
    <w:p w14:paraId="138E17D0">
      <w:pPr>
        <w:spacing w:line="400" w:lineRule="exact"/>
        <w:rPr>
          <w:rFonts w:ascii="宋体" w:hAnsi="宋体"/>
          <w:color w:val="auto"/>
          <w:szCs w:val="32"/>
          <w:highlight w:val="none"/>
        </w:rPr>
      </w:pPr>
    </w:p>
    <w:p w14:paraId="7407658C">
      <w:pPr>
        <w:spacing w:line="400" w:lineRule="exact"/>
        <w:rPr>
          <w:rFonts w:ascii="宋体" w:hAnsi="宋体"/>
          <w:b/>
          <w:color w:val="auto"/>
          <w:sz w:val="32"/>
          <w:szCs w:val="32"/>
          <w:highlight w:val="none"/>
        </w:rPr>
      </w:pPr>
    </w:p>
    <w:p w14:paraId="5FD8F8D7">
      <w:pPr>
        <w:spacing w:line="400" w:lineRule="exact"/>
        <w:rPr>
          <w:rFonts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7EE74ED9">
      <w:pPr>
        <w:pStyle w:val="2"/>
        <w:spacing w:before="0" w:after="0" w:line="360" w:lineRule="auto"/>
        <w:jc w:val="center"/>
        <w:rPr>
          <w:color w:val="auto"/>
          <w:sz w:val="28"/>
          <w:szCs w:val="28"/>
          <w:highlight w:val="none"/>
        </w:rPr>
      </w:pPr>
      <w:bookmarkStart w:id="1" w:name="_Toc27074"/>
      <w:bookmarkStart w:id="2" w:name="_Toc27769"/>
      <w:bookmarkStart w:id="3" w:name="_Toc25608"/>
      <w:bookmarkStart w:id="4" w:name="_Toc8362"/>
      <w:bookmarkStart w:id="5" w:name="_Toc29222"/>
      <w:bookmarkStart w:id="6" w:name="_Toc29459"/>
      <w:bookmarkStart w:id="7" w:name="_Toc24940"/>
      <w:bookmarkStart w:id="8" w:name="_Toc12068"/>
      <w:bookmarkStart w:id="9" w:name="_Toc6645"/>
      <w:bookmarkStart w:id="10" w:name="_Toc31467"/>
      <w:bookmarkStart w:id="11" w:name="_Toc31338"/>
      <w:bookmarkStart w:id="12" w:name="_Toc21624"/>
      <w:bookmarkStart w:id="13" w:name="_Toc20493"/>
      <w:bookmarkStart w:id="14" w:name="_Toc4332"/>
      <w:bookmarkStart w:id="15" w:name="_Toc13953"/>
      <w:r>
        <w:rPr>
          <w:rFonts w:hint="eastAsia"/>
          <w:color w:val="auto"/>
          <w:sz w:val="28"/>
          <w:szCs w:val="28"/>
          <w:highlight w:val="none"/>
        </w:rPr>
        <w:t>第一章 采购</w:t>
      </w:r>
      <w:bookmarkEnd w:id="1"/>
      <w:bookmarkEnd w:id="2"/>
      <w:bookmarkEnd w:id="3"/>
      <w:r>
        <w:rPr>
          <w:rFonts w:hint="eastAsia"/>
          <w:color w:val="auto"/>
          <w:sz w:val="28"/>
          <w:szCs w:val="28"/>
          <w:highlight w:val="none"/>
        </w:rPr>
        <w:t>公告</w:t>
      </w:r>
      <w:bookmarkEnd w:id="4"/>
      <w:bookmarkEnd w:id="5"/>
      <w:bookmarkEnd w:id="6"/>
      <w:bookmarkEnd w:id="7"/>
      <w:bookmarkEnd w:id="8"/>
      <w:bookmarkEnd w:id="9"/>
      <w:bookmarkEnd w:id="10"/>
      <w:bookmarkEnd w:id="11"/>
      <w:bookmarkEnd w:id="12"/>
      <w:bookmarkEnd w:id="13"/>
      <w:bookmarkEnd w:id="14"/>
      <w:bookmarkEnd w:id="15"/>
    </w:p>
    <w:p w14:paraId="5C7C3E83">
      <w:pPr>
        <w:spacing w:line="360" w:lineRule="auto"/>
        <w:ind w:firstLine="354" w:firstLineChars="147"/>
        <w:rPr>
          <w:rFonts w:ascii="黑体" w:hAnsi="黑体" w:eastAsia="黑体"/>
          <w:b/>
          <w:color w:val="auto"/>
          <w:sz w:val="24"/>
          <w:highlight w:val="none"/>
        </w:rPr>
      </w:pPr>
      <w:bookmarkStart w:id="16" w:name="_Toc28359089"/>
      <w:bookmarkStart w:id="17" w:name="_Toc71365905"/>
      <w:bookmarkStart w:id="18" w:name="_Toc28359012"/>
      <w:bookmarkStart w:id="19" w:name="_Toc44229878"/>
      <w:bookmarkStart w:id="20" w:name="_Toc35393629"/>
      <w:bookmarkStart w:id="21" w:name="_Hlk37430271"/>
      <w:bookmarkStart w:id="22" w:name="_Toc35393798"/>
    </w:p>
    <w:bookmarkEnd w:id="16"/>
    <w:bookmarkEnd w:id="17"/>
    <w:bookmarkEnd w:id="18"/>
    <w:bookmarkEnd w:id="19"/>
    <w:bookmarkEnd w:id="20"/>
    <w:bookmarkEnd w:id="21"/>
    <w:bookmarkEnd w:id="22"/>
    <w:p w14:paraId="6BC8BEB5">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一、项目基本情况</w:t>
      </w:r>
    </w:p>
    <w:p w14:paraId="6DA939BB">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1.采购项目名称：红水河（曹渡河口至桥巩）三级航道工程船舶操纵仿真模拟试验</w:t>
      </w:r>
      <w:r>
        <w:rPr>
          <w:rFonts w:hint="eastAsia" w:ascii="宋体" w:hAnsi="宋体" w:cs="宋体"/>
          <w:bCs/>
          <w:color w:val="auto"/>
          <w:sz w:val="21"/>
          <w:szCs w:val="21"/>
          <w:highlight w:val="none"/>
          <w:lang w:eastAsia="zh-CN"/>
        </w:rPr>
        <w:t>专题研究服务</w:t>
      </w:r>
    </w:p>
    <w:p w14:paraId="4DC36C8C">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2.项目地点：</w:t>
      </w:r>
      <w:r>
        <w:rPr>
          <w:rFonts w:hint="eastAsia" w:ascii="宋体" w:hAnsi="宋体" w:cs="宋体"/>
          <w:bCs/>
          <w:color w:val="auto"/>
          <w:sz w:val="21"/>
          <w:szCs w:val="21"/>
          <w:highlight w:val="none"/>
          <w:lang w:eastAsia="zh-CN"/>
        </w:rPr>
        <w:t>红水河（曹渡河口至桥巩）河段</w:t>
      </w:r>
    </w:p>
    <w:p w14:paraId="133F3696">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3.项目概况：</w:t>
      </w:r>
      <w:bookmarkStart w:id="23" w:name="OLE_LINK5"/>
    </w:p>
    <w:bookmarkEnd w:id="23"/>
    <w:p w14:paraId="69A8EEBC">
      <w:pPr>
        <w:spacing w:line="360" w:lineRule="auto"/>
        <w:ind w:firstLine="420" w:firstLineChars="200"/>
        <w:jc w:val="left"/>
        <w:rPr>
          <w:rFonts w:hint="eastAsia" w:ascii="宋体" w:hAnsi="宋体" w:cs="宋体"/>
          <w:bCs/>
          <w:color w:val="auto"/>
          <w:sz w:val="21"/>
          <w:szCs w:val="21"/>
          <w:highlight w:val="none"/>
        </w:rPr>
      </w:pPr>
      <w:r>
        <w:rPr>
          <w:rFonts w:hint="eastAsia" w:ascii="宋体" w:hAnsi="宋体" w:cs="宋体"/>
          <w:bCs/>
          <w:color w:val="auto"/>
          <w:szCs w:val="21"/>
          <w:highlight w:val="none"/>
        </w:rPr>
        <w:t>红水河（曹渡河口至桥巩）三级航道工程船舶操纵仿真模拟试验专题</w:t>
      </w:r>
      <w:r>
        <w:rPr>
          <w:rFonts w:hint="eastAsia" w:ascii="宋体" w:hAnsi="宋体" w:cs="宋体"/>
          <w:bCs/>
          <w:color w:val="auto"/>
          <w:szCs w:val="21"/>
          <w:highlight w:val="none"/>
          <w:lang w:eastAsia="zh-CN"/>
        </w:rPr>
        <w:t>研究</w:t>
      </w:r>
      <w:r>
        <w:rPr>
          <w:rFonts w:hint="eastAsia" w:ascii="宋体" w:hAnsi="宋体" w:cs="宋体"/>
          <w:bCs/>
          <w:color w:val="auto"/>
          <w:szCs w:val="21"/>
          <w:highlight w:val="none"/>
        </w:rPr>
        <w:t>，包括重点滩段及典型桥区船舶操纵仿真模拟试验</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编制《红水河（曹渡河口至桥巩）三级航道工程船舶操纵仿真模拟试验专题</w:t>
      </w:r>
      <w:r>
        <w:rPr>
          <w:rFonts w:hint="eastAsia" w:ascii="宋体" w:hAnsi="宋体" w:cs="宋体"/>
          <w:bCs/>
          <w:color w:val="auto"/>
          <w:szCs w:val="21"/>
          <w:highlight w:val="none"/>
          <w:lang w:eastAsia="zh-CN"/>
        </w:rPr>
        <w:t>研究报告</w:t>
      </w:r>
      <w:r>
        <w:rPr>
          <w:rFonts w:hint="eastAsia" w:ascii="宋体" w:hAnsi="宋体" w:cs="宋体"/>
          <w:bCs/>
          <w:color w:val="auto"/>
          <w:szCs w:val="21"/>
          <w:highlight w:val="none"/>
        </w:rPr>
        <w:t>》。</w:t>
      </w:r>
    </w:p>
    <w:p w14:paraId="1A2D988C">
      <w:pPr>
        <w:spacing w:line="360" w:lineRule="auto"/>
        <w:ind w:firstLine="420" w:firstLineChars="200"/>
        <w:jc w:val="left"/>
        <w:rPr>
          <w:rFonts w:ascii="仿宋_GB2312" w:hAnsi="仿宋" w:eastAsia="仿宋_GB2312" w:cs="宋体"/>
          <w:bCs/>
          <w:color w:val="auto"/>
          <w:kern w:val="0"/>
          <w:sz w:val="21"/>
          <w:szCs w:val="21"/>
          <w:highlight w:val="none"/>
        </w:rPr>
      </w:pPr>
      <w:r>
        <w:rPr>
          <w:rFonts w:hint="eastAsia" w:ascii="宋体" w:hAnsi="宋体" w:cs="宋体"/>
          <w:bCs/>
          <w:color w:val="auto"/>
          <w:sz w:val="21"/>
          <w:szCs w:val="21"/>
          <w:highlight w:val="none"/>
        </w:rPr>
        <w:t>4.采购最高限价：</w:t>
      </w:r>
      <w:r>
        <w:rPr>
          <w:rFonts w:hint="eastAsia" w:ascii="宋体" w:hAnsi="宋体" w:cs="宋体"/>
          <w:bCs/>
          <w:color w:val="auto"/>
          <w:sz w:val="21"/>
          <w:szCs w:val="21"/>
          <w:highlight w:val="none"/>
          <w:lang w:val="en-US" w:eastAsia="zh-CN"/>
        </w:rPr>
        <w:t>95</w:t>
      </w:r>
      <w:r>
        <w:rPr>
          <w:rFonts w:hint="eastAsia" w:ascii="宋体" w:hAnsi="宋体" w:cs="宋体"/>
          <w:bCs/>
          <w:color w:val="auto"/>
          <w:sz w:val="21"/>
          <w:szCs w:val="21"/>
          <w:highlight w:val="none"/>
        </w:rPr>
        <w:t>万元，报价超过</w:t>
      </w:r>
      <w:r>
        <w:rPr>
          <w:rFonts w:hint="eastAsia" w:ascii="宋体" w:hAnsi="宋体" w:cs="宋体"/>
          <w:bCs/>
          <w:color w:val="auto"/>
          <w:sz w:val="21"/>
          <w:szCs w:val="21"/>
          <w:highlight w:val="none"/>
          <w:lang w:eastAsia="zh-CN"/>
        </w:rPr>
        <w:t>最高限价</w:t>
      </w:r>
      <w:r>
        <w:rPr>
          <w:rFonts w:hint="eastAsia" w:ascii="宋体" w:hAnsi="宋体" w:cs="宋体"/>
          <w:bCs/>
          <w:color w:val="auto"/>
          <w:sz w:val="21"/>
          <w:szCs w:val="21"/>
          <w:highlight w:val="none"/>
        </w:rPr>
        <w:t>的响应文件为无效。</w:t>
      </w:r>
    </w:p>
    <w:p w14:paraId="35694049">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5</w:t>
      </w:r>
      <w:r>
        <w:rPr>
          <w:rFonts w:hint="eastAsia" w:ascii="宋体" w:hAnsi="宋体" w:cs="宋体"/>
          <w:bCs/>
          <w:color w:val="auto"/>
          <w:sz w:val="21"/>
          <w:szCs w:val="21"/>
          <w:highlight w:val="none"/>
        </w:rPr>
        <w:t>.采购方式：自行采购。</w:t>
      </w:r>
    </w:p>
    <w:p w14:paraId="5BC2BAB2">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6</w:t>
      </w:r>
      <w:r>
        <w:rPr>
          <w:rFonts w:hint="eastAsia" w:ascii="宋体" w:hAnsi="宋体" w:cs="宋体"/>
          <w:bCs/>
          <w:color w:val="auto"/>
          <w:sz w:val="21"/>
          <w:szCs w:val="21"/>
          <w:highlight w:val="none"/>
        </w:rPr>
        <w:t xml:space="preserve">.采购需求： </w:t>
      </w:r>
    </w:p>
    <w:tbl>
      <w:tblPr>
        <w:tblStyle w:val="2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57" w:type="dxa"/>
          <w:left w:w="108" w:type="dxa"/>
          <w:bottom w:w="57" w:type="dxa"/>
          <w:right w:w="108" w:type="dxa"/>
        </w:tblCellMar>
      </w:tblPr>
      <w:tblGrid>
        <w:gridCol w:w="776"/>
        <w:gridCol w:w="1746"/>
        <w:gridCol w:w="849"/>
        <w:gridCol w:w="5384"/>
      </w:tblGrid>
      <w:tr w14:paraId="4A0E0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7" w:type="dxa"/>
            <w:left w:w="108" w:type="dxa"/>
            <w:bottom w:w="57" w:type="dxa"/>
            <w:right w:w="108" w:type="dxa"/>
          </w:tblCellMar>
        </w:tblPrEx>
        <w:trPr>
          <w:cantSplit/>
          <w:jc w:val="center"/>
        </w:trPr>
        <w:tc>
          <w:tcPr>
            <w:tcW w:w="776" w:type="dxa"/>
            <w:tcBorders>
              <w:top w:val="single" w:color="auto" w:sz="4" w:space="0"/>
              <w:left w:val="single" w:color="auto" w:sz="4" w:space="0"/>
              <w:bottom w:val="single" w:color="auto" w:sz="4" w:space="0"/>
              <w:right w:val="single" w:color="auto" w:sz="4" w:space="0"/>
            </w:tcBorders>
            <w:vAlign w:val="center"/>
          </w:tcPr>
          <w:p w14:paraId="787FAD46">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7476B381">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标的名称</w:t>
            </w:r>
          </w:p>
        </w:tc>
        <w:tc>
          <w:tcPr>
            <w:tcW w:w="849" w:type="dxa"/>
            <w:tcBorders>
              <w:top w:val="single" w:color="auto" w:sz="4" w:space="0"/>
              <w:left w:val="single" w:color="auto" w:sz="4" w:space="0"/>
              <w:bottom w:val="single" w:color="auto" w:sz="4" w:space="0"/>
              <w:right w:val="single" w:color="auto" w:sz="4" w:space="0"/>
            </w:tcBorders>
            <w:vAlign w:val="center"/>
          </w:tcPr>
          <w:p w14:paraId="064C3ACF">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数量及</w:t>
            </w:r>
          </w:p>
          <w:p w14:paraId="2046C785">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5384" w:type="dxa"/>
            <w:tcBorders>
              <w:top w:val="single" w:color="auto" w:sz="4" w:space="0"/>
              <w:left w:val="single" w:color="auto" w:sz="4" w:space="0"/>
              <w:bottom w:val="single" w:color="auto" w:sz="4" w:space="0"/>
              <w:right w:val="single" w:color="auto" w:sz="4" w:space="0"/>
            </w:tcBorders>
            <w:vAlign w:val="center"/>
          </w:tcPr>
          <w:p w14:paraId="054D5668">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简要服务要求或者技术需求</w:t>
            </w:r>
          </w:p>
        </w:tc>
      </w:tr>
      <w:tr w14:paraId="4EFA5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7" w:type="dxa"/>
            <w:left w:w="108" w:type="dxa"/>
            <w:bottom w:w="57" w:type="dxa"/>
            <w:right w:w="108" w:type="dxa"/>
          </w:tblCellMar>
        </w:tblPrEx>
        <w:trPr>
          <w:cantSplit/>
          <w:jc w:val="center"/>
        </w:trPr>
        <w:tc>
          <w:tcPr>
            <w:tcW w:w="776" w:type="dxa"/>
            <w:tcBorders>
              <w:top w:val="single" w:color="auto" w:sz="4" w:space="0"/>
              <w:left w:val="single" w:color="auto" w:sz="4" w:space="0"/>
              <w:bottom w:val="single" w:color="auto" w:sz="4" w:space="0"/>
              <w:right w:val="single" w:color="auto" w:sz="4" w:space="0"/>
            </w:tcBorders>
            <w:vAlign w:val="center"/>
          </w:tcPr>
          <w:p w14:paraId="0699683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0843B70F">
            <w:pPr>
              <w:spacing w:line="360" w:lineRule="auto"/>
              <w:ind w:firstLine="420" w:firstLineChars="200"/>
              <w:rPr>
                <w:rFonts w:ascii="宋体" w:hAnsi="宋体"/>
                <w:color w:val="auto"/>
                <w:sz w:val="21"/>
                <w:szCs w:val="21"/>
                <w:highlight w:val="none"/>
              </w:rPr>
            </w:pPr>
            <w:r>
              <w:rPr>
                <w:rFonts w:hint="eastAsia" w:ascii="宋体" w:hAnsi="宋体" w:cs="宋体"/>
                <w:bCs/>
                <w:color w:val="auto"/>
                <w:sz w:val="21"/>
                <w:szCs w:val="21"/>
                <w:highlight w:val="none"/>
              </w:rPr>
              <w:t>红水河（曹渡河口至桥巩）三级航道工程船舶操纵仿真模拟试验</w:t>
            </w:r>
            <w:r>
              <w:rPr>
                <w:rFonts w:hint="eastAsia" w:ascii="宋体" w:hAnsi="宋体" w:cs="宋体"/>
                <w:bCs/>
                <w:color w:val="auto"/>
                <w:sz w:val="21"/>
                <w:szCs w:val="21"/>
                <w:highlight w:val="none"/>
                <w:lang w:eastAsia="zh-CN"/>
              </w:rPr>
              <w:t>专题研究服务</w:t>
            </w:r>
          </w:p>
        </w:tc>
        <w:tc>
          <w:tcPr>
            <w:tcW w:w="849" w:type="dxa"/>
            <w:tcBorders>
              <w:top w:val="single" w:color="auto" w:sz="4" w:space="0"/>
              <w:left w:val="single" w:color="auto" w:sz="4" w:space="0"/>
              <w:bottom w:val="single" w:color="auto" w:sz="4" w:space="0"/>
              <w:right w:val="single" w:color="auto" w:sz="4" w:space="0"/>
            </w:tcBorders>
            <w:vAlign w:val="center"/>
          </w:tcPr>
          <w:p w14:paraId="66D2F492">
            <w:pPr>
              <w:keepNext/>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1项</w:t>
            </w:r>
          </w:p>
        </w:tc>
        <w:tc>
          <w:tcPr>
            <w:tcW w:w="5384" w:type="dxa"/>
            <w:tcBorders>
              <w:top w:val="single" w:color="auto" w:sz="4" w:space="0"/>
              <w:left w:val="single" w:color="auto" w:sz="4" w:space="0"/>
              <w:bottom w:val="single" w:color="auto" w:sz="4" w:space="0"/>
              <w:right w:val="single" w:color="auto" w:sz="4" w:space="0"/>
            </w:tcBorders>
            <w:vAlign w:val="center"/>
          </w:tcPr>
          <w:p w14:paraId="314C0392">
            <w:pPr>
              <w:pStyle w:val="6"/>
              <w:ind w:firstLine="420" w:firstLineChars="200"/>
              <w:rPr>
                <w:rFonts w:hint="default"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开展红水河（曹渡河口至桥巩）三级航道工程船舶操纵仿真模拟试验专题研究，包括重点滩段及典型桥区船舶操纵仿真模拟试验，编制《红水河（曹渡河口至桥巩）三级航道工程船舶操纵仿真模拟试验专题研究报告》。</w:t>
            </w:r>
          </w:p>
          <w:p w14:paraId="67B26BCF">
            <w:pPr>
              <w:pStyle w:val="6"/>
              <w:ind w:firstLine="420" w:firstLineChars="200"/>
              <w:rPr>
                <w:color w:val="auto"/>
                <w:sz w:val="21"/>
                <w:szCs w:val="21"/>
                <w:highlight w:val="none"/>
              </w:rPr>
            </w:pPr>
            <w:r>
              <w:rPr>
                <w:rFonts w:hint="eastAsia"/>
                <w:b w:val="0"/>
                <w:bCs w:val="0"/>
                <w:color w:val="auto"/>
                <w:sz w:val="21"/>
                <w:szCs w:val="21"/>
                <w:highlight w:val="none"/>
              </w:rPr>
              <w:t>详见</w:t>
            </w:r>
            <w:r>
              <w:rPr>
                <w:rFonts w:hint="eastAsia"/>
                <w:b w:val="0"/>
                <w:bCs w:val="0"/>
                <w:color w:val="auto"/>
                <w:sz w:val="21"/>
                <w:szCs w:val="21"/>
                <w:highlight w:val="none"/>
                <w:lang w:eastAsia="zh-CN"/>
              </w:rPr>
              <w:t>采购文件第三章</w:t>
            </w:r>
            <w:r>
              <w:rPr>
                <w:rFonts w:hint="eastAsia"/>
                <w:b w:val="0"/>
                <w:bCs w:val="0"/>
                <w:color w:val="auto"/>
                <w:sz w:val="21"/>
                <w:szCs w:val="21"/>
                <w:highlight w:val="none"/>
              </w:rPr>
              <w:t>采购需求</w:t>
            </w:r>
            <w:r>
              <w:rPr>
                <w:rFonts w:hint="eastAsia" w:ascii="宋体" w:hAnsi="宋体"/>
                <w:b w:val="0"/>
                <w:bCs w:val="0"/>
                <w:color w:val="auto"/>
                <w:sz w:val="21"/>
                <w:szCs w:val="21"/>
                <w:highlight w:val="none"/>
              </w:rPr>
              <w:t>。</w:t>
            </w:r>
          </w:p>
        </w:tc>
      </w:tr>
    </w:tbl>
    <w:p w14:paraId="475C4B6F">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7</w:t>
      </w:r>
      <w:r>
        <w:rPr>
          <w:rFonts w:hint="eastAsia" w:ascii="宋体" w:hAnsi="宋体" w:cs="宋体"/>
          <w:bCs/>
          <w:color w:val="auto"/>
          <w:sz w:val="21"/>
          <w:szCs w:val="21"/>
          <w:highlight w:val="none"/>
        </w:rPr>
        <w:t>.合同履行期限：</w:t>
      </w:r>
    </w:p>
    <w:p w14:paraId="72308102">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工期：</w:t>
      </w:r>
      <w:r>
        <w:rPr>
          <w:rFonts w:hint="eastAsia" w:ascii="宋体" w:hAnsi="宋体" w:cs="宋体"/>
          <w:bCs/>
          <w:color w:val="auto"/>
          <w:sz w:val="21"/>
          <w:szCs w:val="21"/>
          <w:highlight w:val="none"/>
          <w:lang w:val="en-US" w:eastAsia="zh-CN"/>
        </w:rPr>
        <w:t>80日历天</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具体如下：合同签订后60日历天内提交专题研究报告送审稿，并在专题研究报告评审会后20日内提交最终成果。</w:t>
      </w:r>
    </w:p>
    <w:p w14:paraId="7DA62F44">
      <w:pPr>
        <w:spacing w:line="360" w:lineRule="auto"/>
        <w:ind w:firstLine="420" w:firstLineChars="200"/>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eastAsia="zh-CN"/>
        </w:rPr>
        <w:t>成果评审验收时间另行计算，不计入总工期。</w:t>
      </w:r>
    </w:p>
    <w:p w14:paraId="5F624F58">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8</w:t>
      </w:r>
      <w:r>
        <w:rPr>
          <w:rFonts w:hint="eastAsia" w:ascii="宋体" w:hAnsi="宋体" w:cs="宋体"/>
          <w:bCs/>
          <w:color w:val="auto"/>
          <w:sz w:val="21"/>
          <w:szCs w:val="21"/>
          <w:highlight w:val="none"/>
        </w:rPr>
        <w:t>.本次采购</w:t>
      </w:r>
      <w:r>
        <w:rPr>
          <w:rFonts w:hint="eastAsia" w:ascii="宋体" w:hAnsi="宋体" w:cs="宋体"/>
          <w:bCs/>
          <w:color w:val="auto"/>
          <w:sz w:val="21"/>
          <w:szCs w:val="21"/>
          <w:highlight w:val="none"/>
          <w:lang w:eastAsia="zh-CN"/>
        </w:rPr>
        <w:t>不</w:t>
      </w:r>
      <w:r>
        <w:rPr>
          <w:rFonts w:hint="eastAsia" w:ascii="宋体" w:hAnsi="宋体" w:cs="宋体"/>
          <w:bCs/>
          <w:color w:val="auto"/>
          <w:sz w:val="21"/>
          <w:szCs w:val="21"/>
          <w:highlight w:val="none"/>
        </w:rPr>
        <w:t>接受联合体投标。</w:t>
      </w:r>
    </w:p>
    <w:p w14:paraId="1305A220">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二、供应商的资格条件</w:t>
      </w:r>
    </w:p>
    <w:p w14:paraId="48187933">
      <w:pPr>
        <w:spacing w:line="360" w:lineRule="auto"/>
        <w:ind w:firstLine="420" w:firstLineChars="200"/>
        <w:rPr>
          <w:rFonts w:ascii="宋体" w:hAnsi="宋体" w:cs="宋体"/>
          <w:bCs/>
          <w:color w:val="auto"/>
          <w:sz w:val="21"/>
          <w:szCs w:val="21"/>
          <w:highlight w:val="none"/>
        </w:rPr>
      </w:pPr>
      <w:r>
        <w:rPr>
          <w:rFonts w:hint="eastAsia" w:ascii="宋体" w:hAnsi="宋体" w:cs="宋体"/>
          <w:color w:val="auto"/>
          <w:sz w:val="21"/>
          <w:szCs w:val="21"/>
          <w:highlight w:val="none"/>
          <w:lang w:bidi="ar"/>
        </w:rPr>
        <w:t>1.具备国内独立法人资格。</w:t>
      </w:r>
    </w:p>
    <w:p w14:paraId="0967A24E">
      <w:pPr>
        <w:spacing w:line="360" w:lineRule="auto"/>
        <w:ind w:firstLine="420" w:firstLineChars="200"/>
        <w:rPr>
          <w:rFonts w:ascii="宋体" w:hAnsi="宋体" w:cs="宋体"/>
          <w:bCs/>
          <w:color w:val="auto"/>
          <w:sz w:val="21"/>
          <w:szCs w:val="21"/>
          <w:highlight w:val="none"/>
        </w:rPr>
      </w:pPr>
      <w:r>
        <w:rPr>
          <w:rFonts w:ascii="宋体" w:hAnsi="宋体" w:cs="宋体"/>
          <w:color w:val="auto"/>
          <w:sz w:val="21"/>
          <w:szCs w:val="21"/>
          <w:highlight w:val="none"/>
          <w:lang w:bidi="ar"/>
        </w:rPr>
        <w:t>2</w:t>
      </w:r>
      <w:r>
        <w:rPr>
          <w:rFonts w:hint="eastAsia" w:ascii="宋体" w:hAnsi="宋体" w:cs="宋体"/>
          <w:color w:val="auto"/>
          <w:sz w:val="21"/>
          <w:szCs w:val="21"/>
          <w:highlight w:val="none"/>
          <w:lang w:bidi="ar"/>
        </w:rPr>
        <w:t>.业绩要求：</w:t>
      </w:r>
    </w:p>
    <w:p w14:paraId="37A11A1B">
      <w:pPr>
        <w:spacing w:line="360" w:lineRule="auto"/>
        <w:ind w:firstLine="420" w:firstLineChars="200"/>
        <w:rPr>
          <w:rFonts w:ascii="宋体" w:hAnsi="宋体" w:cs="宋体"/>
          <w:color w:val="auto"/>
          <w:sz w:val="21"/>
          <w:szCs w:val="21"/>
          <w:highlight w:val="none"/>
          <w:lang w:bidi="ar"/>
        </w:rPr>
      </w:pPr>
      <w:r>
        <w:rPr>
          <w:rFonts w:hint="eastAsia" w:ascii="宋体" w:hAnsi="宋体" w:cs="宋体"/>
          <w:bCs/>
          <w:color w:val="auto"/>
          <w:sz w:val="21"/>
          <w:szCs w:val="21"/>
          <w:highlight w:val="none"/>
        </w:rPr>
        <w:t>自</w:t>
      </w:r>
      <w:r>
        <w:rPr>
          <w:rFonts w:hint="eastAsia" w:ascii="宋体" w:hAnsi="宋体" w:cs="宋体"/>
          <w:bCs/>
          <w:color w:val="auto"/>
          <w:sz w:val="21"/>
          <w:szCs w:val="21"/>
          <w:highlight w:val="none"/>
          <w:lang w:eastAsia="zh-CN"/>
        </w:rPr>
        <w:t>2021年1月</w:t>
      </w:r>
      <w:r>
        <w:rPr>
          <w:rFonts w:hint="eastAsia" w:ascii="宋体" w:hAnsi="宋体" w:cs="宋体"/>
          <w:bCs/>
          <w:color w:val="auto"/>
          <w:sz w:val="21"/>
          <w:szCs w:val="21"/>
          <w:highlight w:val="none"/>
        </w:rPr>
        <w:t>1日起至投标截止时间前，</w:t>
      </w:r>
      <w:r>
        <w:rPr>
          <w:rFonts w:hint="eastAsia" w:ascii="宋体" w:hAnsi="宋体" w:cs="宋体"/>
          <w:bCs/>
          <w:color w:val="auto"/>
          <w:sz w:val="21"/>
          <w:szCs w:val="21"/>
          <w:highlight w:val="none"/>
          <w:lang w:eastAsia="zh-CN"/>
        </w:rPr>
        <w:t>供应商</w:t>
      </w:r>
      <w:r>
        <w:rPr>
          <w:rFonts w:hint="eastAsia" w:ascii="宋体" w:hAnsi="宋体" w:cs="宋体"/>
          <w:bCs/>
          <w:color w:val="auto"/>
          <w:sz w:val="21"/>
          <w:szCs w:val="21"/>
          <w:highlight w:val="none"/>
        </w:rPr>
        <w:t>有</w:t>
      </w:r>
      <w:r>
        <w:rPr>
          <w:rFonts w:ascii="宋体" w:hAnsi="宋体" w:cs="宋体"/>
          <w:bCs/>
          <w:color w:val="auto"/>
          <w:sz w:val="21"/>
          <w:szCs w:val="21"/>
          <w:highlight w:val="none"/>
        </w:rPr>
        <w:t>至少1个独立</w:t>
      </w:r>
      <w:r>
        <w:rPr>
          <w:rFonts w:hint="eastAsia" w:ascii="宋体" w:hAnsi="宋体" w:cs="宋体"/>
          <w:bCs/>
          <w:color w:val="auto"/>
          <w:sz w:val="21"/>
          <w:szCs w:val="21"/>
          <w:highlight w:val="none"/>
        </w:rPr>
        <w:t>承担内河航道或内河大桥船舶操纵仿真模拟</w:t>
      </w:r>
      <w:r>
        <w:rPr>
          <w:rFonts w:ascii="宋体" w:hAnsi="宋体" w:cs="宋体"/>
          <w:bCs/>
          <w:color w:val="auto"/>
          <w:sz w:val="21"/>
          <w:szCs w:val="21"/>
          <w:highlight w:val="none"/>
        </w:rPr>
        <w:t>研究方面的项目业绩</w:t>
      </w:r>
      <w:r>
        <w:rPr>
          <w:rFonts w:hint="eastAsia" w:ascii="宋体" w:hAnsi="宋体" w:cs="宋体"/>
          <w:bCs/>
          <w:color w:val="auto"/>
          <w:sz w:val="21"/>
          <w:szCs w:val="21"/>
          <w:highlight w:val="none"/>
        </w:rPr>
        <w:t>（以</w:t>
      </w:r>
      <w:r>
        <w:rPr>
          <w:rFonts w:hint="eastAsia" w:ascii="宋体" w:hAnsi="宋体" w:cs="宋体"/>
          <w:bCs/>
          <w:color w:val="auto"/>
          <w:sz w:val="21"/>
          <w:szCs w:val="21"/>
          <w:highlight w:val="none"/>
          <w:lang w:eastAsia="zh-CN"/>
        </w:rPr>
        <w:t>成果评审验收</w:t>
      </w:r>
      <w:r>
        <w:rPr>
          <w:rFonts w:hint="eastAsia" w:ascii="宋体" w:hAnsi="宋体" w:cs="宋体"/>
          <w:bCs/>
          <w:color w:val="auto"/>
          <w:sz w:val="21"/>
          <w:szCs w:val="21"/>
          <w:highlight w:val="none"/>
        </w:rPr>
        <w:t>时间为准，提供业绩合同或中标通知书）。</w:t>
      </w:r>
    </w:p>
    <w:p w14:paraId="57ED7B2C">
      <w:pPr>
        <w:spacing w:line="360" w:lineRule="auto"/>
        <w:ind w:firstLine="420" w:firstLineChars="200"/>
        <w:rPr>
          <w:rFonts w:ascii="宋体" w:hAnsi="宋体" w:cs="宋体"/>
          <w:color w:val="auto"/>
          <w:sz w:val="21"/>
          <w:szCs w:val="21"/>
          <w:highlight w:val="none"/>
          <w:lang w:bidi="ar"/>
        </w:rPr>
      </w:pPr>
      <w:r>
        <w:rPr>
          <w:rFonts w:hint="eastAsia" w:ascii="宋体" w:hAnsi="宋体" w:cs="宋体"/>
          <w:bCs/>
          <w:color w:val="auto"/>
          <w:sz w:val="21"/>
          <w:szCs w:val="21"/>
          <w:highlight w:val="none"/>
          <w:lang w:val="en-US" w:eastAsia="zh-CN"/>
        </w:rPr>
        <w:t>3</w:t>
      </w:r>
      <w:r>
        <w:rPr>
          <w:rFonts w:hint="eastAsia" w:ascii="宋体" w:hAnsi="宋体" w:cs="宋体"/>
          <w:bCs/>
          <w:color w:val="auto"/>
          <w:sz w:val="21"/>
          <w:szCs w:val="21"/>
          <w:highlight w:val="none"/>
          <w:lang w:eastAsia="zh-CN"/>
        </w:rPr>
        <w:t>.</w:t>
      </w:r>
      <w:r>
        <w:rPr>
          <w:rFonts w:hint="eastAsia" w:ascii="宋体" w:hAnsi="宋体" w:cs="宋体"/>
          <w:color w:val="auto"/>
          <w:sz w:val="21"/>
          <w:szCs w:val="21"/>
          <w:highlight w:val="none"/>
          <w:lang w:bidi="ar"/>
        </w:rPr>
        <w:t>供应商参加本次采购活动前三年内，在经营活动中没有重大违法记录（重大违法记录，是指供应商因违法经营受到刑事处罚或者责令停产停业、吊销许可证或者执照等行政处罚）。由供应商提供书面声明。</w:t>
      </w:r>
    </w:p>
    <w:p w14:paraId="40E77A25">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4</w:t>
      </w:r>
      <w:r>
        <w:rPr>
          <w:rFonts w:hint="eastAsia" w:ascii="宋体" w:hAnsi="宋体" w:cs="宋体"/>
          <w:color w:val="auto"/>
          <w:sz w:val="21"/>
          <w:szCs w:val="21"/>
          <w:highlight w:val="none"/>
          <w:lang w:bidi="ar"/>
        </w:rPr>
        <w:t>.在“信用中国”网站(www.creditchina.gov.cn)、中国政府采购网(www.ccgp.gov.cn)等渠道未被列入失信被执行人、重大税收违法案件当事人名单、政府采购严重违法失信行为记录名单。由供应商提供</w:t>
      </w:r>
      <w:r>
        <w:rPr>
          <w:rFonts w:hint="eastAsia" w:ascii="宋体" w:hAnsi="宋体" w:cs="宋体"/>
          <w:color w:val="auto"/>
          <w:sz w:val="21"/>
          <w:szCs w:val="21"/>
          <w:highlight w:val="none"/>
          <w:lang w:eastAsia="zh-CN" w:bidi="ar"/>
        </w:rPr>
        <w:t>有关网站查询结果</w:t>
      </w:r>
      <w:r>
        <w:rPr>
          <w:rFonts w:hint="eastAsia" w:ascii="宋体" w:hAnsi="宋体" w:cs="宋体"/>
          <w:color w:val="auto"/>
          <w:sz w:val="21"/>
          <w:szCs w:val="21"/>
          <w:highlight w:val="none"/>
          <w:lang w:bidi="ar"/>
        </w:rPr>
        <w:t>。</w:t>
      </w:r>
    </w:p>
    <w:p w14:paraId="628BFC21">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三、获取采购文件</w:t>
      </w:r>
    </w:p>
    <w:p w14:paraId="6B04FD0D">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1.获取时间：自采购公告发布之日起，至响应文件递交截止时间</w:t>
      </w:r>
      <w:r>
        <w:rPr>
          <w:rFonts w:ascii="宋体" w:hAnsi="宋体" w:cs="宋体"/>
          <w:color w:val="auto"/>
          <w:sz w:val="21"/>
          <w:szCs w:val="21"/>
          <w:highlight w:val="none"/>
          <w:lang w:bidi="ar"/>
        </w:rPr>
        <w:t>。</w:t>
      </w:r>
    </w:p>
    <w:p w14:paraId="506DA505">
      <w:pPr>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2.获取地点：广西壮族自治区水运发展中心网站(http://www.gxghj.cn/)</w:t>
      </w:r>
      <w:r>
        <w:rPr>
          <w:rFonts w:hint="eastAsia" w:ascii="宋体" w:hAnsi="宋体" w:cs="宋体"/>
          <w:color w:val="auto"/>
          <w:sz w:val="21"/>
          <w:szCs w:val="21"/>
          <w:highlight w:val="none"/>
          <w:lang w:eastAsia="zh-CN" w:bidi="ar"/>
        </w:rPr>
        <w:t>。</w:t>
      </w:r>
    </w:p>
    <w:p w14:paraId="410342BD">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3.获取方式：网上下载。本项目不提供纸质文件，潜在供应商登录</w:t>
      </w:r>
      <w:r>
        <w:rPr>
          <w:rFonts w:hint="eastAsia" w:ascii="宋体" w:hAnsi="宋体" w:cs="宋体"/>
          <w:color w:val="auto"/>
          <w:sz w:val="21"/>
          <w:szCs w:val="21"/>
          <w:highlight w:val="none"/>
          <w:lang w:eastAsia="zh-CN" w:bidi="ar"/>
        </w:rPr>
        <w:t>广西壮族自治区水运发展中心</w:t>
      </w:r>
      <w:r>
        <w:rPr>
          <w:rFonts w:hint="eastAsia" w:ascii="宋体" w:hAnsi="宋体" w:cs="宋体"/>
          <w:color w:val="auto"/>
          <w:sz w:val="21"/>
          <w:szCs w:val="21"/>
          <w:highlight w:val="none"/>
          <w:lang w:bidi="ar"/>
        </w:rPr>
        <w:t>网站</w:t>
      </w:r>
      <w:r>
        <w:rPr>
          <w:rFonts w:ascii="宋体" w:hAnsi="宋体" w:cs="宋体"/>
          <w:color w:val="auto"/>
          <w:sz w:val="21"/>
          <w:szCs w:val="21"/>
          <w:highlight w:val="none"/>
          <w:lang w:bidi="ar"/>
        </w:rPr>
        <w:t>-进入“通知公告”应用，点击采购公告获取采购文件（采购方案）。</w:t>
      </w:r>
    </w:p>
    <w:p w14:paraId="6543276C">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四、响应文件递交</w:t>
      </w:r>
    </w:p>
    <w:p w14:paraId="54F98CD3">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1.响应文件形式及份数：纸质文件，一正一副共两份文件。</w:t>
      </w:r>
    </w:p>
    <w:p w14:paraId="1C2E7257">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2.响应文件递交地址：南宁市青秀区百花岭路6号</w:t>
      </w:r>
      <w:r>
        <w:rPr>
          <w:rFonts w:hint="eastAsia" w:ascii="宋体" w:hAnsi="宋体" w:cs="宋体"/>
          <w:color w:val="auto"/>
          <w:sz w:val="21"/>
          <w:szCs w:val="21"/>
          <w:highlight w:val="none"/>
          <w:lang w:eastAsia="zh-CN" w:bidi="ar"/>
        </w:rPr>
        <w:t>广西壮族自治区水运发展中心</w:t>
      </w:r>
      <w:r>
        <w:rPr>
          <w:rFonts w:hint="eastAsia" w:ascii="宋体" w:hAnsi="宋体" w:cs="宋体"/>
          <w:color w:val="auto"/>
          <w:sz w:val="21"/>
          <w:szCs w:val="21"/>
          <w:highlight w:val="none"/>
          <w:lang w:bidi="ar"/>
        </w:rPr>
        <w:t>425室。</w:t>
      </w:r>
    </w:p>
    <w:p w14:paraId="6D1B6036">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3.响应文件递交截止时间：</w:t>
      </w:r>
      <w:r>
        <w:rPr>
          <w:rFonts w:ascii="宋体" w:hAnsi="宋体" w:cs="宋体"/>
          <w:color w:val="auto"/>
          <w:sz w:val="21"/>
          <w:szCs w:val="21"/>
          <w:highlight w:val="none"/>
          <w:lang w:bidi="ar"/>
        </w:rPr>
        <w:t>202</w:t>
      </w:r>
      <w:r>
        <w:rPr>
          <w:rFonts w:hint="eastAsia" w:ascii="宋体" w:hAnsi="宋体" w:cs="宋体"/>
          <w:color w:val="auto"/>
          <w:sz w:val="21"/>
          <w:szCs w:val="21"/>
          <w:highlight w:val="none"/>
          <w:lang w:bidi="ar"/>
        </w:rPr>
        <w:t>6</w:t>
      </w:r>
      <w:r>
        <w:rPr>
          <w:rFonts w:ascii="宋体" w:hAnsi="宋体" w:cs="宋体"/>
          <w:color w:val="auto"/>
          <w:sz w:val="21"/>
          <w:szCs w:val="21"/>
          <w:highlight w:val="none"/>
          <w:lang w:bidi="ar"/>
        </w:rPr>
        <w:t>年</w:t>
      </w:r>
      <w:r>
        <w:rPr>
          <w:rFonts w:hint="eastAsia" w:ascii="宋体" w:hAnsi="宋体" w:cs="宋体"/>
          <w:color w:val="auto"/>
          <w:sz w:val="21"/>
          <w:szCs w:val="21"/>
          <w:highlight w:val="none"/>
          <w:lang w:val="en-US" w:eastAsia="zh-CN" w:bidi="ar"/>
        </w:rPr>
        <w:t>9</w:t>
      </w:r>
      <w:r>
        <w:rPr>
          <w:rFonts w:ascii="宋体" w:hAnsi="宋体" w:cs="宋体"/>
          <w:color w:val="auto"/>
          <w:sz w:val="21"/>
          <w:szCs w:val="21"/>
          <w:highlight w:val="none"/>
          <w:lang w:bidi="ar"/>
        </w:rPr>
        <w:t>月</w:t>
      </w:r>
      <w:r>
        <w:rPr>
          <w:rFonts w:hint="eastAsia" w:ascii="宋体" w:hAnsi="宋体" w:cs="宋体"/>
          <w:color w:val="auto"/>
          <w:sz w:val="21"/>
          <w:szCs w:val="21"/>
          <w:highlight w:val="none"/>
          <w:lang w:val="en-US" w:eastAsia="zh-CN" w:bidi="ar"/>
        </w:rPr>
        <w:t>17</w:t>
      </w:r>
      <w:r>
        <w:rPr>
          <w:rFonts w:ascii="宋体" w:hAnsi="宋体" w:cs="宋体"/>
          <w:color w:val="auto"/>
          <w:sz w:val="21"/>
          <w:szCs w:val="21"/>
          <w:highlight w:val="none"/>
          <w:lang w:bidi="ar"/>
        </w:rPr>
        <w:t>日1</w:t>
      </w:r>
      <w:r>
        <w:rPr>
          <w:rFonts w:hint="eastAsia" w:ascii="宋体" w:hAnsi="宋体" w:cs="宋体"/>
          <w:color w:val="auto"/>
          <w:sz w:val="21"/>
          <w:szCs w:val="21"/>
          <w:highlight w:val="none"/>
          <w:lang w:bidi="ar"/>
        </w:rPr>
        <w:t>0</w:t>
      </w:r>
      <w:r>
        <w:rPr>
          <w:rFonts w:ascii="宋体" w:hAnsi="宋体" w:cs="宋体"/>
          <w:color w:val="auto"/>
          <w:sz w:val="21"/>
          <w:szCs w:val="21"/>
          <w:highlight w:val="none"/>
          <w:lang w:bidi="ar"/>
        </w:rPr>
        <w:t>时00分</w:t>
      </w:r>
      <w:r>
        <w:rPr>
          <w:rFonts w:hint="eastAsia" w:ascii="宋体" w:hAnsi="宋体" w:cs="宋体"/>
          <w:color w:val="auto"/>
          <w:sz w:val="21"/>
          <w:szCs w:val="21"/>
          <w:highlight w:val="none"/>
          <w:lang w:bidi="ar"/>
        </w:rPr>
        <w:t>。</w:t>
      </w:r>
    </w:p>
    <w:p w14:paraId="0F83328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bidi="ar"/>
        </w:rPr>
        <w:t>至响应文件截止时间时，投标供应商不足三家的，另行发布延期公告；发布延期公告后，如投标供应商仍不足三家的，在已递交响应文件的供应商中按照评审规则评选。</w:t>
      </w:r>
    </w:p>
    <w:p w14:paraId="2AE5155A">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rPr>
        <w:t>4.</w:t>
      </w:r>
      <w:r>
        <w:rPr>
          <w:rFonts w:hint="eastAsia" w:ascii="宋体" w:hAnsi="宋体" w:cs="宋体"/>
          <w:color w:val="auto"/>
          <w:sz w:val="21"/>
          <w:szCs w:val="21"/>
          <w:highlight w:val="none"/>
          <w:lang w:bidi="ar"/>
        </w:rPr>
        <w:t>响应文件</w:t>
      </w:r>
      <w:r>
        <w:rPr>
          <w:rFonts w:ascii="宋体" w:hAnsi="宋体" w:cs="宋体"/>
          <w:color w:val="auto"/>
          <w:sz w:val="21"/>
          <w:szCs w:val="21"/>
          <w:highlight w:val="none"/>
        </w:rPr>
        <w:t>必须密封，否则</w:t>
      </w:r>
      <w:r>
        <w:rPr>
          <w:rFonts w:hint="eastAsia" w:ascii="宋体" w:hAnsi="宋体" w:cs="宋体"/>
          <w:color w:val="auto"/>
          <w:sz w:val="21"/>
          <w:szCs w:val="21"/>
          <w:highlight w:val="none"/>
        </w:rPr>
        <w:t>采购人予以拒收</w:t>
      </w:r>
      <w:r>
        <w:rPr>
          <w:rFonts w:ascii="宋体" w:hAnsi="宋体" w:cs="宋体"/>
          <w:color w:val="auto"/>
          <w:sz w:val="21"/>
          <w:szCs w:val="21"/>
          <w:highlight w:val="none"/>
        </w:rPr>
        <w:t>。</w:t>
      </w:r>
    </w:p>
    <w:p w14:paraId="38B5F9CA">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 xml:space="preserve">五、响应文件开启与评审 </w:t>
      </w:r>
    </w:p>
    <w:p w14:paraId="02DCF28E">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1.时间：</w:t>
      </w:r>
      <w:r>
        <w:rPr>
          <w:rFonts w:hint="eastAsia" w:ascii="宋体" w:hAnsi="宋体" w:cs="宋体"/>
          <w:color w:val="auto"/>
          <w:sz w:val="21"/>
          <w:szCs w:val="21"/>
          <w:highlight w:val="none"/>
        </w:rPr>
        <w:t>响应文件递交截止后的5个工作日内完成</w:t>
      </w:r>
    </w:p>
    <w:p w14:paraId="6C9FCD9C">
      <w:pPr>
        <w:spacing w:line="360" w:lineRule="auto"/>
        <w:ind w:firstLine="420" w:firstLineChars="200"/>
        <w:rPr>
          <w:rFonts w:hint="eastAsia" w:ascii="宋体" w:hAnsi="宋体" w:eastAsia="宋体" w:cs="宋体"/>
          <w:color w:val="auto"/>
          <w:sz w:val="21"/>
          <w:szCs w:val="21"/>
          <w:highlight w:val="none"/>
          <w:lang w:eastAsia="zh-CN" w:bidi="ar"/>
        </w:rPr>
      </w:pPr>
      <w:r>
        <w:rPr>
          <w:rFonts w:ascii="宋体" w:hAnsi="宋体" w:cs="宋体"/>
          <w:color w:val="auto"/>
          <w:sz w:val="21"/>
          <w:szCs w:val="21"/>
          <w:highlight w:val="none"/>
        </w:rPr>
        <w:t>2.地点：</w:t>
      </w:r>
      <w:r>
        <w:rPr>
          <w:rFonts w:hint="eastAsia" w:ascii="宋体" w:hAnsi="宋体" w:cs="宋体"/>
          <w:color w:val="auto"/>
          <w:sz w:val="21"/>
          <w:szCs w:val="21"/>
          <w:highlight w:val="none"/>
          <w:lang w:eastAsia="zh-CN" w:bidi="ar"/>
        </w:rPr>
        <w:t>广西壮族自治区水运发展中心</w:t>
      </w:r>
    </w:p>
    <w:p w14:paraId="59B95D8E">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3.不邀请供应商参加响应文件开启。</w:t>
      </w:r>
    </w:p>
    <w:p w14:paraId="5FE6BD03">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六、联系</w:t>
      </w:r>
      <w:r>
        <w:rPr>
          <w:rFonts w:ascii="黑体" w:hAnsi="黑体" w:eastAsia="黑体"/>
          <w:b/>
          <w:color w:val="auto"/>
          <w:sz w:val="21"/>
          <w:szCs w:val="21"/>
          <w:highlight w:val="none"/>
        </w:rPr>
        <w:t>方式</w:t>
      </w:r>
    </w:p>
    <w:p w14:paraId="546F92BE">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联系人：苏工 联系电话：0771-2841511。</w:t>
      </w:r>
    </w:p>
    <w:p w14:paraId="2347C43E">
      <w:pPr>
        <w:spacing w:line="360" w:lineRule="auto"/>
        <w:ind w:firstLine="310" w:firstLineChars="147"/>
        <w:rPr>
          <w:rFonts w:ascii="黑体" w:hAnsi="黑体" w:eastAsia="黑体"/>
          <w:b/>
          <w:color w:val="auto"/>
          <w:sz w:val="21"/>
          <w:szCs w:val="21"/>
          <w:highlight w:val="none"/>
        </w:rPr>
      </w:pPr>
    </w:p>
    <w:p w14:paraId="60EE3B3C">
      <w:pPr>
        <w:spacing w:line="360" w:lineRule="auto"/>
        <w:ind w:firstLine="310" w:firstLineChars="147"/>
        <w:rPr>
          <w:rFonts w:ascii="黑体" w:hAnsi="黑体" w:eastAsia="黑体"/>
          <w:b/>
          <w:color w:val="auto"/>
          <w:sz w:val="21"/>
          <w:szCs w:val="21"/>
          <w:highlight w:val="none"/>
        </w:rPr>
      </w:pPr>
    </w:p>
    <w:p w14:paraId="585AA13B">
      <w:pPr>
        <w:widowControl/>
        <w:spacing w:line="360" w:lineRule="auto"/>
        <w:ind w:firstLine="2100" w:firstLineChars="1000"/>
        <w:jc w:val="right"/>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采购人：</w:t>
      </w:r>
      <w:r>
        <w:rPr>
          <w:rFonts w:hint="eastAsia" w:ascii="宋体" w:hAnsi="宋体" w:cs="宋体"/>
          <w:color w:val="auto"/>
          <w:sz w:val="21"/>
          <w:szCs w:val="21"/>
          <w:highlight w:val="none"/>
          <w:lang w:eastAsia="zh-CN" w:bidi="ar"/>
        </w:rPr>
        <w:t>广西壮族自治区水运发展中心</w:t>
      </w:r>
    </w:p>
    <w:p w14:paraId="79A6A0C9">
      <w:pPr>
        <w:spacing w:line="360" w:lineRule="auto"/>
        <w:ind w:firstLine="420" w:firstLineChars="200"/>
        <w:jc w:val="right"/>
        <w:rPr>
          <w:rFonts w:ascii="宋体" w:hAnsi="宋体"/>
          <w:b/>
          <w:bCs/>
          <w:color w:val="auto"/>
          <w:sz w:val="32"/>
          <w:szCs w:val="32"/>
          <w:highlight w:val="none"/>
        </w:rPr>
      </w:pPr>
      <w:r>
        <w:rPr>
          <w:rFonts w:hint="eastAsia" w:ascii="宋体" w:hAnsi="宋体" w:cs="宋体"/>
          <w:color w:val="auto"/>
          <w:sz w:val="21"/>
          <w:szCs w:val="21"/>
          <w:highlight w:val="none"/>
          <w:lang w:bidi="ar"/>
        </w:rPr>
        <w:t xml:space="preserve">                            2026年</w:t>
      </w:r>
      <w:r>
        <w:rPr>
          <w:rFonts w:hint="eastAsia" w:ascii="宋体" w:hAnsi="宋体" w:cs="宋体"/>
          <w:color w:val="auto"/>
          <w:sz w:val="21"/>
          <w:szCs w:val="21"/>
          <w:highlight w:val="none"/>
          <w:lang w:val="en-US" w:eastAsia="zh-CN" w:bidi="ar"/>
        </w:rPr>
        <w:t>9</w:t>
      </w:r>
      <w:r>
        <w:rPr>
          <w:rFonts w:hint="eastAsia" w:ascii="宋体" w:hAnsi="宋体" w:cs="宋体"/>
          <w:color w:val="auto"/>
          <w:sz w:val="21"/>
          <w:szCs w:val="21"/>
          <w:highlight w:val="none"/>
          <w:lang w:bidi="ar"/>
        </w:rPr>
        <w:t>月</w:t>
      </w:r>
      <w:r>
        <w:rPr>
          <w:rFonts w:hint="eastAsia" w:ascii="宋体" w:hAnsi="宋体" w:cs="宋体"/>
          <w:color w:val="auto"/>
          <w:sz w:val="21"/>
          <w:szCs w:val="21"/>
          <w:highlight w:val="none"/>
          <w:lang w:val="en-US" w:eastAsia="zh-CN" w:bidi="ar"/>
        </w:rPr>
        <w:t>9</w:t>
      </w:r>
      <w:r>
        <w:rPr>
          <w:rFonts w:hint="eastAsia" w:ascii="宋体" w:hAnsi="宋体" w:cs="宋体"/>
          <w:color w:val="auto"/>
          <w:sz w:val="21"/>
          <w:szCs w:val="21"/>
          <w:highlight w:val="none"/>
          <w:lang w:bidi="ar"/>
        </w:rPr>
        <w:t>日</w:t>
      </w:r>
    </w:p>
    <w:p w14:paraId="12ED6FA2">
      <w:pPr>
        <w:pStyle w:val="2"/>
        <w:spacing w:before="0" w:after="0" w:line="460" w:lineRule="exact"/>
        <w:jc w:val="center"/>
        <w:rPr>
          <w:color w:val="auto"/>
          <w:sz w:val="28"/>
          <w:szCs w:val="28"/>
          <w:highlight w:val="none"/>
        </w:rPr>
      </w:pPr>
      <w:r>
        <w:rPr>
          <w:rFonts w:hint="eastAsia"/>
          <w:color w:val="auto"/>
          <w:highlight w:val="none"/>
        </w:rPr>
        <w:br w:type="page"/>
      </w:r>
      <w:bookmarkStart w:id="24" w:name="_Toc22711"/>
      <w:bookmarkStart w:id="25" w:name="_Toc6811"/>
      <w:bookmarkStart w:id="26" w:name="_Toc16740"/>
      <w:bookmarkStart w:id="27" w:name="_Toc12041"/>
      <w:bookmarkStart w:id="28" w:name="_Toc17749"/>
      <w:bookmarkStart w:id="29" w:name="_Toc1323"/>
      <w:bookmarkStart w:id="30" w:name="_Toc796"/>
      <w:bookmarkStart w:id="31" w:name="_Toc2392"/>
      <w:bookmarkStart w:id="32" w:name="_Toc17741"/>
      <w:bookmarkStart w:id="33" w:name="_Toc15557"/>
      <w:bookmarkStart w:id="34" w:name="_Toc18967"/>
      <w:bookmarkStart w:id="35" w:name="_Toc31261"/>
      <w:bookmarkStart w:id="36" w:name="_Toc3780"/>
      <w:bookmarkStart w:id="37" w:name="_Toc173"/>
      <w:bookmarkStart w:id="38" w:name="_Toc12668"/>
      <w:r>
        <w:rPr>
          <w:rFonts w:hint="eastAsia"/>
          <w:color w:val="auto"/>
          <w:sz w:val="28"/>
          <w:szCs w:val="28"/>
          <w:highlight w:val="none"/>
        </w:rPr>
        <w:t>第二章 供应商须知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6738722A">
      <w:pPr>
        <w:spacing w:line="400" w:lineRule="exact"/>
        <w:jc w:val="center"/>
        <w:rPr>
          <w:rFonts w:ascii="宋体" w:hAnsi="宋体"/>
          <w:b/>
          <w:color w:val="auto"/>
          <w:sz w:val="32"/>
          <w:szCs w:val="32"/>
          <w:highlight w:val="none"/>
        </w:rPr>
      </w:pPr>
    </w:p>
    <w:p w14:paraId="12BCFD6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一、本次采购采用总价包干，</w:t>
      </w:r>
      <w:r>
        <w:rPr>
          <w:rFonts w:hint="eastAsia" w:ascii="宋体" w:hAnsi="宋体" w:cs="宋体"/>
          <w:color w:val="auto"/>
          <w:sz w:val="24"/>
          <w:highlight w:val="none"/>
          <w:lang w:eastAsia="zh-CN" w:bidi="ar"/>
        </w:rPr>
        <w:t>投标报价</w:t>
      </w:r>
      <w:r>
        <w:rPr>
          <w:rFonts w:hint="eastAsia" w:ascii="宋体" w:hAnsi="宋体" w:cs="宋体"/>
          <w:color w:val="auto"/>
          <w:sz w:val="24"/>
          <w:highlight w:val="none"/>
          <w:lang w:bidi="ar"/>
        </w:rPr>
        <w:t>包含为完成</w:t>
      </w:r>
      <w:r>
        <w:rPr>
          <w:rFonts w:hint="eastAsia" w:ascii="宋体" w:hAnsi="宋体" w:cs="宋体"/>
          <w:color w:val="auto"/>
          <w:sz w:val="24"/>
          <w:highlight w:val="none"/>
          <w:u w:val="single"/>
          <w:lang w:val="en-US" w:eastAsia="zh-CN" w:bidi="ar"/>
        </w:rPr>
        <w:t xml:space="preserve"> 红水河（曹渡河口至桥巩）三级航道工程船舶操纵仿真模拟试验专题研究服务 </w:t>
      </w:r>
      <w:r>
        <w:rPr>
          <w:rFonts w:hint="eastAsia" w:ascii="宋体" w:hAnsi="宋体" w:cs="宋体"/>
          <w:color w:val="auto"/>
          <w:sz w:val="24"/>
          <w:highlight w:val="none"/>
          <w:lang w:bidi="ar"/>
        </w:rPr>
        <w:t>项目的全部工作以及</w:t>
      </w:r>
      <w:r>
        <w:rPr>
          <w:rFonts w:hint="eastAsia" w:ascii="宋体" w:hAnsi="宋体" w:cs="宋体"/>
          <w:color w:val="auto"/>
          <w:sz w:val="24"/>
          <w:highlight w:val="none"/>
          <w:lang w:eastAsia="zh-CN" w:bidi="ar"/>
        </w:rPr>
        <w:t>全过程</w:t>
      </w:r>
      <w:r>
        <w:rPr>
          <w:rFonts w:hint="eastAsia" w:ascii="宋体" w:hAnsi="宋体" w:cs="宋体"/>
          <w:color w:val="auto"/>
          <w:sz w:val="24"/>
          <w:highlight w:val="none"/>
          <w:lang w:bidi="ar"/>
        </w:rPr>
        <w:t>可能发生的各种费用，</w:t>
      </w:r>
      <w:r>
        <w:rPr>
          <w:rFonts w:hint="eastAsia" w:ascii="宋体" w:hAnsi="宋体" w:cs="宋体"/>
          <w:sz w:val="24"/>
          <w:lang w:bidi="ar"/>
        </w:rPr>
        <w:t>包含但不限于从前期踏勘、资料收集、报告编制费、现场管理费、会议、专家咨询费、调研差旅费、管理费、文印费、设备耗材费、税费及合同包含的所有风险、责任及措施等费用</w:t>
      </w:r>
      <w:r>
        <w:rPr>
          <w:rFonts w:hint="eastAsia" w:ascii="宋体" w:hAnsi="宋体" w:cs="宋体"/>
          <w:color w:val="auto"/>
          <w:sz w:val="24"/>
          <w:highlight w:val="none"/>
          <w:lang w:bidi="ar"/>
        </w:rPr>
        <w:t>。本项目合同总价在合同执行过程中是固定的，不因情况变化而调整。</w:t>
      </w:r>
    </w:p>
    <w:p w14:paraId="0BDCB630">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二、投标报价为一次报价，此次报价即最终报价，不再就价格问题另行协商。</w:t>
      </w:r>
    </w:p>
    <w:p w14:paraId="4FFAACD4">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三、投标报价不能超过采购公告规定的最高限价，超过最高限价作投标无效处理。</w:t>
      </w:r>
    </w:p>
    <w:p w14:paraId="1BD7D74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四、报价应为含税价格，并且能够提供增值税发票。</w:t>
      </w:r>
    </w:p>
    <w:p w14:paraId="585AEF06">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五、供应商如需现场考察，可自行前往，费用自理。</w:t>
      </w:r>
    </w:p>
    <w:p w14:paraId="1CD332D4">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六、供应商应针对本项目的特殊性和项目所在地的地理、人文、环境进行综合的评估，谨慎报价，合理安排各项工作。</w:t>
      </w:r>
    </w:p>
    <w:p w14:paraId="26563613">
      <w:pPr>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七、响应文件应于采购公告规定的响应文件递交截止时间前递交，密封邮寄或亲自递交到采购公告指定的响应文件递交地点，逾期送达的，采购人将予以拒收。</w:t>
      </w:r>
    </w:p>
    <w:p w14:paraId="48014872">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八、响应文件应按第五章响应文件格式要求编制。响应文件正本壹份、副本壹份。</w:t>
      </w:r>
    </w:p>
    <w:p w14:paraId="23134C23">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九、本项目</w:t>
      </w:r>
      <w:r>
        <w:rPr>
          <w:rFonts w:hint="eastAsia" w:ascii="宋体" w:hAnsi="宋体" w:cs="宋体"/>
          <w:color w:val="auto"/>
          <w:sz w:val="24"/>
          <w:highlight w:val="none"/>
          <w:lang w:eastAsia="zh-CN" w:bidi="ar"/>
        </w:rPr>
        <w:t>不</w:t>
      </w:r>
      <w:r>
        <w:rPr>
          <w:rFonts w:hint="eastAsia" w:ascii="宋体" w:hAnsi="宋体" w:cs="宋体"/>
          <w:color w:val="auto"/>
          <w:sz w:val="24"/>
          <w:highlight w:val="none"/>
          <w:lang w:bidi="ar"/>
        </w:rPr>
        <w:t>允许分包。</w:t>
      </w:r>
    </w:p>
    <w:p w14:paraId="5872A47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十、投标有效期为</w:t>
      </w:r>
      <w:r>
        <w:rPr>
          <w:rFonts w:ascii="宋体" w:hAnsi="宋体" w:cs="宋体"/>
          <w:color w:val="auto"/>
          <w:sz w:val="24"/>
          <w:highlight w:val="none"/>
          <w:lang w:bidi="ar"/>
        </w:rPr>
        <w:t>60</w:t>
      </w:r>
      <w:r>
        <w:rPr>
          <w:rFonts w:hint="eastAsia" w:ascii="宋体" w:hAnsi="宋体" w:cs="宋体"/>
          <w:color w:val="auto"/>
          <w:sz w:val="24"/>
          <w:highlight w:val="none"/>
          <w:lang w:bidi="ar"/>
        </w:rPr>
        <w:t>日历天。</w:t>
      </w:r>
    </w:p>
    <w:p w14:paraId="4540AB5C">
      <w:pPr>
        <w:spacing w:line="360" w:lineRule="auto"/>
        <w:ind w:firstLine="480" w:firstLineChars="200"/>
        <w:rPr>
          <w:rFonts w:hint="eastAsia" w:ascii="宋体" w:hAnsi="宋体" w:cs="宋体"/>
          <w:color w:val="auto"/>
          <w:sz w:val="24"/>
          <w:highlight w:val="none"/>
          <w:lang w:bidi="ar"/>
        </w:rPr>
      </w:pPr>
      <w:r>
        <w:rPr>
          <w:rFonts w:hint="eastAsia" w:ascii="宋体" w:hAnsi="宋体" w:cs="宋体"/>
          <w:color w:val="auto"/>
          <w:sz w:val="24"/>
          <w:highlight w:val="none"/>
          <w:lang w:eastAsia="zh-CN" w:bidi="ar"/>
        </w:rPr>
        <w:t>十一、</w:t>
      </w:r>
      <w:r>
        <w:rPr>
          <w:rFonts w:hint="eastAsia" w:ascii="宋体" w:hAnsi="宋体" w:cs="宋体"/>
          <w:color w:val="auto"/>
          <w:sz w:val="24"/>
          <w:highlight w:val="none"/>
          <w:lang w:bidi="ar"/>
        </w:rPr>
        <w:t>如</w:t>
      </w:r>
      <w:r>
        <w:rPr>
          <w:rFonts w:hint="eastAsia" w:ascii="宋体" w:hAnsi="宋体" w:cs="宋体"/>
          <w:color w:val="auto"/>
          <w:sz w:val="24"/>
          <w:highlight w:val="none"/>
          <w:lang w:eastAsia="zh-CN" w:bidi="ar"/>
        </w:rPr>
        <w:t>响应</w:t>
      </w:r>
      <w:r>
        <w:rPr>
          <w:rFonts w:hint="eastAsia" w:ascii="宋体" w:hAnsi="宋体" w:cs="宋体"/>
          <w:color w:val="auto"/>
          <w:sz w:val="24"/>
          <w:highlight w:val="none"/>
          <w:lang w:bidi="ar"/>
        </w:rPr>
        <w:t>供应商不足三家的</w:t>
      </w:r>
      <w:r>
        <w:rPr>
          <w:rFonts w:hint="eastAsia" w:ascii="宋体" w:hAnsi="宋体" w:cs="宋体"/>
          <w:color w:val="auto"/>
          <w:sz w:val="24"/>
          <w:highlight w:val="none"/>
          <w:lang w:eastAsia="zh-CN" w:bidi="ar"/>
        </w:rPr>
        <w:t>，将</w:t>
      </w:r>
      <w:r>
        <w:rPr>
          <w:rFonts w:hint="eastAsia" w:ascii="宋体" w:hAnsi="宋体" w:cs="宋体"/>
          <w:color w:val="auto"/>
          <w:sz w:val="24"/>
          <w:highlight w:val="none"/>
          <w:lang w:bidi="ar"/>
        </w:rPr>
        <w:t>延长采购公告时间，</w:t>
      </w:r>
      <w:r>
        <w:rPr>
          <w:rFonts w:hint="eastAsia" w:ascii="宋体" w:hAnsi="宋体" w:cs="宋体"/>
          <w:color w:val="auto"/>
          <w:sz w:val="24"/>
          <w:highlight w:val="none"/>
          <w:lang w:eastAsia="zh-CN" w:bidi="ar"/>
        </w:rPr>
        <w:t>并按以下情形分别完成采购</w:t>
      </w:r>
      <w:r>
        <w:rPr>
          <w:rFonts w:hint="eastAsia" w:ascii="宋体" w:hAnsi="宋体" w:cs="宋体"/>
          <w:color w:val="auto"/>
          <w:sz w:val="24"/>
          <w:highlight w:val="none"/>
          <w:lang w:bidi="ar"/>
        </w:rPr>
        <w:t>：</w:t>
      </w:r>
    </w:p>
    <w:p w14:paraId="25175E81">
      <w:pPr>
        <w:spacing w:line="360" w:lineRule="auto"/>
        <w:ind w:firstLine="480" w:firstLineChars="200"/>
        <w:rPr>
          <w:rFonts w:hint="eastAsia" w:ascii="宋体" w:hAnsi="宋体" w:cs="宋体"/>
          <w:color w:val="auto"/>
          <w:sz w:val="24"/>
          <w:highlight w:val="none"/>
          <w:lang w:bidi="ar"/>
        </w:rPr>
      </w:pPr>
      <w:r>
        <w:rPr>
          <w:rFonts w:hint="eastAsia" w:ascii="宋体" w:hAnsi="宋体" w:cs="宋体"/>
          <w:color w:val="auto"/>
          <w:sz w:val="24"/>
          <w:highlight w:val="none"/>
          <w:lang w:eastAsia="zh-CN" w:bidi="ar"/>
        </w:rPr>
        <w:t>（一）</w:t>
      </w:r>
      <w:r>
        <w:rPr>
          <w:rFonts w:hint="eastAsia" w:ascii="宋体" w:hAnsi="宋体" w:cs="宋体"/>
          <w:color w:val="auto"/>
          <w:sz w:val="24"/>
          <w:highlight w:val="none"/>
          <w:lang w:bidi="ar"/>
        </w:rPr>
        <w:t>延期时间截止，响应供应商为2家或2家以上的，按照正常采购流程开展。</w:t>
      </w:r>
    </w:p>
    <w:p w14:paraId="1C428316">
      <w:pPr>
        <w:spacing w:line="360" w:lineRule="auto"/>
        <w:ind w:firstLine="480" w:firstLineChars="200"/>
        <w:rPr>
          <w:rFonts w:hint="eastAsia" w:ascii="宋体" w:hAnsi="宋体" w:cs="宋体"/>
          <w:color w:val="auto"/>
          <w:sz w:val="24"/>
          <w:highlight w:val="none"/>
          <w:lang w:eastAsia="zh-CN" w:bidi="ar"/>
        </w:rPr>
      </w:pPr>
      <w:r>
        <w:rPr>
          <w:rFonts w:hint="eastAsia" w:ascii="宋体" w:hAnsi="宋体" w:cs="宋体"/>
          <w:color w:val="auto"/>
          <w:sz w:val="24"/>
          <w:highlight w:val="none"/>
          <w:lang w:eastAsia="zh-CN" w:bidi="ar"/>
        </w:rPr>
        <w:t>（二）</w:t>
      </w:r>
      <w:r>
        <w:rPr>
          <w:rFonts w:hint="eastAsia" w:ascii="宋体" w:hAnsi="宋体" w:cs="宋体"/>
          <w:color w:val="auto"/>
          <w:sz w:val="24"/>
          <w:highlight w:val="none"/>
          <w:lang w:bidi="ar"/>
        </w:rPr>
        <w:t>延期时间截止，响应供应商为1家的，由采购人审核供应商投标文件，确定满足采购方案的条件后，组成谈判小组与供应商谈判。根据采购人内部程序，确定中标人，签订采购合同等。</w:t>
      </w:r>
    </w:p>
    <w:p w14:paraId="4CDC7CE3">
      <w:pPr>
        <w:spacing w:line="360" w:lineRule="auto"/>
        <w:ind w:firstLine="480" w:firstLineChars="200"/>
        <w:rPr>
          <w:rFonts w:hint="eastAsia" w:ascii="宋体" w:hAnsi="宋体" w:eastAsia="宋体" w:cs="宋体"/>
          <w:color w:val="auto"/>
          <w:sz w:val="24"/>
          <w:highlight w:val="none"/>
          <w:lang w:eastAsia="zh-CN" w:bidi="ar"/>
        </w:rPr>
      </w:pPr>
      <w:r>
        <w:rPr>
          <w:rFonts w:hint="eastAsia" w:ascii="宋体" w:hAnsi="宋体" w:cs="宋体"/>
          <w:color w:val="auto"/>
          <w:sz w:val="24"/>
          <w:highlight w:val="none"/>
          <w:lang w:eastAsia="zh-CN" w:bidi="ar"/>
        </w:rPr>
        <w:t>十二、响应文件开启，不邀请供应商参加。</w:t>
      </w:r>
    </w:p>
    <w:p w14:paraId="6BBB8B1F">
      <w:pPr>
        <w:spacing w:line="360" w:lineRule="auto"/>
        <w:ind w:firstLine="480" w:firstLineChars="200"/>
        <w:rPr>
          <w:rFonts w:hint="eastAsia" w:ascii="宋体" w:hAnsi="宋体" w:eastAsia="宋体" w:cs="宋体"/>
          <w:color w:val="auto"/>
          <w:sz w:val="24"/>
          <w:highlight w:val="none"/>
          <w:lang w:eastAsia="zh-CN" w:bidi="ar"/>
        </w:rPr>
      </w:pPr>
      <w:r>
        <w:rPr>
          <w:rFonts w:hint="eastAsia" w:ascii="宋体" w:hAnsi="宋体" w:cs="宋体"/>
          <w:color w:val="auto"/>
          <w:sz w:val="24"/>
          <w:highlight w:val="none"/>
          <w:lang w:eastAsia="zh-CN" w:bidi="ar"/>
        </w:rPr>
        <w:t>十三、响应文件评审</w:t>
      </w:r>
      <w:r>
        <w:rPr>
          <w:rFonts w:hint="eastAsia" w:ascii="宋体" w:hAnsi="宋体" w:cs="宋体"/>
          <w:color w:val="auto"/>
          <w:sz w:val="24"/>
          <w:highlight w:val="none"/>
          <w:lang w:bidi="ar"/>
        </w:rPr>
        <w:t>由</w:t>
      </w:r>
      <w:r>
        <w:rPr>
          <w:rFonts w:hint="eastAsia" w:ascii="宋体" w:hAnsi="宋体" w:cs="宋体"/>
          <w:color w:val="auto"/>
          <w:sz w:val="24"/>
          <w:highlight w:val="none"/>
          <w:lang w:eastAsia="zh-CN" w:bidi="ar"/>
        </w:rPr>
        <w:t>采购</w:t>
      </w:r>
      <w:r>
        <w:rPr>
          <w:rFonts w:hint="eastAsia" w:ascii="宋体" w:hAnsi="宋体" w:cs="宋体"/>
          <w:color w:val="auto"/>
          <w:sz w:val="24"/>
          <w:highlight w:val="none"/>
          <w:lang w:bidi="ar"/>
        </w:rPr>
        <w:t>人</w:t>
      </w:r>
      <w:r>
        <w:rPr>
          <w:rFonts w:hint="eastAsia" w:ascii="宋体" w:hAnsi="宋体" w:cs="宋体"/>
          <w:color w:val="auto"/>
          <w:sz w:val="24"/>
          <w:highlight w:val="none"/>
          <w:lang w:eastAsia="zh-CN" w:bidi="ar"/>
        </w:rPr>
        <w:t>根据广西壮族自治区水运发展中心自行采购有关规定</w:t>
      </w:r>
      <w:r>
        <w:rPr>
          <w:rFonts w:hint="eastAsia" w:ascii="宋体" w:hAnsi="宋体" w:cs="宋体"/>
          <w:color w:val="auto"/>
          <w:sz w:val="24"/>
          <w:highlight w:val="none"/>
          <w:lang w:bidi="ar"/>
        </w:rPr>
        <w:t>组建的</w:t>
      </w:r>
      <w:r>
        <w:rPr>
          <w:rFonts w:hint="eastAsia" w:ascii="宋体" w:hAnsi="宋体" w:cs="宋体"/>
          <w:color w:val="auto"/>
          <w:sz w:val="24"/>
          <w:highlight w:val="none"/>
          <w:lang w:eastAsia="zh-CN" w:bidi="ar"/>
        </w:rPr>
        <w:t>合议小组</w:t>
      </w:r>
      <w:r>
        <w:rPr>
          <w:rFonts w:hint="eastAsia" w:ascii="宋体" w:hAnsi="宋体" w:cs="宋体"/>
          <w:color w:val="auto"/>
          <w:sz w:val="24"/>
          <w:highlight w:val="none"/>
          <w:lang w:bidi="ar"/>
        </w:rPr>
        <w:t>负责。</w:t>
      </w:r>
      <w:r>
        <w:rPr>
          <w:rFonts w:hint="eastAsia" w:ascii="宋体" w:hAnsi="宋体" w:cs="宋体"/>
          <w:color w:val="auto"/>
          <w:sz w:val="24"/>
          <w:highlight w:val="none"/>
          <w:lang w:eastAsia="zh-CN" w:bidi="ar"/>
        </w:rPr>
        <w:t>合议小组</w:t>
      </w:r>
      <w:r>
        <w:rPr>
          <w:rFonts w:hint="eastAsia" w:ascii="宋体" w:hAnsi="宋体" w:cs="宋体"/>
          <w:color w:val="auto"/>
          <w:sz w:val="24"/>
          <w:highlight w:val="none"/>
          <w:lang w:bidi="ar"/>
        </w:rPr>
        <w:t>按照第</w:t>
      </w:r>
      <w:r>
        <w:rPr>
          <w:rFonts w:hint="eastAsia" w:ascii="宋体" w:hAnsi="宋体" w:cs="宋体"/>
          <w:color w:val="auto"/>
          <w:sz w:val="24"/>
          <w:highlight w:val="none"/>
          <w:lang w:eastAsia="zh-CN" w:bidi="ar"/>
        </w:rPr>
        <w:t>四</w:t>
      </w:r>
      <w:r>
        <w:rPr>
          <w:rFonts w:hint="eastAsia" w:ascii="宋体" w:hAnsi="宋体" w:cs="宋体"/>
          <w:color w:val="auto"/>
          <w:sz w:val="24"/>
          <w:highlight w:val="none"/>
          <w:lang w:bidi="ar"/>
        </w:rPr>
        <w:t>章“评</w:t>
      </w:r>
      <w:r>
        <w:rPr>
          <w:rFonts w:hint="eastAsia" w:ascii="宋体" w:hAnsi="宋体" w:cs="宋体"/>
          <w:color w:val="auto"/>
          <w:sz w:val="24"/>
          <w:highlight w:val="none"/>
          <w:lang w:eastAsia="zh-CN" w:bidi="ar"/>
        </w:rPr>
        <w:t>审</w:t>
      </w:r>
      <w:r>
        <w:rPr>
          <w:rFonts w:hint="eastAsia" w:ascii="宋体" w:hAnsi="宋体" w:cs="宋体"/>
          <w:color w:val="auto"/>
          <w:sz w:val="24"/>
          <w:highlight w:val="none"/>
          <w:lang w:bidi="ar"/>
        </w:rPr>
        <w:t>办法”规定的方法、评审因素、标准和程序对</w:t>
      </w:r>
      <w:r>
        <w:rPr>
          <w:rFonts w:hint="eastAsia" w:ascii="宋体" w:hAnsi="宋体" w:cs="宋体"/>
          <w:color w:val="auto"/>
          <w:sz w:val="24"/>
          <w:highlight w:val="none"/>
          <w:lang w:eastAsia="zh-CN" w:bidi="ar"/>
        </w:rPr>
        <w:t>响应</w:t>
      </w:r>
      <w:r>
        <w:rPr>
          <w:rFonts w:hint="eastAsia" w:ascii="宋体" w:hAnsi="宋体" w:cs="宋体"/>
          <w:color w:val="auto"/>
          <w:sz w:val="24"/>
          <w:highlight w:val="none"/>
          <w:lang w:bidi="ar"/>
        </w:rPr>
        <w:t>文件进行评审。第</w:t>
      </w:r>
      <w:r>
        <w:rPr>
          <w:rFonts w:hint="eastAsia" w:ascii="宋体" w:hAnsi="宋体" w:cs="宋体"/>
          <w:color w:val="auto"/>
          <w:sz w:val="24"/>
          <w:highlight w:val="none"/>
          <w:lang w:eastAsia="zh-CN" w:bidi="ar"/>
        </w:rPr>
        <w:t>四</w:t>
      </w:r>
      <w:r>
        <w:rPr>
          <w:rFonts w:hint="eastAsia" w:ascii="宋体" w:hAnsi="宋体" w:cs="宋体"/>
          <w:color w:val="auto"/>
          <w:sz w:val="24"/>
          <w:highlight w:val="none"/>
          <w:lang w:bidi="ar"/>
        </w:rPr>
        <w:t>章“评</w:t>
      </w:r>
      <w:r>
        <w:rPr>
          <w:rFonts w:hint="eastAsia" w:ascii="宋体" w:hAnsi="宋体" w:cs="宋体"/>
          <w:color w:val="auto"/>
          <w:sz w:val="24"/>
          <w:highlight w:val="none"/>
          <w:lang w:eastAsia="zh-CN" w:bidi="ar"/>
        </w:rPr>
        <w:t>审</w:t>
      </w:r>
      <w:r>
        <w:rPr>
          <w:rFonts w:hint="eastAsia" w:ascii="宋体" w:hAnsi="宋体" w:cs="宋体"/>
          <w:color w:val="auto"/>
          <w:sz w:val="24"/>
          <w:highlight w:val="none"/>
          <w:lang w:bidi="ar"/>
        </w:rPr>
        <w:t>办法”没有规定的方法、评审因素和标准，不作为评</w:t>
      </w:r>
      <w:r>
        <w:rPr>
          <w:rFonts w:hint="eastAsia" w:ascii="宋体" w:hAnsi="宋体" w:cs="宋体"/>
          <w:color w:val="auto"/>
          <w:sz w:val="24"/>
          <w:highlight w:val="none"/>
          <w:lang w:eastAsia="zh-CN" w:bidi="ar"/>
        </w:rPr>
        <w:t>审</w:t>
      </w:r>
      <w:r>
        <w:rPr>
          <w:rFonts w:hint="eastAsia" w:ascii="宋体" w:hAnsi="宋体" w:cs="宋体"/>
          <w:color w:val="auto"/>
          <w:sz w:val="24"/>
          <w:highlight w:val="none"/>
          <w:lang w:bidi="ar"/>
        </w:rPr>
        <w:t>依据。</w:t>
      </w:r>
    </w:p>
    <w:p w14:paraId="4D297C3F">
      <w:pPr>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eastAsia="zh-CN" w:bidi="ar"/>
        </w:rPr>
        <w:t>十四、评审结束后，中标结果将于广西壮族自治区水运发展中心网站公布。</w:t>
      </w:r>
    </w:p>
    <w:p w14:paraId="2330C8D1">
      <w:pPr>
        <w:pStyle w:val="15"/>
        <w:spacing w:line="360" w:lineRule="auto"/>
        <w:ind w:firstLine="643" w:firstLineChars="200"/>
        <w:textAlignment w:val="center"/>
        <w:rPr>
          <w:rFonts w:hAnsi="宋体" w:cs="宋体"/>
          <w:color w:val="auto"/>
          <w:kern w:val="2"/>
          <w:sz w:val="21"/>
          <w:highlight w:val="none"/>
        </w:rPr>
      </w:pPr>
      <w:r>
        <w:rPr>
          <w:rFonts w:hAnsi="宋体"/>
          <w:b/>
          <w:color w:val="auto"/>
          <w:sz w:val="32"/>
          <w:szCs w:val="32"/>
          <w:highlight w:val="none"/>
        </w:rPr>
        <w:br w:type="page"/>
      </w:r>
    </w:p>
    <w:p w14:paraId="468DC33C">
      <w:pPr>
        <w:pStyle w:val="2"/>
        <w:spacing w:before="0" w:after="0" w:line="360" w:lineRule="auto"/>
        <w:jc w:val="center"/>
        <w:rPr>
          <w:color w:val="auto"/>
          <w:sz w:val="28"/>
          <w:szCs w:val="28"/>
          <w:highlight w:val="none"/>
        </w:rPr>
      </w:pPr>
      <w:bookmarkStart w:id="39" w:name="_Toc14791"/>
      <w:bookmarkStart w:id="40" w:name="_Toc31960"/>
      <w:bookmarkStart w:id="41" w:name="_Toc23336"/>
      <w:bookmarkStart w:id="42" w:name="_Toc1475"/>
      <w:bookmarkStart w:id="43" w:name="_Toc22466"/>
      <w:bookmarkStart w:id="44" w:name="_Toc20395"/>
      <w:bookmarkStart w:id="45" w:name="_Toc20970"/>
      <w:bookmarkStart w:id="46" w:name="_Toc14696"/>
      <w:bookmarkStart w:id="47" w:name="_Toc6699"/>
      <w:bookmarkStart w:id="48" w:name="_Toc29660"/>
      <w:bookmarkStart w:id="49" w:name="_Toc2534"/>
      <w:bookmarkStart w:id="50" w:name="_Toc18037"/>
      <w:bookmarkStart w:id="51" w:name="_Toc14941"/>
      <w:bookmarkStart w:id="52" w:name="_Toc1143"/>
      <w:bookmarkStart w:id="53" w:name="_Toc22272"/>
      <w:r>
        <w:rPr>
          <w:rFonts w:hint="eastAsia"/>
          <w:color w:val="auto"/>
          <w:sz w:val="28"/>
          <w:szCs w:val="28"/>
          <w:highlight w:val="none"/>
        </w:rPr>
        <w:t>第三章 采购需求</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41A02338">
      <w:pPr>
        <w:widowControl/>
        <w:spacing w:line="360" w:lineRule="auto"/>
        <w:ind w:firstLine="422" w:firstLineChars="200"/>
        <w:rPr>
          <w:rFonts w:hint="eastAsia" w:ascii="宋体" w:hAnsi="宋体" w:cs="宋体"/>
          <w:b/>
          <w:bCs/>
          <w:color w:val="auto"/>
          <w:sz w:val="21"/>
          <w:szCs w:val="21"/>
          <w:highlight w:val="none"/>
          <w:lang w:bidi="ar"/>
        </w:rPr>
      </w:pPr>
    </w:p>
    <w:p w14:paraId="363B7EF9">
      <w:pPr>
        <w:widowControl/>
        <w:spacing w:line="360" w:lineRule="auto"/>
        <w:ind w:firstLine="422" w:firstLineChars="200"/>
        <w:outlineLvl w:val="1"/>
        <w:rPr>
          <w:rFonts w:ascii="宋体" w:hAnsi="宋体" w:cs="宋体"/>
          <w:b/>
          <w:bCs/>
          <w:color w:val="auto"/>
          <w:sz w:val="21"/>
          <w:szCs w:val="21"/>
          <w:highlight w:val="none"/>
          <w:lang w:bidi="ar"/>
        </w:rPr>
      </w:pPr>
      <w:bookmarkStart w:id="54" w:name="_Toc7438"/>
      <w:bookmarkStart w:id="55" w:name="_Toc19418"/>
      <w:bookmarkStart w:id="56" w:name="_Toc21169"/>
      <w:bookmarkStart w:id="57" w:name="_Toc10753"/>
      <w:bookmarkStart w:id="58" w:name="_Toc8072"/>
      <w:r>
        <w:rPr>
          <w:rFonts w:hint="eastAsia" w:ascii="宋体" w:hAnsi="宋体" w:cs="宋体"/>
          <w:b/>
          <w:bCs/>
          <w:color w:val="auto"/>
          <w:sz w:val="21"/>
          <w:szCs w:val="21"/>
          <w:highlight w:val="none"/>
          <w:lang w:bidi="ar"/>
        </w:rPr>
        <w:t>一、项目概况</w:t>
      </w:r>
      <w:bookmarkEnd w:id="54"/>
      <w:bookmarkEnd w:id="55"/>
      <w:bookmarkEnd w:id="56"/>
      <w:bookmarkEnd w:id="57"/>
      <w:bookmarkEnd w:id="58"/>
    </w:p>
    <w:p w14:paraId="7AD6DAB4">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红水河（曹渡河口至桥巩）三级航道工程，起点为河池市曹渡河口</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rPr>
        <w:t>终点为来宾市桥巩枢纽，全长约450km，按内河三级航道标准建设，工程建设内容包括疏浚工程、清礁工程、航标工程、碍航桥梁拆建工程、桥梁防撞工程、碍航跨河线缆拆建工程、碍航穿河管道拆建工程、智慧航道工程、配套工程等。</w:t>
      </w:r>
    </w:p>
    <w:p w14:paraId="15E913BE">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lang w:eastAsia="zh-CN"/>
        </w:rPr>
        <w:t>本项目</w:t>
      </w:r>
      <w:r>
        <w:rPr>
          <w:rFonts w:hint="eastAsia" w:ascii="宋体" w:hAnsi="宋体" w:cs="宋体"/>
          <w:bCs/>
          <w:color w:val="auto"/>
          <w:sz w:val="21"/>
          <w:szCs w:val="21"/>
          <w:highlight w:val="none"/>
        </w:rPr>
        <w:t>开展</w:t>
      </w:r>
      <w:r>
        <w:rPr>
          <w:rFonts w:hint="eastAsia" w:ascii="宋体" w:hAnsi="宋体" w:cs="宋体"/>
          <w:bCs/>
          <w:color w:val="auto"/>
          <w:sz w:val="21"/>
          <w:szCs w:val="21"/>
          <w:highlight w:val="none"/>
          <w:lang w:val="zh-CN"/>
        </w:rPr>
        <w:t>红水河（曹渡河口至桥巩）三级航道工程船舶操纵仿真模拟试验</w:t>
      </w:r>
      <w:r>
        <w:rPr>
          <w:rFonts w:hint="eastAsia" w:ascii="宋体" w:hAnsi="宋体" w:cs="宋体"/>
          <w:color w:val="auto"/>
          <w:sz w:val="21"/>
          <w:szCs w:val="21"/>
          <w:highlight w:val="none"/>
          <w:lang w:val="zh-CN" w:bidi="ar"/>
        </w:rPr>
        <w:t>，包括重点滩段及典型桥区船舶操纵仿真模拟试验</w:t>
      </w:r>
      <w:r>
        <w:rPr>
          <w:rFonts w:hint="eastAsia" w:ascii="宋体" w:hAnsi="宋体" w:cs="宋体"/>
          <w:bCs/>
          <w:color w:val="auto"/>
          <w:sz w:val="21"/>
          <w:szCs w:val="21"/>
          <w:highlight w:val="none"/>
        </w:rPr>
        <w:t>。</w:t>
      </w:r>
    </w:p>
    <w:p w14:paraId="535FF123">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采购预算金额：95万元。</w:t>
      </w:r>
    </w:p>
    <w:p w14:paraId="252E7E50">
      <w:pPr>
        <w:spacing w:line="360" w:lineRule="auto"/>
        <w:ind w:firstLine="422" w:firstLineChars="200"/>
        <w:outlineLvl w:val="1"/>
        <w:rPr>
          <w:rFonts w:ascii="宋体" w:hAnsi="宋体" w:cs="宋体"/>
          <w:b/>
          <w:bCs/>
          <w:color w:val="auto"/>
          <w:sz w:val="21"/>
          <w:szCs w:val="21"/>
          <w:highlight w:val="none"/>
          <w:lang w:bidi="ar"/>
        </w:rPr>
      </w:pPr>
      <w:bookmarkStart w:id="59" w:name="_Toc2035"/>
      <w:bookmarkStart w:id="60" w:name="_Toc20215"/>
      <w:bookmarkStart w:id="61" w:name="_Toc32747"/>
      <w:bookmarkStart w:id="62" w:name="_Toc6653"/>
      <w:bookmarkStart w:id="63" w:name="_Toc25958"/>
      <w:r>
        <w:rPr>
          <w:rFonts w:hint="eastAsia" w:ascii="宋体" w:hAnsi="宋体" w:cs="宋体"/>
          <w:b/>
          <w:bCs/>
          <w:color w:val="auto"/>
          <w:sz w:val="21"/>
          <w:szCs w:val="21"/>
          <w:highlight w:val="none"/>
          <w:lang w:bidi="ar"/>
        </w:rPr>
        <w:t>二、采购内容</w:t>
      </w:r>
      <w:bookmarkEnd w:id="59"/>
      <w:bookmarkEnd w:id="60"/>
      <w:bookmarkEnd w:id="61"/>
      <w:bookmarkEnd w:id="62"/>
      <w:bookmarkEnd w:id="63"/>
    </w:p>
    <w:p w14:paraId="152F368F">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val="zh-CN" w:bidi="ar"/>
        </w:rPr>
        <w:t>红水河（曹渡河口至桥巩）三级航道工程船舶操纵仿真模拟试验专题研究服务，包括重点滩段及典型桥区船舶操纵仿真模拟试验</w:t>
      </w:r>
      <w:r>
        <w:rPr>
          <w:rFonts w:hint="eastAsia" w:ascii="宋体" w:hAnsi="宋体" w:cs="宋体"/>
          <w:color w:val="auto"/>
          <w:sz w:val="21"/>
          <w:szCs w:val="21"/>
          <w:highlight w:val="none"/>
          <w:lang w:eastAsia="zh-CN" w:bidi="ar"/>
        </w:rPr>
        <w:t>，</w:t>
      </w:r>
      <w:r>
        <w:rPr>
          <w:rFonts w:hint="eastAsia" w:ascii="宋体" w:hAnsi="宋体" w:cs="宋体"/>
          <w:color w:val="000000"/>
          <w:szCs w:val="21"/>
        </w:rPr>
        <w:t>研究设计代表船型在航道典型水文气象条件下的航行状态，进一步优化航道设计方案，为航道工程研究设计提供技术支撑。</w:t>
      </w:r>
      <w:r>
        <w:rPr>
          <w:rFonts w:hint="eastAsia" w:ascii="宋体" w:hAnsi="宋体" w:cs="宋体"/>
          <w:color w:val="auto"/>
          <w:sz w:val="21"/>
          <w:szCs w:val="21"/>
          <w:highlight w:val="none"/>
          <w:lang w:eastAsia="zh-CN" w:bidi="ar"/>
        </w:rPr>
        <w:t>编制《</w:t>
      </w:r>
      <w:r>
        <w:rPr>
          <w:rFonts w:hint="eastAsia" w:ascii="宋体" w:hAnsi="宋体" w:cs="宋体"/>
          <w:color w:val="auto"/>
          <w:sz w:val="21"/>
          <w:szCs w:val="21"/>
          <w:highlight w:val="none"/>
          <w:lang w:val="zh-CN" w:bidi="ar"/>
        </w:rPr>
        <w:t>红水河（曹渡河口至桥巩）三级航道工程船舶操纵仿真模拟试验专题研究报告</w:t>
      </w:r>
      <w:r>
        <w:rPr>
          <w:rFonts w:hint="eastAsia" w:ascii="宋体" w:hAnsi="宋体" w:cs="宋体"/>
          <w:color w:val="auto"/>
          <w:sz w:val="21"/>
          <w:szCs w:val="21"/>
          <w:highlight w:val="none"/>
          <w:lang w:eastAsia="zh-CN" w:bidi="ar"/>
        </w:rPr>
        <w:t>》</w:t>
      </w:r>
    </w:p>
    <w:p w14:paraId="443A297C">
      <w:pPr>
        <w:widowControl/>
        <w:spacing w:line="360" w:lineRule="auto"/>
        <w:ind w:firstLine="422" w:firstLineChars="200"/>
        <w:outlineLvl w:val="1"/>
        <w:rPr>
          <w:rFonts w:ascii="宋体" w:hAnsi="宋体" w:cs="宋体"/>
          <w:b/>
          <w:bCs/>
          <w:color w:val="auto"/>
          <w:sz w:val="21"/>
          <w:szCs w:val="21"/>
          <w:highlight w:val="none"/>
          <w:lang w:bidi="ar"/>
        </w:rPr>
      </w:pPr>
      <w:bookmarkStart w:id="64" w:name="_Toc31520"/>
      <w:bookmarkStart w:id="65" w:name="_Toc7103"/>
      <w:bookmarkStart w:id="66" w:name="_Toc3523"/>
      <w:bookmarkStart w:id="67" w:name="_Toc7146"/>
      <w:bookmarkStart w:id="68" w:name="_Toc5464"/>
      <w:r>
        <w:rPr>
          <w:rFonts w:hint="eastAsia" w:ascii="宋体" w:hAnsi="宋体" w:cs="宋体"/>
          <w:b/>
          <w:bCs/>
          <w:color w:val="auto"/>
          <w:sz w:val="21"/>
          <w:szCs w:val="21"/>
          <w:highlight w:val="none"/>
          <w:lang w:bidi="ar"/>
        </w:rPr>
        <w:t>三、技术要求</w:t>
      </w:r>
      <w:bookmarkEnd w:id="64"/>
      <w:bookmarkEnd w:id="65"/>
      <w:bookmarkEnd w:id="66"/>
      <w:bookmarkEnd w:id="67"/>
      <w:bookmarkEnd w:id="68"/>
    </w:p>
    <w:p w14:paraId="76F1DC12">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（一）技术标准</w:t>
      </w:r>
    </w:p>
    <w:p w14:paraId="7986AB82">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执行</w:t>
      </w:r>
      <w:bookmarkStart w:id="69" w:name="OLE_LINK11"/>
      <w:r>
        <w:rPr>
          <w:rFonts w:hint="eastAsia" w:ascii="宋体" w:hAnsi="宋体" w:cs="宋体"/>
          <w:color w:val="auto"/>
          <w:sz w:val="21"/>
          <w:szCs w:val="21"/>
          <w:highlight w:val="none"/>
          <w:lang w:bidi="ar"/>
        </w:rPr>
        <w:t>国家和行业现行相关的技术标准、规范和规程</w:t>
      </w:r>
      <w:bookmarkEnd w:id="69"/>
      <w:r>
        <w:rPr>
          <w:rFonts w:hint="eastAsia" w:ascii="宋体" w:hAnsi="宋体" w:cs="宋体"/>
          <w:color w:val="auto"/>
          <w:sz w:val="21"/>
          <w:szCs w:val="21"/>
          <w:highlight w:val="none"/>
          <w:lang w:bidi="ar"/>
        </w:rPr>
        <w:t>。在项目实施过程中，如国家或有关部门颁布了新的技术标准，则供应商应采用新的标准。</w:t>
      </w:r>
    </w:p>
    <w:p w14:paraId="325F43AF">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（二）质量要求</w:t>
      </w:r>
    </w:p>
    <w:p w14:paraId="42841439">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工作程序、工作成果应当符合现行内河航道工程建设相关国家标准、行业标准、地方标准等标准、规范。</w:t>
      </w:r>
      <w:r>
        <w:rPr>
          <w:rFonts w:hint="eastAsia" w:ascii="宋体" w:hAnsi="宋体" w:cs="宋体"/>
          <w:color w:val="auto"/>
          <w:sz w:val="21"/>
          <w:szCs w:val="21"/>
          <w:highlight w:val="none"/>
          <w:lang w:eastAsia="zh-CN" w:bidi="ar"/>
        </w:rPr>
        <w:t>研究</w:t>
      </w:r>
      <w:r>
        <w:rPr>
          <w:rFonts w:hint="eastAsia" w:ascii="宋体" w:hAnsi="宋体" w:cs="宋体"/>
          <w:color w:val="auto"/>
          <w:sz w:val="21"/>
          <w:szCs w:val="21"/>
          <w:highlight w:val="none"/>
          <w:lang w:bidi="ar"/>
        </w:rPr>
        <w:t>成果通过专家评审</w:t>
      </w:r>
      <w:r>
        <w:rPr>
          <w:rFonts w:hint="eastAsia" w:ascii="宋体" w:hAnsi="宋体" w:cs="宋体"/>
          <w:color w:val="auto"/>
          <w:sz w:val="21"/>
          <w:szCs w:val="21"/>
          <w:highlight w:val="none"/>
          <w:lang w:eastAsia="zh-CN" w:bidi="ar"/>
        </w:rPr>
        <w:t>、</w:t>
      </w:r>
      <w:r>
        <w:rPr>
          <w:rFonts w:hint="eastAsia" w:ascii="宋体" w:hAnsi="宋体" w:cs="宋体"/>
          <w:color w:val="auto"/>
          <w:sz w:val="21"/>
          <w:szCs w:val="21"/>
          <w:highlight w:val="none"/>
          <w:lang w:bidi="ar"/>
        </w:rPr>
        <w:t>验收合格。</w:t>
      </w:r>
    </w:p>
    <w:p w14:paraId="4072E6D0">
      <w:pPr>
        <w:adjustRightInd/>
        <w:spacing w:before="0" w:beforeLines="0" w:after="0" w:afterLines="0" w:line="360" w:lineRule="auto"/>
        <w:ind w:firstLine="422" w:firstLineChars="200"/>
        <w:outlineLvl w:val="2"/>
        <w:rPr>
          <w:rFonts w:hint="eastAsia" w:ascii="宋体" w:hAnsi="宋体" w:eastAsia="宋体" w:cs="宋体"/>
          <w:b/>
          <w:bCs/>
          <w:color w:val="000000"/>
          <w:sz w:val="21"/>
          <w:szCs w:val="21"/>
          <w:lang w:eastAsia="zh-CN"/>
          <w14:ligatures w14:val="none"/>
        </w:rPr>
      </w:pPr>
      <w:r>
        <w:rPr>
          <w:rFonts w:hint="eastAsia" w:ascii="宋体" w:hAnsi="宋体" w:eastAsia="宋体" w:cs="宋体"/>
          <w:b/>
          <w:bCs/>
          <w:color w:val="000000"/>
          <w:sz w:val="21"/>
          <w:szCs w:val="21"/>
          <w:lang w:eastAsia="zh-CN"/>
          <w14:ligatures w14:val="none"/>
        </w:rPr>
        <w:t>（三）</w:t>
      </w:r>
      <w:r>
        <w:rPr>
          <w:rFonts w:hint="eastAsia" w:ascii="宋体" w:hAnsi="宋体" w:cs="宋体"/>
          <w:b/>
          <w:bCs/>
          <w:color w:val="000000"/>
          <w:sz w:val="21"/>
          <w:szCs w:val="21"/>
          <w:lang w:eastAsia="zh-CN"/>
          <w14:ligatures w14:val="none"/>
        </w:rPr>
        <w:t>其他技术要求</w:t>
      </w:r>
    </w:p>
    <w:p w14:paraId="42B9579A">
      <w:pPr>
        <w:spacing w:before="0" w:beforeLines="0" w:after="0" w:afterLines="0" w:line="360" w:lineRule="auto"/>
        <w:ind w:firstLine="420" w:firstLineChars="200"/>
        <w:rPr>
          <w:rFonts w:hint="eastAsia" w:ascii="宋体" w:hAnsi="宋体" w:cs="宋体"/>
          <w:color w:val="000000"/>
          <w:szCs w:val="21"/>
        </w:rPr>
      </w:pPr>
      <w:r>
        <w:rPr>
          <w:rFonts w:hint="eastAsia" w:ascii="宋体" w:hAnsi="宋体" w:cs="宋体"/>
          <w:color w:val="000000"/>
          <w:szCs w:val="21"/>
          <w:lang w:val="en-US" w:eastAsia="zh-CN"/>
        </w:rPr>
        <w:t>1.</w:t>
      </w:r>
      <w:r>
        <w:rPr>
          <w:rFonts w:hint="eastAsia" w:ascii="宋体" w:hAnsi="宋体" w:cs="宋体"/>
          <w:color w:val="000000"/>
          <w:szCs w:val="21"/>
        </w:rPr>
        <w:t>供应商承担本项目必要的基础数据资料收集，完成整个项目的服务工作，并保证资料数据准确，满足服务要求，且费用由供应商承担。</w:t>
      </w:r>
    </w:p>
    <w:p w14:paraId="6BDAAB34">
      <w:pPr>
        <w:spacing w:before="0" w:beforeLines="0" w:after="0" w:afterLines="0" w:line="360" w:lineRule="auto"/>
        <w:ind w:firstLine="420" w:firstLineChars="200"/>
        <w:rPr>
          <w:rFonts w:hint="eastAsia" w:ascii="宋体" w:hAnsi="宋体" w:cs="宋体"/>
          <w:color w:val="000000"/>
          <w:szCs w:val="21"/>
        </w:rPr>
      </w:pPr>
      <w:r>
        <w:rPr>
          <w:rFonts w:hint="eastAsia" w:ascii="宋体" w:hAnsi="宋体" w:cs="宋体"/>
          <w:color w:val="000000"/>
          <w:szCs w:val="21"/>
          <w:lang w:val="en-US" w:eastAsia="zh-CN"/>
        </w:rPr>
        <w:t>2.</w:t>
      </w:r>
      <w:r>
        <w:rPr>
          <w:rFonts w:hint="eastAsia" w:ascii="宋体" w:hAnsi="宋体" w:cs="宋体"/>
          <w:color w:val="000000"/>
          <w:szCs w:val="21"/>
        </w:rPr>
        <w:t>重点滩段及典型桥区</w:t>
      </w:r>
      <w:r>
        <w:rPr>
          <w:rFonts w:hint="eastAsia" w:ascii="宋体" w:hAnsi="宋体" w:cs="宋体"/>
          <w:color w:val="000000"/>
          <w:szCs w:val="21"/>
          <w:lang w:eastAsia="zh-CN"/>
        </w:rPr>
        <w:t>的</w:t>
      </w:r>
      <w:r>
        <w:rPr>
          <w:rFonts w:hint="eastAsia" w:ascii="宋体" w:hAnsi="宋体" w:cs="宋体"/>
          <w:color w:val="000000"/>
          <w:szCs w:val="21"/>
        </w:rPr>
        <w:t>主要范围如下：龙滩坝下+龙滩大桥、天峨大桥-塘英大桥、第一湾、大元大桥+鳄鱼湾、百龙滩坝下+贵南高铁桥+红渡红水河+下池弯道、大湾岩、乐滩-三坳滩（红渡大桥下2km）、龙马红水河特大桥-合山电厂（R350）-合山红水河特大桥、马安红水河大桥。</w:t>
      </w:r>
    </w:p>
    <w:p w14:paraId="05F7FAB1">
      <w:pPr>
        <w:widowControl/>
        <w:spacing w:line="360" w:lineRule="auto"/>
        <w:ind w:firstLine="422" w:firstLineChars="200"/>
        <w:outlineLvl w:val="1"/>
        <w:rPr>
          <w:rFonts w:ascii="宋体" w:hAnsi="宋体" w:cs="宋体"/>
          <w:b/>
          <w:bCs/>
          <w:color w:val="auto"/>
          <w:sz w:val="21"/>
          <w:szCs w:val="21"/>
          <w:highlight w:val="none"/>
          <w:lang w:bidi="ar"/>
        </w:rPr>
      </w:pPr>
      <w:bookmarkStart w:id="70" w:name="_Toc13473"/>
      <w:bookmarkStart w:id="71" w:name="_Toc1531"/>
      <w:bookmarkStart w:id="72" w:name="_Toc188"/>
      <w:bookmarkStart w:id="73" w:name="_Toc31645"/>
      <w:bookmarkStart w:id="74" w:name="_Toc8467"/>
      <w:r>
        <w:rPr>
          <w:rFonts w:hint="eastAsia" w:ascii="宋体" w:hAnsi="宋体" w:cs="宋体"/>
          <w:b/>
          <w:bCs/>
          <w:color w:val="auto"/>
          <w:sz w:val="21"/>
          <w:szCs w:val="21"/>
          <w:highlight w:val="none"/>
          <w:lang w:bidi="ar"/>
        </w:rPr>
        <w:t>四、商务要求</w:t>
      </w:r>
      <w:bookmarkEnd w:id="70"/>
      <w:bookmarkEnd w:id="71"/>
      <w:bookmarkEnd w:id="72"/>
      <w:bookmarkEnd w:id="73"/>
      <w:bookmarkEnd w:id="74"/>
    </w:p>
    <w:p w14:paraId="2E365ABF">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（一）报价要求</w:t>
      </w:r>
    </w:p>
    <w:p w14:paraId="657D36D6">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投标报价为完成采购人指定服务全部内容的报价，必须包含：履行合同的最终价格，包括了供应商完成本项目所需的一切工作内容而发生的所有直接费用、间接费用、其他费用、税金等全部费用和供应商要求获得的利润以及应由供应商承担的义务、责任和风险所发生的一切费用。</w:t>
      </w:r>
    </w:p>
    <w:p w14:paraId="3D9A60BB">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2.本次采购采用总价包干，投标报价包含为完成</w:t>
      </w:r>
      <w:r>
        <w:rPr>
          <w:rFonts w:hint="eastAsia" w:ascii="宋体" w:hAnsi="宋体" w:cs="宋体"/>
          <w:color w:val="auto"/>
          <w:sz w:val="21"/>
          <w:szCs w:val="21"/>
          <w:highlight w:val="none"/>
          <w:lang w:val="en-US" w:eastAsia="zh-CN" w:bidi="ar"/>
        </w:rPr>
        <w:t xml:space="preserve"> 红水河（曹渡河口至桥巩）三级航道工程船舶操纵仿真模拟试验专题研究服务 </w:t>
      </w:r>
      <w:r>
        <w:rPr>
          <w:rFonts w:hint="eastAsia" w:ascii="宋体" w:hAnsi="宋体" w:cs="宋体"/>
          <w:color w:val="auto"/>
          <w:sz w:val="21"/>
          <w:szCs w:val="21"/>
          <w:highlight w:val="none"/>
          <w:lang w:bidi="ar"/>
        </w:rPr>
        <w:t>项目的全部工作以及</w:t>
      </w:r>
      <w:r>
        <w:rPr>
          <w:rFonts w:hint="eastAsia" w:ascii="宋体" w:hAnsi="宋体" w:cs="宋体"/>
          <w:color w:val="auto"/>
          <w:sz w:val="21"/>
          <w:szCs w:val="21"/>
          <w:highlight w:val="none"/>
          <w:lang w:eastAsia="zh-CN" w:bidi="ar"/>
        </w:rPr>
        <w:t>全过程</w:t>
      </w:r>
      <w:r>
        <w:rPr>
          <w:rFonts w:hint="eastAsia" w:ascii="宋体" w:hAnsi="宋体" w:cs="宋体"/>
          <w:color w:val="auto"/>
          <w:sz w:val="21"/>
          <w:szCs w:val="21"/>
          <w:highlight w:val="none"/>
          <w:lang w:bidi="ar"/>
        </w:rPr>
        <w:t>可能发生的各种费用，包含但不限于从前期踏勘、资料收集、报告编制费、现场管理费、会议、专家咨询费、调研差旅费、管理费、文印费、设备耗材费、税费及合同包含的所有风险、责任及措施等费用。本项目合同总价在合同执行过程中是固定的，不因情况变化而调整。</w:t>
      </w:r>
    </w:p>
    <w:p w14:paraId="3F3ED957">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（二）工期要求</w:t>
      </w:r>
    </w:p>
    <w:p w14:paraId="3B64E2EE">
      <w:pPr>
        <w:widowControl/>
        <w:spacing w:line="360" w:lineRule="auto"/>
        <w:ind w:firstLine="420" w:firstLineChars="200"/>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rPr>
        <w:t>总工期：</w:t>
      </w:r>
      <w:r>
        <w:rPr>
          <w:rFonts w:hint="eastAsia" w:ascii="宋体" w:hAnsi="宋体" w:cs="宋体"/>
          <w:bCs/>
          <w:color w:val="auto"/>
          <w:sz w:val="21"/>
          <w:szCs w:val="21"/>
          <w:highlight w:val="none"/>
          <w:lang w:val="en-US" w:eastAsia="zh-CN"/>
        </w:rPr>
        <w:t>80日历天</w:t>
      </w:r>
      <w:r>
        <w:rPr>
          <w:rFonts w:hint="eastAsia" w:ascii="宋体" w:hAnsi="宋体" w:cs="宋体"/>
          <w:bCs/>
          <w:color w:val="auto"/>
          <w:sz w:val="21"/>
          <w:szCs w:val="21"/>
          <w:highlight w:val="none"/>
        </w:rPr>
        <w:t>。</w:t>
      </w:r>
      <w:r>
        <w:rPr>
          <w:rFonts w:hint="eastAsia" w:ascii="宋体" w:hAnsi="宋体" w:cs="宋体"/>
          <w:bCs/>
          <w:color w:val="auto"/>
          <w:sz w:val="21"/>
          <w:szCs w:val="21"/>
          <w:highlight w:val="none"/>
          <w:lang w:eastAsia="zh-CN"/>
        </w:rPr>
        <w:t>具体如下：合同签订后60日历天内提交专题研究报告送审稿，并在专题研究报告评审会后20日内完成最终稿。</w:t>
      </w:r>
    </w:p>
    <w:p w14:paraId="0499ED07">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成果</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验收时间另行计算，不计入总工期</w:t>
      </w:r>
    </w:p>
    <w:p w14:paraId="6651F542">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（三）成果交付要求</w:t>
      </w:r>
    </w:p>
    <w:p w14:paraId="2E228E49">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1.</w:t>
      </w:r>
      <w:r>
        <w:rPr>
          <w:rFonts w:hint="eastAsia" w:ascii="宋体" w:hAnsi="宋体" w:cs="宋体"/>
          <w:color w:val="auto"/>
          <w:sz w:val="21"/>
          <w:szCs w:val="21"/>
          <w:highlight w:val="none"/>
          <w:lang w:bidi="ar"/>
        </w:rPr>
        <w:t>成果内容</w:t>
      </w:r>
    </w:p>
    <w:p w14:paraId="44CA116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eastAsia="zh-CN" w:bidi="ar"/>
        </w:rPr>
        <w:t>成果内容包括：</w:t>
      </w:r>
      <w:r>
        <w:rPr>
          <w:rFonts w:hint="eastAsia" w:ascii="宋体" w:hAnsi="宋体" w:cs="宋体"/>
          <w:bCs/>
          <w:color w:val="auto"/>
          <w:sz w:val="21"/>
          <w:szCs w:val="21"/>
          <w:highlight w:val="none"/>
        </w:rPr>
        <w:t>《</w:t>
      </w:r>
      <w:r>
        <w:rPr>
          <w:rFonts w:hint="eastAsia" w:ascii="宋体" w:hAnsi="宋体" w:cs="宋体"/>
          <w:bCs/>
          <w:color w:val="auto"/>
          <w:sz w:val="21"/>
          <w:szCs w:val="21"/>
          <w:highlight w:val="none"/>
          <w:lang w:val="en-US" w:eastAsia="zh-CN"/>
        </w:rPr>
        <w:t>红水河（曹渡河口至桥巩）三级航道工程船舶操纵仿真模拟试验专题研究</w:t>
      </w:r>
      <w:r>
        <w:rPr>
          <w:rFonts w:hint="eastAsia" w:ascii="宋体" w:hAnsi="宋体" w:cs="宋体"/>
          <w:bCs/>
          <w:color w:val="auto"/>
          <w:sz w:val="21"/>
          <w:szCs w:val="21"/>
          <w:highlight w:val="none"/>
          <w:lang w:eastAsia="zh-CN"/>
        </w:rPr>
        <w:t>报告</w:t>
      </w:r>
      <w:r>
        <w:rPr>
          <w:rFonts w:hint="eastAsia" w:ascii="宋体" w:hAnsi="宋体" w:cs="宋体"/>
          <w:bCs/>
          <w:color w:val="auto"/>
          <w:sz w:val="21"/>
          <w:szCs w:val="21"/>
          <w:highlight w:val="none"/>
        </w:rPr>
        <w:t>》</w:t>
      </w:r>
      <w:r>
        <w:rPr>
          <w:rFonts w:hint="eastAsia" w:ascii="宋体" w:hAnsi="宋体" w:cs="宋体"/>
          <w:color w:val="auto"/>
          <w:sz w:val="21"/>
          <w:szCs w:val="21"/>
          <w:highlight w:val="none"/>
          <w:lang w:bidi="ar"/>
        </w:rPr>
        <w:t>。</w:t>
      </w:r>
    </w:p>
    <w:p w14:paraId="706EC850">
      <w:pPr>
        <w:widowControl/>
        <w:spacing w:line="360" w:lineRule="auto"/>
        <w:ind w:firstLine="420" w:firstLineChars="200"/>
        <w:rPr>
          <w:rFonts w:hint="default"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2.成果形式要求</w:t>
      </w:r>
    </w:p>
    <w:p w14:paraId="2F3207F6">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成果形式</w:t>
      </w:r>
      <w:r>
        <w:rPr>
          <w:rFonts w:hint="eastAsia" w:ascii="宋体" w:hAnsi="宋体" w:cs="宋体"/>
          <w:color w:val="auto"/>
          <w:sz w:val="21"/>
          <w:szCs w:val="21"/>
          <w:highlight w:val="none"/>
          <w:lang w:eastAsia="zh-CN" w:bidi="ar"/>
        </w:rPr>
        <w:t>包括：纸质成果和电子成果。要求如下：</w:t>
      </w:r>
    </w:p>
    <w:p w14:paraId="763F7124">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1</w:t>
      </w:r>
      <w:r>
        <w:rPr>
          <w:rFonts w:hint="eastAsia" w:ascii="宋体" w:hAnsi="宋体" w:eastAsia="宋体" w:cs="宋体"/>
          <w:color w:val="auto"/>
          <w:sz w:val="21"/>
          <w:szCs w:val="21"/>
          <w:highlight w:val="none"/>
          <w:lang w:eastAsia="zh-CN" w:bidi="ar"/>
        </w:rPr>
        <w:t>）</w:t>
      </w:r>
      <w:r>
        <w:rPr>
          <w:rFonts w:hint="eastAsia" w:ascii="宋体" w:hAnsi="宋体" w:cs="宋体"/>
          <w:color w:val="auto"/>
          <w:sz w:val="21"/>
          <w:szCs w:val="21"/>
          <w:highlight w:val="none"/>
          <w:lang w:bidi="ar"/>
        </w:rPr>
        <w:t>纸质成果：最终成果文</w:t>
      </w:r>
      <w:r>
        <w:rPr>
          <w:rFonts w:hint="eastAsia" w:ascii="宋体" w:hAnsi="宋体" w:cs="宋体"/>
          <w:color w:val="auto"/>
          <w:sz w:val="21"/>
          <w:szCs w:val="21"/>
          <w:highlight w:val="none"/>
          <w:lang w:eastAsia="zh-CN" w:bidi="ar"/>
        </w:rPr>
        <w:t>件需按规定签字或签章，并加盖单位公章</w:t>
      </w:r>
      <w:r>
        <w:rPr>
          <w:rFonts w:hint="eastAsia" w:ascii="宋体" w:hAnsi="宋体" w:cs="宋体"/>
          <w:color w:val="auto"/>
          <w:sz w:val="21"/>
          <w:szCs w:val="21"/>
          <w:highlight w:val="none"/>
          <w:lang w:bidi="ar"/>
        </w:rPr>
        <w:t>。</w:t>
      </w:r>
    </w:p>
    <w:p w14:paraId="54C732C4">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2</w:t>
      </w:r>
      <w:r>
        <w:rPr>
          <w:rFonts w:hint="eastAsia" w:ascii="宋体" w:hAnsi="宋体" w:eastAsia="宋体" w:cs="宋体"/>
          <w:color w:val="auto"/>
          <w:sz w:val="21"/>
          <w:szCs w:val="21"/>
          <w:highlight w:val="none"/>
          <w:lang w:eastAsia="zh-CN" w:bidi="ar"/>
        </w:rPr>
        <w:t>）</w:t>
      </w:r>
      <w:r>
        <w:rPr>
          <w:rFonts w:hint="eastAsia" w:ascii="宋体" w:hAnsi="宋体" w:cs="宋体"/>
          <w:color w:val="auto"/>
          <w:sz w:val="21"/>
          <w:szCs w:val="21"/>
          <w:highlight w:val="none"/>
          <w:lang w:bidi="ar"/>
        </w:rPr>
        <w:t>电子成果：</w:t>
      </w:r>
      <w:r>
        <w:rPr>
          <w:rFonts w:hint="eastAsia" w:ascii="宋体" w:hAnsi="宋体" w:cs="宋体"/>
          <w:color w:val="auto"/>
          <w:sz w:val="21"/>
          <w:szCs w:val="21"/>
          <w:highlight w:val="none"/>
          <w:lang w:val="en-US" w:eastAsia="zh-CN" w:bidi="ar"/>
        </w:rPr>
        <w:t>所有最终成果应提供电子文件，包括可编辑文档（</w:t>
      </w:r>
      <w:r>
        <w:rPr>
          <w:rFonts w:hint="eastAsia" w:ascii="宋体" w:hAnsi="宋体" w:cs="宋体"/>
          <w:color w:val="auto"/>
          <w:szCs w:val="21"/>
          <w:highlight w:val="none"/>
          <w:lang w:bidi="ar"/>
        </w:rPr>
        <w:t>文字为WORD格式、图纸为可编辑的CAD格式</w:t>
      </w:r>
      <w:r>
        <w:rPr>
          <w:rFonts w:hint="eastAsia" w:ascii="宋体" w:hAnsi="宋体" w:cs="宋体"/>
          <w:color w:val="auto"/>
          <w:sz w:val="21"/>
          <w:szCs w:val="21"/>
          <w:highlight w:val="none"/>
          <w:lang w:val="en-US" w:eastAsia="zh-CN" w:bidi="ar"/>
        </w:rPr>
        <w:t>）和按要求签字、签章的成果文件PDF或扫描件。</w:t>
      </w:r>
    </w:p>
    <w:p w14:paraId="39C41AD6">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3.成果交付份数</w:t>
      </w:r>
    </w:p>
    <w:p w14:paraId="3727E2D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（1）中间成果报告，一式30份，或者满足报告评审的需要。</w:t>
      </w:r>
    </w:p>
    <w:p w14:paraId="5CABA5A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（2）最终成果报告纸质文件各10份。</w:t>
      </w:r>
    </w:p>
    <w:p w14:paraId="73289047">
      <w:pPr>
        <w:widowControl/>
        <w:spacing w:line="360" w:lineRule="auto"/>
        <w:ind w:firstLine="420" w:firstLineChars="200"/>
        <w:rPr>
          <w:rFonts w:hint="eastAsia" w:ascii="宋体" w:hAnsi="宋体" w:eastAsia="宋体" w:cs="宋体"/>
          <w:color w:val="auto"/>
          <w:szCs w:val="21"/>
          <w:highlight w:val="none"/>
          <w:lang w:eastAsia="zh-CN" w:bidi="ar"/>
        </w:rPr>
      </w:pP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val="en-US" w:eastAsia="zh-CN" w:bidi="ar"/>
        </w:rPr>
        <w:t>3</w:t>
      </w:r>
      <w:r>
        <w:rPr>
          <w:rFonts w:hint="eastAsia" w:ascii="宋体" w:hAnsi="宋体" w:cs="宋体"/>
          <w:color w:val="auto"/>
          <w:szCs w:val="21"/>
          <w:highlight w:val="none"/>
          <w:lang w:eastAsia="zh-CN" w:bidi="ar"/>
        </w:rPr>
        <w:t>）</w:t>
      </w:r>
      <w:r>
        <w:rPr>
          <w:rFonts w:hint="eastAsia" w:ascii="宋体" w:hAnsi="宋体" w:cs="宋体"/>
          <w:color w:val="auto"/>
          <w:sz w:val="21"/>
          <w:szCs w:val="21"/>
          <w:highlight w:val="none"/>
          <w:lang w:val="en-US" w:eastAsia="zh-CN" w:bidi="ar"/>
        </w:rPr>
        <w:t>最终成果电子文件（包括可编辑文档和按要求签章的成果文件的PDF或扫描件）一式2份，光盘和U盘各1份贮存。</w:t>
      </w:r>
    </w:p>
    <w:p w14:paraId="38C98C32">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val="en-US" w:eastAsia="zh-CN" w:bidi="ar"/>
        </w:rPr>
        <w:t>4.</w:t>
      </w:r>
      <w:r>
        <w:rPr>
          <w:rFonts w:hint="eastAsia" w:ascii="宋体" w:hAnsi="宋体" w:cs="宋体"/>
          <w:color w:val="auto"/>
          <w:szCs w:val="21"/>
          <w:highlight w:val="none"/>
          <w:lang w:bidi="ar"/>
        </w:rPr>
        <w:t>成果交付地点</w:t>
      </w:r>
    </w:p>
    <w:p w14:paraId="3F28BA96">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Cs w:val="21"/>
          <w:highlight w:val="none"/>
          <w:lang w:eastAsia="zh-CN" w:bidi="ar"/>
        </w:rPr>
        <w:t>成果交付地点为</w:t>
      </w:r>
      <w:r>
        <w:rPr>
          <w:rFonts w:hint="eastAsia" w:ascii="宋体" w:hAnsi="宋体" w:cs="宋体"/>
          <w:color w:val="auto"/>
          <w:szCs w:val="21"/>
          <w:highlight w:val="none"/>
          <w:lang w:bidi="ar"/>
        </w:rPr>
        <w:t>采购人办公地点</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采购人可根据需要指定其他地点。</w:t>
      </w:r>
    </w:p>
    <w:p w14:paraId="048A643C">
      <w:pPr>
        <w:widowControl/>
        <w:spacing w:line="360" w:lineRule="auto"/>
        <w:ind w:firstLine="420" w:firstLineChars="200"/>
        <w:rPr>
          <w:rFonts w:hint="default" w:ascii="宋体" w:hAnsi="宋体" w:eastAsia="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5.成果验收</w:t>
      </w:r>
    </w:p>
    <w:p w14:paraId="58229E01">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按要求提</w:t>
      </w:r>
      <w:r>
        <w:rPr>
          <w:rFonts w:hint="eastAsia" w:ascii="宋体" w:hAnsi="宋体" w:cs="宋体"/>
          <w:color w:val="auto"/>
          <w:sz w:val="21"/>
          <w:szCs w:val="21"/>
          <w:highlight w:val="none"/>
          <w:lang w:eastAsia="zh-CN" w:bidi="ar"/>
        </w:rPr>
        <w:t>交</w:t>
      </w:r>
      <w:r>
        <w:rPr>
          <w:rFonts w:hint="eastAsia" w:ascii="宋体" w:hAnsi="宋体" w:cs="宋体"/>
          <w:color w:val="auto"/>
          <w:sz w:val="21"/>
          <w:szCs w:val="21"/>
          <w:highlight w:val="none"/>
          <w:lang w:bidi="ar"/>
        </w:rPr>
        <w:t>成果文件后，由</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组织专家</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验收过程所产生的专家咨询费等相关费用由</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承担。</w:t>
      </w:r>
    </w:p>
    <w:p w14:paraId="0382B583">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（四）付款方式</w:t>
      </w:r>
    </w:p>
    <w:p w14:paraId="189E150A">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根据</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的工作进度，分期支付合同价款。</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根据工作进度，向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提交支付申请，并附相应的支持性证明文件。</w:t>
      </w:r>
    </w:p>
    <w:p w14:paraId="5078F432">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因本项目经费为财政性资金，由于财政资金未按时到位或财政资金管理原因暂时不能支付的，合同价款的支付时间相应顺延，并且</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不因此承担逾期付款的违约责任。</w:t>
      </w:r>
    </w:p>
    <w:p w14:paraId="44B31947">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 第一期付款</w:t>
      </w:r>
      <w:r>
        <w:rPr>
          <w:rFonts w:hint="eastAsia" w:ascii="宋体" w:hAnsi="宋体" w:cs="宋体"/>
          <w:color w:val="auto"/>
          <w:sz w:val="21"/>
          <w:szCs w:val="21"/>
          <w:highlight w:val="none"/>
          <w:lang w:eastAsia="zh-CN" w:bidi="ar"/>
        </w:rPr>
        <w:t>（预付款）</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合同签署后，由供应商提交预付款支付申请，采购人收到预付款支付申请后的14天内，向供应商支付合同价的</w:t>
      </w:r>
      <w:r>
        <w:rPr>
          <w:rFonts w:hint="eastAsia" w:ascii="宋体" w:hAnsi="宋体" w:cs="宋体"/>
          <w:color w:val="auto"/>
          <w:sz w:val="21"/>
          <w:szCs w:val="21"/>
          <w:highlight w:val="none"/>
          <w:lang w:val="en-US" w:eastAsia="zh-CN" w:bidi="ar"/>
        </w:rPr>
        <w:t>3</w:t>
      </w:r>
      <w:r>
        <w:rPr>
          <w:rFonts w:hint="eastAsia" w:ascii="宋体" w:hAnsi="宋体" w:cs="宋体"/>
          <w:color w:val="auto"/>
          <w:sz w:val="21"/>
          <w:szCs w:val="21"/>
          <w:highlight w:val="none"/>
          <w:lang w:eastAsia="zh-CN" w:bidi="ar"/>
        </w:rPr>
        <w:t>0%作为预付款；供应商应当提供等额的增值税普通发票；本合同履行后，预付款抵作进度款，如因发生不可抗力事件导致预付款已支付但合同无法继续履行的情况，供应商应向采购人退还尚未开展工作内容对应的款项</w:t>
      </w:r>
      <w:r>
        <w:rPr>
          <w:rFonts w:hint="eastAsia" w:ascii="宋体" w:hAnsi="宋体" w:cs="宋体"/>
          <w:color w:val="auto"/>
          <w:sz w:val="21"/>
          <w:szCs w:val="21"/>
          <w:highlight w:val="none"/>
          <w:lang w:bidi="ar"/>
        </w:rPr>
        <w:t>。</w:t>
      </w:r>
    </w:p>
    <w:p w14:paraId="507CE862">
      <w:pPr>
        <w:widowControl/>
        <w:spacing w:line="360" w:lineRule="auto"/>
        <w:ind w:firstLine="420" w:firstLineChars="200"/>
        <w:rPr>
          <w:rFonts w:ascii="宋体" w:hAnsi="宋体" w:cs="宋体"/>
          <w:color w:val="auto"/>
          <w:sz w:val="24"/>
          <w:highlight w:val="none"/>
          <w:lang w:bidi="ar"/>
        </w:rPr>
      </w:pPr>
      <w:r>
        <w:rPr>
          <w:rFonts w:hint="eastAsia" w:ascii="宋体" w:hAnsi="宋体" w:cs="宋体"/>
          <w:color w:val="auto"/>
          <w:sz w:val="21"/>
          <w:szCs w:val="21"/>
          <w:highlight w:val="none"/>
          <w:lang w:val="en-US" w:eastAsia="zh-CN" w:bidi="ar"/>
        </w:rPr>
        <w:t>2</w:t>
      </w:r>
      <w:r>
        <w:rPr>
          <w:rFonts w:hint="eastAsia" w:ascii="宋体" w:hAnsi="宋体" w:cs="宋体"/>
          <w:color w:val="auto"/>
          <w:sz w:val="21"/>
          <w:szCs w:val="21"/>
          <w:highlight w:val="none"/>
          <w:lang w:bidi="ar"/>
        </w:rPr>
        <w:t>. 第二期付款</w:t>
      </w:r>
      <w:r>
        <w:rPr>
          <w:rFonts w:hint="eastAsia" w:ascii="宋体" w:hAnsi="宋体" w:cs="宋体"/>
          <w:color w:val="auto"/>
          <w:sz w:val="21"/>
          <w:szCs w:val="21"/>
          <w:highlight w:val="none"/>
          <w:lang w:eastAsia="zh-CN" w:bidi="ar"/>
        </w:rPr>
        <w:t>（尾款）</w:t>
      </w:r>
      <w:r>
        <w:rPr>
          <w:rFonts w:hint="eastAsia" w:ascii="宋体" w:hAnsi="宋体" w:cs="宋体"/>
          <w:color w:val="auto"/>
          <w:sz w:val="21"/>
          <w:szCs w:val="21"/>
          <w:highlight w:val="none"/>
          <w:lang w:bidi="ar"/>
        </w:rPr>
        <w:t>：在</w:t>
      </w:r>
      <w:r>
        <w:rPr>
          <w:rFonts w:hint="eastAsia" w:ascii="宋体" w:hAnsi="宋体" w:cs="宋体"/>
          <w:color w:val="auto"/>
          <w:sz w:val="21"/>
          <w:szCs w:val="21"/>
          <w:highlight w:val="none"/>
          <w:lang w:eastAsia="zh-CN" w:bidi="ar"/>
        </w:rPr>
        <w:t>所有合同工作完成且评审验收合格</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供应商提交专题研究报告最终稿后，由供应商提交进度款支付申请，采购人收到进度款支付申请后的14天内，向供应商支付至签约合同价的100%；供应商应当提供等额的增值税发票</w:t>
      </w:r>
      <w:r>
        <w:rPr>
          <w:rFonts w:hint="eastAsia" w:ascii="宋体" w:hAnsi="宋体" w:cs="宋体"/>
          <w:color w:val="auto"/>
          <w:sz w:val="21"/>
          <w:szCs w:val="21"/>
          <w:highlight w:val="none"/>
          <w:lang w:bidi="ar"/>
        </w:rPr>
        <w:t>。</w:t>
      </w:r>
    </w:p>
    <w:p w14:paraId="740B92DC">
      <w:pPr>
        <w:widowControl/>
        <w:spacing w:line="360" w:lineRule="auto"/>
        <w:ind w:firstLine="422" w:firstLineChars="200"/>
        <w:outlineLvl w:val="2"/>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eastAsia="zh-CN" w:bidi="ar"/>
        </w:rPr>
        <w:t>（五）</w:t>
      </w:r>
      <w:r>
        <w:rPr>
          <w:rFonts w:hint="eastAsia" w:ascii="宋体" w:hAnsi="宋体" w:eastAsia="宋体" w:cs="宋体"/>
          <w:b/>
          <w:bCs/>
          <w:color w:val="auto"/>
          <w:sz w:val="21"/>
          <w:szCs w:val="21"/>
          <w:highlight w:val="none"/>
          <w:lang w:bidi="ar"/>
        </w:rPr>
        <w:t>履约保证金</w:t>
      </w:r>
    </w:p>
    <w:p w14:paraId="595D6855">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在签订合同之前，</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提交金额为签约合同价5%（或2%，如</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为中小微企业时）的履约保证金。</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未按约定提交履约保证金的，视为放弃中标资格，</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有权不予与其签订合同；因此给</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造成损失的，</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还应承担相应的赔偿责任。</w:t>
      </w:r>
    </w:p>
    <w:p w14:paraId="2E90F7C7">
      <w:pPr>
        <w:rPr>
          <w:color w:val="auto"/>
          <w:sz w:val="28"/>
          <w:szCs w:val="28"/>
          <w:highlight w:val="none"/>
        </w:rPr>
      </w:pPr>
      <w:bookmarkStart w:id="75" w:name="_Toc6863"/>
      <w:bookmarkStart w:id="76" w:name="_Toc23331"/>
      <w:bookmarkStart w:id="77" w:name="_Toc12517"/>
      <w:r>
        <w:rPr>
          <w:rFonts w:hint="eastAsia"/>
          <w:color w:val="auto"/>
          <w:sz w:val="28"/>
          <w:szCs w:val="28"/>
          <w:highlight w:val="none"/>
        </w:rPr>
        <w:br w:type="page"/>
      </w:r>
    </w:p>
    <w:p w14:paraId="3304DF77">
      <w:pPr>
        <w:pStyle w:val="2"/>
        <w:spacing w:before="0" w:after="0" w:line="360" w:lineRule="auto"/>
        <w:jc w:val="center"/>
        <w:rPr>
          <w:color w:val="auto"/>
          <w:sz w:val="28"/>
          <w:szCs w:val="28"/>
          <w:highlight w:val="none"/>
        </w:rPr>
      </w:pPr>
      <w:bookmarkStart w:id="78" w:name="_Toc24083"/>
      <w:bookmarkStart w:id="79" w:name="_Toc22370"/>
      <w:bookmarkStart w:id="80" w:name="_Toc6744"/>
      <w:bookmarkStart w:id="81" w:name="_Toc16772"/>
      <w:bookmarkStart w:id="82" w:name="_Toc23860"/>
      <w:bookmarkStart w:id="83" w:name="_Toc3595"/>
      <w:bookmarkStart w:id="84" w:name="_Toc13515"/>
      <w:bookmarkStart w:id="85" w:name="_Toc5075"/>
      <w:bookmarkStart w:id="86" w:name="_Toc27586"/>
      <w:bookmarkStart w:id="87" w:name="_Toc26212"/>
      <w:bookmarkStart w:id="88" w:name="_Toc15050"/>
      <w:bookmarkStart w:id="89" w:name="_Toc10480"/>
      <w:bookmarkStart w:id="90" w:name="_Toc2719"/>
      <w:r>
        <w:rPr>
          <w:rFonts w:hint="eastAsia"/>
          <w:color w:val="auto"/>
          <w:sz w:val="28"/>
          <w:szCs w:val="28"/>
          <w:highlight w:val="none"/>
        </w:rPr>
        <w:t>第四章  评审办法</w:t>
      </w:r>
      <w:bookmarkEnd w:id="75"/>
      <w:bookmarkEnd w:id="76"/>
      <w:bookmarkEnd w:id="78"/>
      <w:bookmarkEnd w:id="79"/>
      <w:bookmarkEnd w:id="80"/>
      <w:bookmarkEnd w:id="81"/>
      <w:bookmarkEnd w:id="82"/>
      <w:bookmarkEnd w:id="83"/>
      <w:bookmarkEnd w:id="84"/>
      <w:bookmarkEnd w:id="85"/>
      <w:bookmarkEnd w:id="86"/>
      <w:bookmarkEnd w:id="87"/>
      <w:bookmarkEnd w:id="88"/>
      <w:bookmarkEnd w:id="89"/>
      <w:bookmarkEnd w:id="90"/>
    </w:p>
    <w:p w14:paraId="65225332">
      <w:pPr>
        <w:spacing w:line="360" w:lineRule="auto"/>
        <w:jc w:val="center"/>
        <w:outlineLvl w:val="1"/>
        <w:rPr>
          <w:rFonts w:ascii="宋体" w:hAnsi="宋体"/>
          <w:b/>
          <w:color w:val="auto"/>
          <w:sz w:val="24"/>
          <w:highlight w:val="none"/>
        </w:rPr>
      </w:pPr>
      <w:bookmarkStart w:id="91" w:name="_Toc32309"/>
      <w:bookmarkStart w:id="92" w:name="_Toc24776"/>
      <w:bookmarkStart w:id="93" w:name="_Toc19504"/>
      <w:bookmarkStart w:id="94" w:name="_Toc28533"/>
      <w:bookmarkStart w:id="95" w:name="_Toc24809"/>
      <w:bookmarkStart w:id="96" w:name="_Toc32449"/>
      <w:bookmarkStart w:id="97" w:name="_Toc2618"/>
      <w:bookmarkStart w:id="98" w:name="_Toc16989"/>
      <w:bookmarkStart w:id="99" w:name="_Toc22297"/>
      <w:bookmarkStart w:id="100" w:name="_Toc11870"/>
      <w:bookmarkStart w:id="101" w:name="_Toc14190"/>
      <w:bookmarkStart w:id="102" w:name="_Toc17459"/>
      <w:bookmarkStart w:id="103" w:name="_Toc3910"/>
      <w:bookmarkStart w:id="104" w:name="_Toc26385"/>
      <w:bookmarkStart w:id="105" w:name="_Toc18804"/>
      <w:r>
        <w:rPr>
          <w:rFonts w:hint="eastAsia" w:ascii="宋体" w:hAnsi="宋体"/>
          <w:b/>
          <w:color w:val="auto"/>
          <w:sz w:val="24"/>
          <w:highlight w:val="none"/>
        </w:rPr>
        <w:t>第一节  评审程序和评审方法</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bookmarkEnd w:id="77"/>
    <w:p w14:paraId="6B9EB64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根据《中华人民共和国政府采购法》《中华人民共和国民法典》《</w:t>
      </w:r>
      <w:r>
        <w:rPr>
          <w:rFonts w:hint="eastAsia" w:ascii="宋体" w:hAnsi="宋体" w:cs="宋体"/>
          <w:color w:val="auto"/>
          <w:szCs w:val="21"/>
          <w:highlight w:val="none"/>
          <w:lang w:eastAsia="zh-CN"/>
        </w:rPr>
        <w:t>广西壮族自治区水运发展中心</w:t>
      </w:r>
      <w:r>
        <w:rPr>
          <w:rFonts w:ascii="宋体" w:hAnsi="宋体" w:cs="宋体"/>
          <w:color w:val="auto"/>
          <w:szCs w:val="21"/>
          <w:highlight w:val="none"/>
        </w:rPr>
        <w:t>自行采购管理办法》等有关规定，采购人组建合议小组（评审小组）按本采购文件规定，对响应文件进行评审。</w:t>
      </w:r>
      <w:r>
        <w:rPr>
          <w:rFonts w:hint="eastAsia" w:ascii="宋体" w:hAnsi="宋体" w:cs="宋体"/>
          <w:color w:val="auto"/>
          <w:szCs w:val="21"/>
          <w:highlight w:val="none"/>
        </w:rPr>
        <w:t>本次采购采用综合评估法。</w:t>
      </w:r>
    </w:p>
    <w:p w14:paraId="083953B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一、资格审查</w:t>
      </w:r>
    </w:p>
    <w:p w14:paraId="1B6A4676">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（一）</w:t>
      </w:r>
      <w:r>
        <w:rPr>
          <w:rFonts w:hint="eastAsia" w:ascii="宋体" w:hAnsi="宋体"/>
          <w:color w:val="auto"/>
          <w:szCs w:val="21"/>
          <w:highlight w:val="none"/>
        </w:rPr>
        <w:t>评审小组依法对供应商的响应文件中资格证明文件进行审查。</w:t>
      </w:r>
    </w:p>
    <w:p w14:paraId="39288E29">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w:t>
      </w:r>
      <w:r>
        <w:rPr>
          <w:rFonts w:ascii="宋体" w:hAnsi="宋体" w:cs="宋体"/>
          <w:color w:val="auto"/>
          <w:szCs w:val="21"/>
          <w:highlight w:val="none"/>
        </w:rPr>
        <w:t>“信用中国”网站、中国政府采购网</w:t>
      </w:r>
      <w:r>
        <w:rPr>
          <w:rFonts w:hint="eastAsia" w:ascii="宋体" w:hAnsi="宋体" w:cs="宋体"/>
          <w:color w:val="auto"/>
          <w:szCs w:val="21"/>
          <w:highlight w:val="none"/>
        </w:rPr>
        <w:t>。</w:t>
      </w:r>
    </w:p>
    <w:p w14:paraId="60233D5A">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2.信用查询截止时点：</w:t>
      </w:r>
      <w:r>
        <w:rPr>
          <w:rFonts w:ascii="宋体" w:hAnsi="宋体" w:cs="宋体"/>
          <w:color w:val="auto"/>
          <w:szCs w:val="21"/>
          <w:highlight w:val="none"/>
        </w:rPr>
        <w:t>资格审查结束前</w:t>
      </w:r>
    </w:p>
    <w:p w14:paraId="392563E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3.查询记录和证据留存方式：将查询网站中的查询记录截图并作为评审资料保存。</w:t>
      </w:r>
    </w:p>
    <w:p w14:paraId="7C58C74B">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4.信用信息使用规则：</w:t>
      </w:r>
    </w:p>
    <w:p w14:paraId="2843016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对在“信用中国”网站、中国政府采购网被列入失信被执行人、重大税收违法案件当事人名单、政府采购严重违法失信行为记录名单及其他不符合《中华人民共和国政府采购法》第二十二条规定条件的供应商，不得参与本次采购活动。</w:t>
      </w:r>
    </w:p>
    <w:p w14:paraId="2ADDD50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（2)资格审查标准为本采购文件中载明对供应商资格要求的条件。资格审查采用合格制，凡符合采购文件规定的供应商资格要求的响应文件均通过资格审查。</w:t>
      </w:r>
    </w:p>
    <w:p w14:paraId="7E13C0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(3)供应商资格审查不通过的，其响应文件按无效响应处理。</w:t>
      </w:r>
    </w:p>
    <w:p w14:paraId="31C0A3BE">
      <w:pPr>
        <w:tabs>
          <w:tab w:val="left" w:pos="3150"/>
        </w:tabs>
        <w:spacing w:line="360" w:lineRule="auto"/>
        <w:ind w:firstLine="420" w:firstLineChars="200"/>
        <w:rPr>
          <w:color w:val="auto"/>
          <w:highlight w:val="none"/>
        </w:rPr>
      </w:pPr>
      <w:r>
        <w:rPr>
          <w:rFonts w:hint="eastAsia" w:ascii="宋体" w:hAnsi="宋体" w:cs="宋体"/>
          <w:color w:val="auto"/>
          <w:szCs w:val="21"/>
          <w:highlight w:val="none"/>
        </w:rPr>
        <w:t>(4)</w:t>
      </w:r>
      <w:r>
        <w:rPr>
          <w:rFonts w:hint="eastAsia"/>
          <w:color w:val="auto"/>
          <w:highlight w:val="none"/>
        </w:rPr>
        <w:t>凡是不满足资格审查中的任意一条，均为不通过资格审查。</w:t>
      </w:r>
    </w:p>
    <w:p w14:paraId="008B1140">
      <w:pPr>
        <w:tabs>
          <w:tab w:val="left" w:pos="3150"/>
        </w:tabs>
        <w:spacing w:line="360" w:lineRule="auto"/>
        <w:ind w:firstLine="420" w:firstLineChars="200"/>
        <w:rPr>
          <w:color w:val="auto"/>
          <w:highlight w:val="none"/>
        </w:rPr>
      </w:pPr>
      <w:r>
        <w:rPr>
          <w:rFonts w:hint="eastAsia" w:ascii="宋体" w:hAnsi="宋体" w:cs="宋体"/>
          <w:color w:val="auto"/>
          <w:szCs w:val="21"/>
          <w:highlight w:val="none"/>
        </w:rPr>
        <w:t>(5)</w:t>
      </w:r>
      <w:r>
        <w:rPr>
          <w:rFonts w:hint="eastAsia"/>
          <w:color w:val="auto"/>
          <w:highlight w:val="none"/>
        </w:rPr>
        <w:t>如果通过资格审查的投标供应商不足三家：</w:t>
      </w:r>
    </w:p>
    <w:p w14:paraId="7EF076D7">
      <w:pPr>
        <w:tabs>
          <w:tab w:val="left" w:pos="3150"/>
        </w:tabs>
        <w:spacing w:line="360" w:lineRule="auto"/>
        <w:ind w:firstLine="420" w:firstLineChars="200"/>
        <w:rPr>
          <w:color w:val="auto"/>
          <w:highlight w:val="none"/>
        </w:rPr>
      </w:pPr>
      <w:r>
        <w:rPr>
          <w:rFonts w:hint="eastAsia" w:ascii="宋体" w:hAnsi="宋体" w:cs="宋体"/>
          <w:color w:val="auto"/>
          <w:highlight w:val="none"/>
        </w:rPr>
        <w:t>①</w:t>
      </w:r>
      <w:r>
        <w:rPr>
          <w:rFonts w:hint="eastAsia"/>
          <w:color w:val="auto"/>
          <w:highlight w:val="none"/>
        </w:rPr>
        <w:t>延长采购公告时间，延期3个工作日。</w:t>
      </w:r>
    </w:p>
    <w:p w14:paraId="058C34E0">
      <w:pPr>
        <w:tabs>
          <w:tab w:val="left" w:pos="3150"/>
        </w:tabs>
        <w:spacing w:line="360" w:lineRule="auto"/>
        <w:ind w:firstLine="420" w:firstLineChars="200"/>
        <w:rPr>
          <w:color w:val="auto"/>
          <w:highlight w:val="none"/>
        </w:rPr>
      </w:pPr>
      <w:r>
        <w:rPr>
          <w:rFonts w:hint="eastAsia" w:ascii="宋体" w:hAnsi="宋体" w:cs="宋体"/>
          <w:color w:val="auto"/>
          <w:highlight w:val="none"/>
        </w:rPr>
        <w:t>②</w:t>
      </w:r>
      <w:r>
        <w:rPr>
          <w:rFonts w:hint="eastAsia"/>
          <w:color w:val="auto"/>
          <w:highlight w:val="none"/>
        </w:rPr>
        <w:t>延期时间截止，响应供应商为2家或2家以上的，按照正常采购流程开展。</w:t>
      </w:r>
    </w:p>
    <w:p w14:paraId="28F3AD09">
      <w:pPr>
        <w:snapToGrid w:val="0"/>
        <w:spacing w:line="360" w:lineRule="auto"/>
        <w:ind w:firstLine="420" w:firstLineChars="200"/>
        <w:jc w:val="left"/>
        <w:rPr>
          <w:rFonts w:ascii="宋体" w:hAnsi="宋体" w:cs="宋体"/>
          <w:color w:val="auto"/>
          <w:szCs w:val="21"/>
          <w:highlight w:val="none"/>
        </w:rPr>
      </w:pPr>
      <w:r>
        <w:rPr>
          <w:rFonts w:hint="eastAsia" w:ascii="仿宋" w:hAnsi="仿宋" w:eastAsia="仿宋" w:cs="仿宋"/>
          <w:color w:val="auto"/>
          <w:highlight w:val="none"/>
        </w:rPr>
        <w:t>③</w:t>
      </w:r>
      <w:r>
        <w:rPr>
          <w:rFonts w:hint="eastAsia"/>
          <w:color w:val="auto"/>
          <w:highlight w:val="none"/>
        </w:rPr>
        <w:t>延期时间截止，响应供应商为1家的，由</w:t>
      </w:r>
      <w:r>
        <w:rPr>
          <w:rFonts w:hint="eastAsia" w:ascii="宋体" w:hAnsi="宋体" w:cs="宋体"/>
          <w:color w:val="auto"/>
          <w:szCs w:val="21"/>
          <w:highlight w:val="none"/>
        </w:rPr>
        <w:t>采购人</w:t>
      </w:r>
      <w:r>
        <w:rPr>
          <w:rFonts w:hint="eastAsia"/>
          <w:color w:val="auto"/>
          <w:highlight w:val="none"/>
        </w:rPr>
        <w:t>审核供应商投标文件，</w:t>
      </w:r>
      <w:r>
        <w:rPr>
          <w:rFonts w:hint="eastAsia" w:ascii="宋体" w:hAnsi="宋体" w:cs="宋体"/>
          <w:color w:val="auto"/>
          <w:szCs w:val="21"/>
          <w:highlight w:val="none"/>
        </w:rPr>
        <w:t>确定满足采购方案的条件后，组成谈判小组与供应商谈判。根据采购人内部程序，确定中标人，签订采购合同、支付合同款等。</w:t>
      </w:r>
    </w:p>
    <w:p w14:paraId="7EB209C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二、符合性审查</w:t>
      </w:r>
    </w:p>
    <w:p w14:paraId="6777F258">
      <w:pPr>
        <w:spacing w:line="360" w:lineRule="auto"/>
        <w:ind w:firstLine="420" w:firstLineChars="200"/>
        <w:rPr>
          <w:rFonts w:ascii="宋体" w:hAnsi="宋体" w:cs="宋体"/>
          <w:color w:val="auto"/>
          <w:szCs w:val="21"/>
          <w:highlight w:val="none"/>
        </w:rPr>
      </w:pPr>
      <w:bookmarkStart w:id="106" w:name="_Hlk42528882"/>
      <w:r>
        <w:rPr>
          <w:rFonts w:hint="eastAsia" w:ascii="宋体" w:hAnsi="宋体" w:cs="宋体"/>
          <w:color w:val="auto"/>
          <w:szCs w:val="21"/>
          <w:highlight w:val="none"/>
        </w:rPr>
        <w:t>（一）由评审小组对</w:t>
      </w:r>
      <w:r>
        <w:rPr>
          <w:rFonts w:hint="eastAsia" w:ascii="宋体" w:hAnsi="宋体"/>
          <w:color w:val="auto"/>
          <w:szCs w:val="21"/>
          <w:highlight w:val="none"/>
        </w:rPr>
        <w:t>资格审查的合格供应商</w:t>
      </w:r>
      <w:r>
        <w:rPr>
          <w:rFonts w:hint="eastAsia" w:ascii="宋体" w:hAnsi="宋体" w:cs="宋体"/>
          <w:color w:val="auto"/>
          <w:szCs w:val="21"/>
          <w:highlight w:val="none"/>
        </w:rPr>
        <w:t>的响应文件进行符合性审查，以确定其是否满足采购文件的实质性要求。</w:t>
      </w:r>
    </w:p>
    <w:bookmarkEnd w:id="106"/>
    <w:p w14:paraId="72D2E5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631412">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三）评审小组要求供应商澄清、说明或者更正响应文件应当以正式函形式作出。供应商的澄清、说明或者更正应当以正式形式按照评审小组的要求作出明确的澄清、说明或者更正，未按评审小组的要求作出明确澄清、说明或者更正的供应商的响应文件将按照有利于采购人的原则由评审小组进行判定。供应商的澄清、说明或者更正必须由法定代表人或者其授权代表签字或加盖供应商公章</w:t>
      </w:r>
      <w:r>
        <w:rPr>
          <w:rFonts w:hint="eastAsia" w:ascii="宋体" w:hAnsi="宋体" w:cs="宋体"/>
          <w:color w:val="auto"/>
          <w:spacing w:val="-6"/>
          <w:szCs w:val="21"/>
          <w:highlight w:val="none"/>
        </w:rPr>
        <w:t>。</w:t>
      </w:r>
    </w:p>
    <w:p w14:paraId="7E6F0E20">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（四）</w:t>
      </w:r>
      <w:r>
        <w:rPr>
          <w:rFonts w:hint="eastAsia" w:ascii="宋体" w:hAnsi="宋体" w:cs="宋体"/>
          <w:color w:val="auto"/>
          <w:szCs w:val="21"/>
          <w:highlight w:val="none"/>
        </w:rPr>
        <w:t xml:space="preserve">响应文件报价出现前后不一致的，按照下列规定修正： </w:t>
      </w:r>
    </w:p>
    <w:p w14:paraId="649B47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1571A1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447D6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39723E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27BD16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5C431A2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（五）商务技术及报价评审</w:t>
      </w:r>
    </w:p>
    <w:p w14:paraId="526D4229">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在评审时，如发现下列情形之一的，将被视为响应文件无效响应处理：</w:t>
      </w:r>
    </w:p>
    <w:p w14:paraId="710DF1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177BE0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（1）响应文件未按采购文件要求签署、盖章；</w:t>
      </w:r>
    </w:p>
    <w:p w14:paraId="6CDA58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2F037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（3）响应文件的实质性内容未使用中文表述、使用计量单位不符合采购文件要求；</w:t>
      </w:r>
    </w:p>
    <w:p w14:paraId="0AE3BE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（4）响应文件中的文件资料因填写不齐全或者内容虚假或者出现其他情形而导致被评审小组认定无效；</w:t>
      </w:r>
    </w:p>
    <w:p w14:paraId="1F405E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（5）响应文件含有采购人不能接受的附加条件；</w:t>
      </w:r>
    </w:p>
    <w:p w14:paraId="4FB92A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（6）虚假投标，或者出现其他情形而导致被评审小组认定无效；</w:t>
      </w:r>
    </w:p>
    <w:p w14:paraId="64439326">
      <w:pPr>
        <w:spacing w:line="360" w:lineRule="auto"/>
        <w:ind w:firstLine="420" w:firstLineChars="200"/>
        <w:rPr>
          <w:rFonts w:ascii="宋体" w:hAnsi="宋体" w:cs="宋体"/>
          <w:color w:val="auto"/>
          <w:szCs w:val="21"/>
          <w:highlight w:val="none"/>
        </w:rPr>
      </w:pPr>
      <w:bookmarkStart w:id="107" w:name="_Hlk71704147"/>
      <w:r>
        <w:rPr>
          <w:rFonts w:hint="eastAsia" w:ascii="宋体" w:hAnsi="宋体" w:cs="宋体"/>
          <w:color w:val="auto"/>
          <w:szCs w:val="21"/>
          <w:highlight w:val="none"/>
        </w:rPr>
        <w:t>（7）采购文件未载明允许提供备选（替代）投标方案或明确不允许提供备选（替代）投标方案时，供应商提供了备选（替代）投标方案的；</w:t>
      </w:r>
      <w:bookmarkEnd w:id="107"/>
    </w:p>
    <w:p w14:paraId="1FCEF5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（8）响应文件标注的项目名称或者项目编号与采购文件标注的项目名称或者项目编号不一致的；</w:t>
      </w:r>
    </w:p>
    <w:p w14:paraId="2F68D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olor w:val="auto"/>
          <w:szCs w:val="21"/>
          <w:highlight w:val="none"/>
        </w:rPr>
        <w:t>采购文件明确不允许分包，响应文件拟分包的；</w:t>
      </w:r>
    </w:p>
    <w:p w14:paraId="2C5962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（10）未响应采购文件的采购内容、工期要求、质量要求等实质性要求；</w:t>
      </w:r>
    </w:p>
    <w:p w14:paraId="517409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（11）法律、法规和采购文件规定的其他无效情形。</w:t>
      </w:r>
    </w:p>
    <w:p w14:paraId="706E0B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3B7771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（1）响应文件未提供采购文件中规定的“投标报价表”；</w:t>
      </w:r>
    </w:p>
    <w:p w14:paraId="2367B3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（2）未采用人民币报价或者未按照采购文件标明的币种报价；</w:t>
      </w:r>
    </w:p>
    <w:p w14:paraId="47B6A6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投标分标进行报价或者存在漏项报价；供应商未就所投标分标的单项内容作唯一报价；供应商未就所投标分标的全部内容作完整唯一总价报价；供应商响应文件中存在有选择、有条件报价的（采购文件允许有备选方案或者其他约定的除外）；</w:t>
      </w:r>
    </w:p>
    <w:p w14:paraId="109E17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（4）报价超过最高限价的（如本项目公布了最高限价）；</w:t>
      </w:r>
      <w:bookmarkStart w:id="108" w:name="_Hlk42596405"/>
      <w:r>
        <w:rPr>
          <w:rFonts w:hint="eastAsia" w:ascii="宋体" w:hAnsi="宋体" w:cs="宋体"/>
          <w:color w:val="auto"/>
          <w:szCs w:val="21"/>
          <w:highlight w:val="none"/>
        </w:rPr>
        <w:t xml:space="preserve"> </w:t>
      </w:r>
      <w:bookmarkEnd w:id="108"/>
    </w:p>
    <w:p w14:paraId="7AF7DC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（5）修正后的报价，供应商不确认的；或者经供应商确认修正后的最后报价超过最高限价（如本项目公布了最高限价）；</w:t>
      </w:r>
    </w:p>
    <w:p w14:paraId="4E7CB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响应文件响应的标的数量及单位与采购文件要求实质性不一致的。</w:t>
      </w:r>
    </w:p>
    <w:p w14:paraId="54ED53D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三、比较与评分</w:t>
      </w:r>
    </w:p>
    <w:p w14:paraId="688040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（一）评审方法：综合评分法。</w:t>
      </w:r>
    </w:p>
    <w:p w14:paraId="127901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（二）由评审小组采用综合评分法对有效响应文件进行综合评分。</w:t>
      </w:r>
    </w:p>
    <w:p w14:paraId="77FE2C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（三）评审时，评审小组各成员应当对每个有效响应的文件进行评价、打分，然后汇总每个供应商每项评分因素的得分。</w:t>
      </w:r>
    </w:p>
    <w:p w14:paraId="5B095C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1.评审小组按照采购文件中规定的评审标准计算各供应商的报价得分。项目评审过程中，不得去掉最后报价中的最高报价和最低报价。</w:t>
      </w:r>
    </w:p>
    <w:p w14:paraId="32E545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2.以投标人的有效报价的算术平均值为基准价，报价与基准价的差取绝对值。</w:t>
      </w:r>
    </w:p>
    <w:p w14:paraId="075E9DEF">
      <w:pPr>
        <w:spacing w:line="360" w:lineRule="auto"/>
        <w:ind w:firstLine="420" w:firstLineChars="200"/>
        <w:rPr>
          <w:rFonts w:ascii="宋体" w:hAnsi="宋体"/>
          <w:color w:val="auto"/>
          <w:kern w:val="0"/>
          <w:szCs w:val="21"/>
          <w:highlight w:val="none"/>
        </w:rPr>
      </w:pPr>
      <w:r>
        <w:rPr>
          <w:rFonts w:hint="eastAsia" w:ascii="宋体" w:hAnsi="宋体" w:cs="宋体"/>
          <w:color w:val="auto"/>
          <w:szCs w:val="21"/>
          <w:highlight w:val="none"/>
        </w:rPr>
        <w:t>（四）由评审小组根据综合评分情况，按照评审得分由高到低顺序推荐3名成交候选供应商，并编写评</w:t>
      </w:r>
      <w:r>
        <w:rPr>
          <w:rFonts w:hint="eastAsia" w:ascii="宋体" w:hAnsi="宋体"/>
          <w:color w:val="auto"/>
          <w:kern w:val="0"/>
          <w:szCs w:val="21"/>
          <w:highlight w:val="none"/>
        </w:rPr>
        <w:t>审报告。评审得分相同的，按照最后报价由低到高的顺序推荐。</w:t>
      </w:r>
    </w:p>
    <w:p w14:paraId="0225D0EA">
      <w:pPr>
        <w:spacing w:line="360" w:lineRule="auto"/>
        <w:ind w:firstLine="420" w:firstLineChars="200"/>
        <w:rPr>
          <w:rFonts w:ascii="宋体" w:hAnsi="宋体" w:cs="宋体"/>
          <w:color w:val="auto"/>
          <w:szCs w:val="21"/>
          <w:highlight w:val="none"/>
        </w:rPr>
      </w:pPr>
      <w:r>
        <w:rPr>
          <w:rFonts w:hint="eastAsia" w:ascii="宋体" w:hAnsi="宋体"/>
          <w:color w:val="auto"/>
          <w:kern w:val="0"/>
          <w:szCs w:val="21"/>
          <w:highlight w:val="none"/>
        </w:rPr>
        <w:t>（五）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507D1396">
      <w:pPr>
        <w:widowControl/>
        <w:spacing w:line="360" w:lineRule="auto"/>
        <w:jc w:val="center"/>
        <w:outlineLvl w:val="1"/>
        <w:rPr>
          <w:rFonts w:ascii="宋体" w:hAnsi="宋体"/>
          <w:b/>
          <w:color w:val="auto"/>
          <w:sz w:val="24"/>
          <w:highlight w:val="none"/>
        </w:rPr>
      </w:pPr>
      <w:r>
        <w:rPr>
          <w:rFonts w:ascii="宋体" w:hAnsi="宋体"/>
          <w:b/>
          <w:color w:val="auto"/>
          <w:sz w:val="32"/>
          <w:szCs w:val="32"/>
          <w:highlight w:val="none"/>
        </w:rPr>
        <w:br w:type="page"/>
      </w:r>
      <w:bookmarkStart w:id="109" w:name="_Toc29563"/>
      <w:bookmarkStart w:id="110" w:name="_Toc8537"/>
      <w:bookmarkStart w:id="111" w:name="_Toc19299"/>
      <w:bookmarkStart w:id="112" w:name="_Toc7639"/>
      <w:bookmarkStart w:id="113" w:name="_Toc31098"/>
      <w:bookmarkStart w:id="114" w:name="_Toc11826"/>
      <w:bookmarkStart w:id="115" w:name="_Toc9484"/>
      <w:bookmarkStart w:id="116" w:name="_Toc30766"/>
      <w:bookmarkStart w:id="117" w:name="_Toc12111"/>
      <w:bookmarkStart w:id="118" w:name="_Toc12457"/>
      <w:bookmarkStart w:id="119" w:name="_Toc5926"/>
      <w:bookmarkStart w:id="120" w:name="_Toc7508"/>
      <w:bookmarkStart w:id="121" w:name="_Toc8185"/>
      <w:bookmarkStart w:id="122" w:name="_Toc2435"/>
      <w:bookmarkStart w:id="123" w:name="_Toc8831"/>
      <w:bookmarkStart w:id="124" w:name="_Toc30071"/>
      <w:r>
        <w:rPr>
          <w:rFonts w:hint="eastAsia" w:ascii="宋体" w:hAnsi="宋体"/>
          <w:b/>
          <w:color w:val="auto"/>
          <w:sz w:val="24"/>
          <w:highlight w:val="none"/>
        </w:rPr>
        <w:t>第二节  评审标准</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17931352">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评审小组将以采购文件为评审依据，对</w:t>
      </w:r>
      <w:r>
        <w:rPr>
          <w:rFonts w:hint="eastAsia" w:ascii="宋体" w:hAnsi="宋体"/>
          <w:bCs/>
          <w:color w:val="auto"/>
          <w:szCs w:val="21"/>
          <w:highlight w:val="none"/>
          <w:lang w:eastAsia="zh-CN"/>
        </w:rPr>
        <w:t>投标人</w:t>
      </w:r>
      <w:r>
        <w:rPr>
          <w:rFonts w:hint="eastAsia" w:ascii="宋体" w:hAnsi="宋体"/>
          <w:bCs/>
          <w:color w:val="auto"/>
          <w:szCs w:val="21"/>
          <w:highlight w:val="none"/>
        </w:rPr>
        <w:t>的报价、技术、商务等方面内容按百分制打分。（计分方法按四舍五入取至百分位）</w:t>
      </w:r>
    </w:p>
    <w:tbl>
      <w:tblPr>
        <w:tblStyle w:val="25"/>
        <w:tblW w:w="9118" w:type="dxa"/>
        <w:jc w:val="center"/>
        <w:tblLayout w:type="fixed"/>
        <w:tblCellMar>
          <w:top w:w="28" w:type="dxa"/>
          <w:left w:w="28" w:type="dxa"/>
          <w:bottom w:w="28" w:type="dxa"/>
          <w:right w:w="28" w:type="dxa"/>
        </w:tblCellMar>
      </w:tblPr>
      <w:tblGrid>
        <w:gridCol w:w="592"/>
        <w:gridCol w:w="1385"/>
        <w:gridCol w:w="7141"/>
      </w:tblGrid>
      <w:tr w14:paraId="0873908C">
        <w:tblPrEx>
          <w:tblCellMar>
            <w:top w:w="28" w:type="dxa"/>
            <w:left w:w="28" w:type="dxa"/>
            <w:bottom w:w="28" w:type="dxa"/>
            <w:right w:w="28" w:type="dxa"/>
          </w:tblCellMar>
        </w:tblPrEx>
        <w:trPr>
          <w:trHeight w:val="407" w:hRule="atLeast"/>
          <w:jc w:val="center"/>
        </w:trPr>
        <w:tc>
          <w:tcPr>
            <w:tcW w:w="592" w:type="dxa"/>
            <w:tcBorders>
              <w:top w:val="single" w:color="000000" w:sz="4" w:space="0"/>
              <w:left w:val="single" w:color="000000" w:sz="4" w:space="0"/>
              <w:bottom w:val="single" w:color="000000" w:sz="4" w:space="0"/>
              <w:right w:val="single" w:color="000000" w:sz="4" w:space="0"/>
            </w:tcBorders>
            <w:vAlign w:val="center"/>
          </w:tcPr>
          <w:p w14:paraId="3215C2A5">
            <w:pPr>
              <w:spacing w:line="264"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385" w:type="dxa"/>
            <w:tcBorders>
              <w:top w:val="single" w:color="000000" w:sz="4" w:space="0"/>
              <w:left w:val="single" w:color="000000" w:sz="4" w:space="0"/>
              <w:bottom w:val="single" w:color="000000" w:sz="4" w:space="0"/>
              <w:right w:val="single" w:color="000000" w:sz="4" w:space="0"/>
            </w:tcBorders>
            <w:vAlign w:val="center"/>
          </w:tcPr>
          <w:p w14:paraId="1F72ACB5">
            <w:pPr>
              <w:widowControl/>
              <w:spacing w:line="264"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7141" w:type="dxa"/>
            <w:tcBorders>
              <w:top w:val="single" w:color="000000" w:sz="4" w:space="0"/>
              <w:left w:val="single" w:color="000000" w:sz="4" w:space="0"/>
              <w:bottom w:val="single" w:color="000000" w:sz="4" w:space="0"/>
              <w:right w:val="single" w:color="000000" w:sz="4" w:space="0"/>
            </w:tcBorders>
            <w:vAlign w:val="center"/>
          </w:tcPr>
          <w:p w14:paraId="6A508BE3">
            <w:pPr>
              <w:widowControl/>
              <w:spacing w:line="264"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评分标准</w:t>
            </w:r>
          </w:p>
        </w:tc>
      </w:tr>
      <w:tr w14:paraId="0C8E1539">
        <w:tblPrEx>
          <w:tblCellMar>
            <w:top w:w="28" w:type="dxa"/>
            <w:left w:w="28" w:type="dxa"/>
            <w:bottom w:w="28" w:type="dxa"/>
            <w:right w:w="28" w:type="dxa"/>
          </w:tblCellMar>
        </w:tblPrEx>
        <w:trPr>
          <w:trHeight w:val="1647" w:hRule="atLeast"/>
          <w:jc w:val="center"/>
        </w:trPr>
        <w:tc>
          <w:tcPr>
            <w:tcW w:w="592" w:type="dxa"/>
            <w:tcBorders>
              <w:top w:val="single" w:color="000000" w:sz="4" w:space="0"/>
              <w:left w:val="single" w:color="000000" w:sz="4" w:space="0"/>
              <w:bottom w:val="single" w:color="000000" w:sz="4" w:space="0"/>
              <w:right w:val="single" w:color="000000" w:sz="4" w:space="0"/>
            </w:tcBorders>
            <w:vAlign w:val="center"/>
          </w:tcPr>
          <w:p w14:paraId="1CAC359B">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一</w:t>
            </w:r>
          </w:p>
        </w:tc>
        <w:tc>
          <w:tcPr>
            <w:tcW w:w="1385" w:type="dxa"/>
            <w:tcBorders>
              <w:top w:val="single" w:color="000000" w:sz="4" w:space="0"/>
              <w:left w:val="single" w:color="000000" w:sz="4" w:space="0"/>
              <w:bottom w:val="single" w:color="000000" w:sz="4" w:space="0"/>
              <w:right w:val="single" w:color="000000" w:sz="4" w:space="0"/>
            </w:tcBorders>
            <w:vAlign w:val="center"/>
          </w:tcPr>
          <w:p w14:paraId="7143D028">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价格</w:t>
            </w:r>
          </w:p>
          <w:p w14:paraId="67C0D360">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7F6E8BA7">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以投标人的有效报价的算术平均值为基准价。有效报价为：投标人的报价未超过最高控制价，且投标人符合参与条件要求。</w:t>
            </w:r>
          </w:p>
          <w:p w14:paraId="01815249">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偏差率=100%×（报价-基准价）/基准价。</w:t>
            </w:r>
          </w:p>
          <w:p w14:paraId="14F87E7E">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若投标人报价&gt;评标基准价，则得分=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0-∣偏差率∣×100×0.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p>
          <w:p w14:paraId="13D1F377">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若投标人报价≤评标基准价，则得分=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0-∣偏差率∣×100×0.</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p>
          <w:p w14:paraId="63902A49">
            <w:pPr>
              <w:widowControl/>
              <w:spacing w:line="264" w:lineRule="auto"/>
              <w:textAlignment w:val="center"/>
              <w:rPr>
                <w:rFonts w:ascii="宋体" w:hAnsi="宋体" w:cs="宋体"/>
                <w:color w:val="auto"/>
                <w:szCs w:val="21"/>
                <w:highlight w:val="none"/>
              </w:rPr>
            </w:pPr>
            <w:r>
              <w:rPr>
                <w:rFonts w:hint="eastAsia" w:ascii="宋体" w:hAnsi="宋体" w:cs="宋体"/>
                <w:color w:val="auto"/>
                <w:szCs w:val="21"/>
                <w:highlight w:val="none"/>
              </w:rPr>
              <w:t>注：分数取小数点后两位。</w:t>
            </w:r>
          </w:p>
        </w:tc>
      </w:tr>
      <w:tr w14:paraId="092F8C1C">
        <w:tblPrEx>
          <w:tblCellMar>
            <w:top w:w="28" w:type="dxa"/>
            <w:left w:w="28" w:type="dxa"/>
            <w:bottom w:w="28" w:type="dxa"/>
            <w:right w:w="28" w:type="dxa"/>
          </w:tblCellMar>
        </w:tblPrEx>
        <w:trPr>
          <w:trHeight w:val="632" w:hRule="atLeast"/>
          <w:jc w:val="center"/>
        </w:trPr>
        <w:tc>
          <w:tcPr>
            <w:tcW w:w="592" w:type="dxa"/>
            <w:tcBorders>
              <w:top w:val="single" w:color="000000" w:sz="4" w:space="0"/>
              <w:left w:val="single" w:color="000000" w:sz="4" w:space="0"/>
              <w:bottom w:val="single" w:color="auto" w:sz="4" w:space="0"/>
              <w:right w:val="single" w:color="auto" w:sz="4" w:space="0"/>
            </w:tcBorders>
            <w:vAlign w:val="center"/>
          </w:tcPr>
          <w:p w14:paraId="1188173B">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二</w:t>
            </w:r>
          </w:p>
        </w:tc>
        <w:tc>
          <w:tcPr>
            <w:tcW w:w="1385" w:type="dxa"/>
            <w:tcBorders>
              <w:top w:val="single" w:color="000000" w:sz="4" w:space="0"/>
              <w:left w:val="single" w:color="auto" w:sz="4" w:space="0"/>
              <w:bottom w:val="single" w:color="000000" w:sz="4" w:space="0"/>
              <w:right w:val="single" w:color="000000" w:sz="4" w:space="0"/>
            </w:tcBorders>
            <w:vAlign w:val="center"/>
          </w:tcPr>
          <w:p w14:paraId="6DF6DA27">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资信业绩</w:t>
            </w:r>
          </w:p>
          <w:p w14:paraId="595D1BA4">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w:t>
            </w:r>
          </w:p>
        </w:tc>
        <w:tc>
          <w:tcPr>
            <w:tcW w:w="7141" w:type="dxa"/>
            <w:tcBorders>
              <w:top w:val="nil"/>
              <w:left w:val="single" w:color="000000" w:sz="4" w:space="0"/>
              <w:bottom w:val="single" w:color="000000" w:sz="4" w:space="0"/>
              <w:right w:val="single" w:color="000000" w:sz="4" w:space="0"/>
            </w:tcBorders>
            <w:vAlign w:val="center"/>
          </w:tcPr>
          <w:p w14:paraId="496B0DE6">
            <w:pPr>
              <w:pStyle w:val="34"/>
              <w:spacing w:after="0" w:line="264" w:lineRule="auto"/>
              <w:ind w:firstLine="420" w:firstLineChars="200"/>
              <w:jc w:val="both"/>
              <w:rPr>
                <w:rFonts w:hint="eastAsia" w:ascii="宋体" w:hAnsi="宋体" w:eastAsia="宋体" w:cs="宋体"/>
                <w:bCs w:val="0"/>
                <w:color w:val="auto"/>
                <w:spacing w:val="0"/>
                <w:kern w:val="2"/>
                <w:sz w:val="21"/>
                <w:szCs w:val="21"/>
                <w:highlight w:val="none"/>
              </w:rPr>
            </w:pPr>
            <w:r>
              <w:rPr>
                <w:rFonts w:hint="eastAsia" w:ascii="宋体" w:hAnsi="宋体" w:eastAsia="宋体" w:cs="宋体"/>
                <w:bCs w:val="0"/>
                <w:color w:val="auto"/>
                <w:spacing w:val="0"/>
                <w:kern w:val="2"/>
                <w:sz w:val="21"/>
                <w:szCs w:val="21"/>
                <w:highlight w:val="none"/>
              </w:rPr>
              <w:t>1.自2021年1月1日起至投标截止之日止，投标人完成内河航道或内河大桥船舶操纵仿真模拟研究项目业绩的，每项得</w:t>
            </w:r>
            <w:r>
              <w:rPr>
                <w:rFonts w:hint="eastAsia" w:ascii="宋体" w:hAnsi="宋体" w:cs="宋体"/>
                <w:bCs w:val="0"/>
                <w:color w:val="auto"/>
                <w:spacing w:val="0"/>
                <w:kern w:val="2"/>
                <w:sz w:val="21"/>
                <w:szCs w:val="21"/>
                <w:highlight w:val="none"/>
                <w:lang w:val="en-US" w:eastAsia="zh-CN"/>
              </w:rPr>
              <w:t>5</w:t>
            </w:r>
            <w:r>
              <w:rPr>
                <w:rFonts w:hint="eastAsia" w:ascii="宋体" w:hAnsi="宋体" w:eastAsia="宋体" w:cs="宋体"/>
                <w:bCs w:val="0"/>
                <w:color w:val="auto"/>
                <w:spacing w:val="0"/>
                <w:kern w:val="2"/>
                <w:sz w:val="21"/>
                <w:szCs w:val="21"/>
                <w:highlight w:val="none"/>
              </w:rPr>
              <w:t>分；</w:t>
            </w:r>
            <w:r>
              <w:rPr>
                <w:rFonts w:hint="eastAsia" w:ascii="宋体" w:hAnsi="宋体" w:cs="宋体"/>
                <w:bCs w:val="0"/>
                <w:color w:val="auto"/>
                <w:spacing w:val="0"/>
                <w:kern w:val="2"/>
                <w:sz w:val="21"/>
                <w:szCs w:val="21"/>
                <w:highlight w:val="none"/>
                <w:lang w:eastAsia="zh-CN"/>
              </w:rPr>
              <w:t>本项满分</w:t>
            </w:r>
            <w:r>
              <w:rPr>
                <w:rFonts w:hint="eastAsia" w:ascii="宋体" w:hAnsi="宋体" w:cs="宋体"/>
                <w:bCs w:val="0"/>
                <w:color w:val="auto"/>
                <w:spacing w:val="0"/>
                <w:kern w:val="2"/>
                <w:sz w:val="21"/>
                <w:szCs w:val="21"/>
                <w:highlight w:val="none"/>
                <w:lang w:val="en-US" w:eastAsia="zh-CN"/>
              </w:rPr>
              <w:t>2</w:t>
            </w:r>
            <w:r>
              <w:rPr>
                <w:rFonts w:hint="eastAsia" w:ascii="宋体" w:hAnsi="宋体" w:eastAsia="宋体" w:cs="宋体"/>
                <w:bCs w:val="0"/>
                <w:color w:val="auto"/>
                <w:spacing w:val="0"/>
                <w:kern w:val="2"/>
                <w:sz w:val="21"/>
                <w:szCs w:val="21"/>
                <w:highlight w:val="none"/>
              </w:rPr>
              <w:t>5分。</w:t>
            </w:r>
          </w:p>
          <w:p w14:paraId="42CD3984">
            <w:pPr>
              <w:pStyle w:val="34"/>
              <w:spacing w:after="0" w:line="264" w:lineRule="auto"/>
              <w:ind w:firstLine="420" w:firstLineChars="200"/>
              <w:jc w:val="both"/>
              <w:rPr>
                <w:rFonts w:hint="default" w:ascii="宋体" w:hAnsi="宋体" w:eastAsia="宋体" w:cs="宋体"/>
                <w:bCs w:val="0"/>
                <w:color w:val="auto"/>
                <w:spacing w:val="0"/>
                <w:kern w:val="2"/>
                <w:sz w:val="21"/>
                <w:szCs w:val="21"/>
                <w:highlight w:val="none"/>
                <w:lang w:val="en-US" w:eastAsia="zh-CN"/>
              </w:rPr>
            </w:pPr>
          </w:p>
          <w:p w14:paraId="0B21DC0A">
            <w:pPr>
              <w:pStyle w:val="34"/>
              <w:spacing w:after="0" w:line="264" w:lineRule="auto"/>
              <w:ind w:firstLine="420" w:firstLineChars="200"/>
              <w:jc w:val="both"/>
              <w:rPr>
                <w:color w:val="auto"/>
                <w:highlight w:val="none"/>
              </w:rPr>
            </w:pPr>
            <w:r>
              <w:rPr>
                <w:rFonts w:hint="eastAsia" w:ascii="宋体" w:hAnsi="宋体" w:eastAsia="宋体" w:cs="宋体"/>
                <w:bCs w:val="0"/>
                <w:color w:val="auto"/>
                <w:spacing w:val="0"/>
                <w:kern w:val="2"/>
                <w:sz w:val="21"/>
                <w:szCs w:val="21"/>
                <w:highlight w:val="none"/>
              </w:rPr>
              <w:t>注：1.业绩时间以合同签订时间为准；2.业绩须提供以下证明材料扫描件或复印件：</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1</w:t>
            </w:r>
            <w:r>
              <w:rPr>
                <w:rFonts w:hint="eastAsia" w:ascii="宋体" w:hAnsi="宋体" w:cs="宋体"/>
                <w:bCs w:val="0"/>
                <w:color w:val="auto"/>
                <w:spacing w:val="0"/>
                <w:kern w:val="2"/>
                <w:sz w:val="21"/>
                <w:szCs w:val="21"/>
                <w:highlight w:val="none"/>
                <w:lang w:eastAsia="zh-CN"/>
              </w:rPr>
              <w:t>）</w:t>
            </w:r>
            <w:r>
              <w:rPr>
                <w:rFonts w:hint="eastAsia" w:ascii="宋体" w:hAnsi="宋体" w:eastAsia="宋体" w:cs="宋体"/>
                <w:bCs w:val="0"/>
                <w:color w:val="auto"/>
                <w:spacing w:val="0"/>
                <w:kern w:val="2"/>
                <w:sz w:val="21"/>
                <w:szCs w:val="21"/>
                <w:highlight w:val="none"/>
              </w:rPr>
              <w:t>业绩合同（至少包含首页和盖章页，且须体现服务内容）；</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2</w:t>
            </w:r>
            <w:r>
              <w:rPr>
                <w:rFonts w:hint="eastAsia" w:ascii="宋体" w:hAnsi="宋体" w:cs="宋体"/>
                <w:bCs w:val="0"/>
                <w:color w:val="auto"/>
                <w:spacing w:val="0"/>
                <w:kern w:val="2"/>
                <w:sz w:val="21"/>
                <w:szCs w:val="21"/>
                <w:highlight w:val="none"/>
                <w:lang w:eastAsia="zh-CN"/>
              </w:rPr>
              <w:t>）</w:t>
            </w:r>
            <w:r>
              <w:rPr>
                <w:rFonts w:hint="eastAsia" w:ascii="宋体" w:hAnsi="宋体" w:eastAsia="宋体" w:cs="宋体"/>
                <w:bCs w:val="0"/>
                <w:color w:val="auto"/>
                <w:spacing w:val="0"/>
                <w:kern w:val="2"/>
                <w:sz w:val="21"/>
                <w:szCs w:val="21"/>
                <w:highlight w:val="none"/>
              </w:rPr>
              <w:t>业绩对应的</w:t>
            </w:r>
            <w:r>
              <w:rPr>
                <w:rFonts w:hint="eastAsia" w:ascii="宋体" w:hAnsi="宋体" w:cs="宋体"/>
                <w:bCs w:val="0"/>
                <w:color w:val="auto"/>
                <w:spacing w:val="0"/>
                <w:kern w:val="2"/>
                <w:sz w:val="21"/>
                <w:szCs w:val="21"/>
                <w:highlight w:val="none"/>
                <w:lang w:eastAsia="zh-CN"/>
              </w:rPr>
              <w:t>成果</w:t>
            </w:r>
            <w:r>
              <w:rPr>
                <w:rFonts w:hint="eastAsia" w:ascii="宋体" w:hAnsi="宋体" w:eastAsia="宋体" w:cs="宋体"/>
                <w:bCs w:val="0"/>
                <w:color w:val="auto"/>
                <w:spacing w:val="0"/>
                <w:kern w:val="2"/>
                <w:sz w:val="21"/>
                <w:szCs w:val="21"/>
                <w:highlight w:val="none"/>
              </w:rPr>
              <w:t>报告（至少包含封面和著录页）和</w:t>
            </w:r>
            <w:r>
              <w:rPr>
                <w:rFonts w:hint="eastAsia" w:ascii="宋体" w:hAnsi="宋体" w:cs="宋体"/>
                <w:bCs w:val="0"/>
                <w:color w:val="auto"/>
                <w:spacing w:val="0"/>
                <w:kern w:val="2"/>
                <w:sz w:val="21"/>
                <w:szCs w:val="21"/>
                <w:highlight w:val="none"/>
                <w:lang w:eastAsia="zh-CN"/>
              </w:rPr>
              <w:t>成果</w:t>
            </w:r>
            <w:r>
              <w:rPr>
                <w:rFonts w:hint="eastAsia" w:ascii="宋体" w:hAnsi="宋体" w:eastAsia="宋体" w:cs="宋体"/>
                <w:bCs w:val="0"/>
                <w:color w:val="auto"/>
                <w:spacing w:val="0"/>
                <w:kern w:val="2"/>
                <w:sz w:val="21"/>
                <w:szCs w:val="21"/>
                <w:highlight w:val="none"/>
              </w:rPr>
              <w:t>报告</w:t>
            </w:r>
            <w:r>
              <w:rPr>
                <w:rFonts w:hint="eastAsia" w:ascii="宋体" w:hAnsi="宋体" w:cs="宋体"/>
                <w:bCs w:val="0"/>
                <w:color w:val="auto"/>
                <w:spacing w:val="0"/>
                <w:kern w:val="2"/>
                <w:sz w:val="21"/>
                <w:szCs w:val="21"/>
                <w:highlight w:val="none"/>
                <w:lang w:eastAsia="zh-CN"/>
              </w:rPr>
              <w:t>评审（验收）意见</w:t>
            </w:r>
            <w:r>
              <w:rPr>
                <w:rFonts w:hint="eastAsia" w:ascii="宋体" w:hAnsi="宋体" w:eastAsia="宋体" w:cs="宋体"/>
                <w:bCs w:val="0"/>
                <w:color w:val="auto"/>
                <w:spacing w:val="0"/>
                <w:kern w:val="2"/>
                <w:sz w:val="21"/>
                <w:szCs w:val="21"/>
                <w:highlight w:val="none"/>
              </w:rPr>
              <w:t>；</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3</w:t>
            </w:r>
            <w:r>
              <w:rPr>
                <w:rFonts w:hint="eastAsia" w:ascii="宋体" w:hAnsi="宋体" w:cs="宋体"/>
                <w:bCs w:val="0"/>
                <w:color w:val="auto"/>
                <w:spacing w:val="0"/>
                <w:kern w:val="2"/>
                <w:sz w:val="21"/>
                <w:szCs w:val="21"/>
                <w:highlight w:val="none"/>
                <w:lang w:eastAsia="zh-CN"/>
              </w:rPr>
              <w:t>）证明材料均加盖公章。</w:t>
            </w:r>
            <w:r>
              <w:rPr>
                <w:rFonts w:hint="eastAsia" w:ascii="宋体" w:hAnsi="宋体" w:eastAsia="宋体" w:cs="宋体"/>
                <w:bCs w:val="0"/>
                <w:color w:val="auto"/>
                <w:spacing w:val="0"/>
                <w:kern w:val="2"/>
                <w:sz w:val="21"/>
                <w:szCs w:val="21"/>
                <w:highlight w:val="none"/>
              </w:rPr>
              <w:t>未按要求提供相关证明材料的不得分。</w:t>
            </w:r>
          </w:p>
        </w:tc>
      </w:tr>
      <w:tr w14:paraId="124095C7">
        <w:tblPrEx>
          <w:tblCellMar>
            <w:top w:w="28" w:type="dxa"/>
            <w:left w:w="28" w:type="dxa"/>
            <w:bottom w:w="28" w:type="dxa"/>
            <w:right w:w="28" w:type="dxa"/>
          </w:tblCellMar>
        </w:tblPrEx>
        <w:trPr>
          <w:trHeight w:val="1372"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70A8A053">
            <w:pPr>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三</w:t>
            </w:r>
          </w:p>
        </w:tc>
        <w:tc>
          <w:tcPr>
            <w:tcW w:w="1385" w:type="dxa"/>
            <w:tcBorders>
              <w:top w:val="single" w:color="000000" w:sz="4" w:space="0"/>
              <w:left w:val="single" w:color="auto" w:sz="4" w:space="0"/>
              <w:bottom w:val="single" w:color="000000" w:sz="4" w:space="0"/>
              <w:right w:val="single" w:color="000000" w:sz="4" w:space="0"/>
            </w:tcBorders>
            <w:vAlign w:val="center"/>
          </w:tcPr>
          <w:p w14:paraId="77D0218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人员配置</w:t>
            </w:r>
          </w:p>
          <w:p w14:paraId="7E1B20DA">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6A237DCF">
            <w:pPr>
              <w:pStyle w:val="34"/>
              <w:spacing w:before="0" w:after="0" w:line="264" w:lineRule="auto"/>
              <w:ind w:firstLine="420" w:firstLineChars="200"/>
              <w:rPr>
                <w:rFonts w:hint="eastAsia" w:ascii="宋体" w:hAnsi="宋体" w:cs="宋体"/>
                <w:bCs w:val="0"/>
                <w:color w:val="auto"/>
                <w:spacing w:val="0"/>
                <w:kern w:val="2"/>
                <w:sz w:val="21"/>
                <w:szCs w:val="21"/>
                <w:highlight w:val="none"/>
              </w:rPr>
            </w:pPr>
            <w:r>
              <w:rPr>
                <w:rFonts w:hint="eastAsia" w:ascii="宋体" w:hAnsi="宋体" w:cs="宋体"/>
                <w:bCs w:val="0"/>
                <w:color w:val="auto"/>
                <w:spacing w:val="0"/>
                <w:kern w:val="2"/>
                <w:sz w:val="21"/>
                <w:szCs w:val="21"/>
                <w:highlight w:val="none"/>
              </w:rPr>
              <w:t>拟投入人员具有无限航区高级船长证书的，每人得5分；具有无限航区船长证书的，每人得2分；本项满分10分。</w:t>
            </w:r>
          </w:p>
          <w:p w14:paraId="76E189AD">
            <w:pPr>
              <w:pStyle w:val="34"/>
              <w:spacing w:before="0" w:after="0" w:line="264"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bCs w:val="0"/>
                <w:color w:val="auto"/>
                <w:spacing w:val="0"/>
                <w:kern w:val="2"/>
                <w:sz w:val="21"/>
                <w:szCs w:val="21"/>
                <w:highlight w:val="none"/>
              </w:rPr>
              <w:t>注：同一人员不重复计分。需提</w:t>
            </w:r>
            <w:r>
              <w:rPr>
                <w:rFonts w:hint="eastAsia" w:ascii="宋体" w:hAnsi="宋体" w:cs="宋体"/>
                <w:bCs w:val="0"/>
                <w:color w:val="auto"/>
                <w:spacing w:val="0"/>
                <w:kern w:val="2"/>
                <w:sz w:val="21"/>
                <w:szCs w:val="21"/>
                <w:highlight w:val="none"/>
                <w:lang w:eastAsia="zh-CN"/>
              </w:rPr>
              <w:t>供</w:t>
            </w:r>
            <w:r>
              <w:rPr>
                <w:rFonts w:hint="eastAsia" w:ascii="宋体" w:hAnsi="宋体" w:cs="宋体"/>
                <w:bCs w:val="0"/>
                <w:color w:val="auto"/>
                <w:spacing w:val="0"/>
                <w:kern w:val="2"/>
                <w:sz w:val="21"/>
                <w:szCs w:val="21"/>
                <w:highlight w:val="none"/>
              </w:rPr>
              <w:t>证书复印件作为评审依据，证明材料均需加盖公章，未按要求提供相关证明材料的不得分</w:t>
            </w:r>
          </w:p>
        </w:tc>
      </w:tr>
      <w:tr w14:paraId="788A70E0">
        <w:tblPrEx>
          <w:tblCellMar>
            <w:top w:w="28" w:type="dxa"/>
            <w:left w:w="28" w:type="dxa"/>
            <w:bottom w:w="28" w:type="dxa"/>
            <w:right w:w="28" w:type="dxa"/>
          </w:tblCellMar>
        </w:tblPrEx>
        <w:trPr>
          <w:trHeight w:val="789"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0CF16A0C">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四</w:t>
            </w:r>
          </w:p>
        </w:tc>
        <w:tc>
          <w:tcPr>
            <w:tcW w:w="1385" w:type="dxa"/>
            <w:tcBorders>
              <w:top w:val="single" w:color="000000" w:sz="4" w:space="0"/>
              <w:left w:val="single" w:color="auto" w:sz="4" w:space="0"/>
              <w:bottom w:val="single" w:color="000000" w:sz="4" w:space="0"/>
              <w:right w:val="single" w:color="000000" w:sz="4" w:space="0"/>
            </w:tcBorders>
            <w:vAlign w:val="center"/>
          </w:tcPr>
          <w:p w14:paraId="7353BBF3">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lang w:eastAsia="zh-CN"/>
              </w:rPr>
              <w:t>研究</w:t>
            </w:r>
            <w:r>
              <w:rPr>
                <w:rFonts w:hint="eastAsia" w:ascii="宋体" w:hAnsi="宋体" w:cs="宋体"/>
                <w:color w:val="auto"/>
                <w:szCs w:val="21"/>
                <w:highlight w:val="none"/>
              </w:rPr>
              <w:t>方案</w:t>
            </w:r>
          </w:p>
          <w:p w14:paraId="0E0E0A0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45</w:t>
            </w:r>
            <w:r>
              <w:rPr>
                <w:rFonts w:hint="eastAsia" w:ascii="宋体" w:hAnsi="宋体" w:cs="宋体"/>
                <w:color w:val="auto"/>
                <w:szCs w:val="21"/>
                <w:highlight w:val="none"/>
              </w:rPr>
              <w:t>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17A1D46C">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优：</w:t>
            </w:r>
            <w:r>
              <w:rPr>
                <w:rFonts w:hint="eastAsia" w:ascii="宋体" w:hAnsi="宋体" w:cs="宋体"/>
                <w:color w:val="auto"/>
                <w:szCs w:val="21"/>
                <w:highlight w:val="none"/>
              </w:rPr>
              <w:t>对本项目重难点和船舶操纵仿真模拟试验研究及大桥仿真研究关键性技术难题理解分析准确，应对措施合理，解决方法可行，建议优秀</w:t>
            </w:r>
            <w:r>
              <w:rPr>
                <w:rFonts w:hint="eastAsia" w:ascii="宋体" w:hAnsi="宋体" w:cs="宋体"/>
                <w:color w:val="auto"/>
                <w:szCs w:val="21"/>
                <w:highlight w:val="none"/>
                <w:lang w:eastAsia="zh-CN"/>
              </w:rPr>
              <w:t>的，得</w:t>
            </w: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w:t>
            </w:r>
          </w:p>
          <w:p w14:paraId="716E324A">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良：</w:t>
            </w:r>
            <w:r>
              <w:rPr>
                <w:rFonts w:hint="eastAsia" w:ascii="宋体" w:hAnsi="宋体" w:cs="宋体"/>
                <w:color w:val="auto"/>
                <w:szCs w:val="21"/>
                <w:highlight w:val="none"/>
              </w:rPr>
              <w:t>对本项目重难点和船舶操纵仿真模拟试验研究及大桥仿真研究关键性技术难题理解分析较准确，应对措施合理，解决方法较可行，建议良好</w:t>
            </w:r>
            <w:r>
              <w:rPr>
                <w:rFonts w:hint="eastAsia" w:ascii="宋体" w:hAnsi="宋体" w:cs="宋体"/>
                <w:color w:val="auto"/>
                <w:szCs w:val="21"/>
                <w:highlight w:val="none"/>
                <w:lang w:eastAsia="zh-CN"/>
              </w:rPr>
              <w:t>的，得</w:t>
            </w:r>
            <w:r>
              <w:rPr>
                <w:rFonts w:hint="eastAsia" w:ascii="宋体" w:hAnsi="宋体" w:cs="宋体"/>
                <w:color w:val="auto"/>
                <w:szCs w:val="21"/>
                <w:highlight w:val="none"/>
                <w:lang w:val="en-US" w:eastAsia="zh-CN"/>
              </w:rPr>
              <w:t>38</w:t>
            </w:r>
            <w:r>
              <w:rPr>
                <w:rFonts w:hint="eastAsia" w:ascii="宋体" w:hAnsi="宋体" w:cs="宋体"/>
                <w:color w:val="auto"/>
                <w:szCs w:val="21"/>
                <w:highlight w:val="none"/>
              </w:rPr>
              <w:t>分；</w:t>
            </w:r>
          </w:p>
          <w:p w14:paraId="6999481F">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中：</w:t>
            </w:r>
            <w:r>
              <w:rPr>
                <w:rFonts w:hint="eastAsia" w:ascii="宋体" w:hAnsi="宋体" w:cs="宋体"/>
                <w:color w:val="auto"/>
                <w:szCs w:val="21"/>
                <w:highlight w:val="none"/>
              </w:rPr>
              <w:t>对本项目重难点和船舶操纵仿真模拟试验研究及大桥仿真研究关键性技术难题理解分析不够准确， 应对措施基本合理，解决方法欠可行，建议一般的</w:t>
            </w:r>
            <w:r>
              <w:rPr>
                <w:rFonts w:hint="eastAsia" w:ascii="宋体" w:hAnsi="宋体" w:cs="宋体"/>
                <w:color w:val="auto"/>
                <w:szCs w:val="21"/>
                <w:highlight w:val="none"/>
                <w:lang w:eastAsia="zh-CN"/>
              </w:rPr>
              <w:t>，得</w:t>
            </w:r>
            <w:r>
              <w:rPr>
                <w:rFonts w:hint="eastAsia" w:ascii="宋体" w:hAnsi="宋体" w:cs="宋体"/>
                <w:color w:val="auto"/>
                <w:szCs w:val="21"/>
                <w:highlight w:val="none"/>
                <w:lang w:val="en-US" w:eastAsia="zh-CN"/>
              </w:rPr>
              <w:t>32</w:t>
            </w:r>
            <w:r>
              <w:rPr>
                <w:rFonts w:hint="eastAsia" w:ascii="宋体" w:hAnsi="宋体" w:cs="宋体"/>
                <w:color w:val="auto"/>
                <w:szCs w:val="21"/>
                <w:highlight w:val="none"/>
              </w:rPr>
              <w:t>分；</w:t>
            </w:r>
          </w:p>
          <w:p w14:paraId="5BD28164">
            <w:pPr>
              <w:widowControl/>
              <w:spacing w:line="264" w:lineRule="auto"/>
              <w:ind w:firstLine="422" w:firstLineChars="200"/>
              <w:textAlignment w:val="center"/>
              <w:rPr>
                <w:rFonts w:hint="eastAsia" w:ascii="宋体" w:hAnsi="宋体" w:cs="宋体"/>
                <w:b/>
                <w:color w:val="auto"/>
                <w:szCs w:val="21"/>
                <w:highlight w:val="none"/>
              </w:rPr>
            </w:pPr>
            <w:r>
              <w:rPr>
                <w:rFonts w:hint="eastAsia" w:ascii="宋体" w:hAnsi="宋体" w:cs="宋体"/>
                <w:b/>
                <w:color w:val="auto"/>
                <w:szCs w:val="21"/>
                <w:highlight w:val="none"/>
              </w:rPr>
              <w:t>差：方案不能满足采购需求</w:t>
            </w:r>
            <w:r>
              <w:rPr>
                <w:rFonts w:hint="eastAsia" w:ascii="宋体" w:hAnsi="宋体" w:cs="宋体"/>
                <w:b/>
                <w:color w:val="auto"/>
                <w:szCs w:val="21"/>
                <w:highlight w:val="none"/>
                <w:lang w:eastAsia="zh-CN"/>
              </w:rPr>
              <w:t>的</w:t>
            </w:r>
            <w:r>
              <w:rPr>
                <w:rFonts w:hint="eastAsia" w:ascii="宋体" w:hAnsi="宋体" w:cs="宋体"/>
                <w:b/>
                <w:color w:val="auto"/>
                <w:szCs w:val="21"/>
                <w:highlight w:val="none"/>
              </w:rPr>
              <w:t>（0分）。</w:t>
            </w:r>
          </w:p>
          <w:p w14:paraId="5AB444AB">
            <w:pPr>
              <w:widowControl/>
              <w:spacing w:line="264" w:lineRule="auto"/>
              <w:ind w:firstLine="422" w:firstLineChars="200"/>
              <w:textAlignment w:val="center"/>
              <w:rPr>
                <w:rFonts w:hint="eastAsia" w:ascii="宋体" w:hAnsi="宋体" w:cs="宋体"/>
                <w:b/>
                <w:color w:val="auto"/>
                <w:szCs w:val="21"/>
                <w:highlight w:val="none"/>
              </w:rPr>
            </w:pPr>
          </w:p>
        </w:tc>
      </w:tr>
      <w:tr w14:paraId="625A7B65">
        <w:tblPrEx>
          <w:tblCellMar>
            <w:top w:w="28" w:type="dxa"/>
            <w:left w:w="28" w:type="dxa"/>
            <w:bottom w:w="28" w:type="dxa"/>
            <w:right w:w="28" w:type="dxa"/>
          </w:tblCellMar>
        </w:tblPrEx>
        <w:trPr>
          <w:trHeight w:val="413"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11E988EF">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五</w:t>
            </w:r>
          </w:p>
        </w:tc>
        <w:tc>
          <w:tcPr>
            <w:tcW w:w="8526" w:type="dxa"/>
            <w:gridSpan w:val="2"/>
            <w:tcBorders>
              <w:top w:val="single" w:color="000000" w:sz="4" w:space="0"/>
              <w:left w:val="single" w:color="auto" w:sz="4" w:space="0"/>
              <w:bottom w:val="single" w:color="000000" w:sz="4" w:space="0"/>
              <w:right w:val="single" w:color="000000" w:sz="4" w:space="0"/>
            </w:tcBorders>
            <w:vAlign w:val="center"/>
          </w:tcPr>
          <w:p w14:paraId="4DB4D6B6">
            <w:pPr>
              <w:widowControl/>
              <w:spacing w:line="264" w:lineRule="auto"/>
              <w:textAlignment w:val="center"/>
              <w:rPr>
                <w:rFonts w:ascii="宋体" w:hAnsi="宋体" w:cs="宋体"/>
                <w:color w:val="auto"/>
                <w:szCs w:val="21"/>
                <w:highlight w:val="none"/>
              </w:rPr>
            </w:pPr>
            <w:r>
              <w:rPr>
                <w:rFonts w:hint="eastAsia" w:ascii="宋体" w:hAnsi="宋体" w:cs="宋体"/>
                <w:color w:val="auto"/>
                <w:szCs w:val="21"/>
                <w:highlight w:val="none"/>
              </w:rPr>
              <w:t>总分=价格分+业绩分+人员配置分+</w:t>
            </w:r>
            <w:r>
              <w:rPr>
                <w:rFonts w:hint="eastAsia" w:ascii="宋体" w:hAnsi="宋体" w:cs="宋体"/>
                <w:color w:val="auto"/>
                <w:szCs w:val="21"/>
                <w:highlight w:val="none"/>
                <w:lang w:eastAsia="zh-CN"/>
              </w:rPr>
              <w:t>研究</w:t>
            </w:r>
            <w:r>
              <w:rPr>
                <w:rFonts w:hint="eastAsia" w:ascii="宋体" w:hAnsi="宋体" w:cs="宋体"/>
                <w:color w:val="auto"/>
                <w:szCs w:val="21"/>
                <w:highlight w:val="none"/>
              </w:rPr>
              <w:t>方案分</w:t>
            </w:r>
          </w:p>
        </w:tc>
      </w:tr>
    </w:tbl>
    <w:p w14:paraId="6B867BB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bCs/>
          <w:color w:val="auto"/>
          <w:szCs w:val="21"/>
          <w:highlight w:val="none"/>
        </w:rPr>
      </w:pPr>
    </w:p>
    <w:p w14:paraId="5F987331">
      <w:pPr>
        <w:rPr>
          <w:color w:val="auto"/>
          <w:highlight w:val="none"/>
        </w:rPr>
      </w:pPr>
      <w:r>
        <w:rPr>
          <w:rFonts w:hint="eastAsia"/>
          <w:color w:val="auto"/>
          <w:highlight w:val="none"/>
        </w:rPr>
        <w:br w:type="page"/>
      </w:r>
    </w:p>
    <w:p w14:paraId="23DF3DC9">
      <w:pPr>
        <w:pStyle w:val="10"/>
        <w:rPr>
          <w:color w:val="auto"/>
          <w:highlight w:val="none"/>
        </w:rPr>
      </w:pPr>
    </w:p>
    <w:p w14:paraId="750F3B1C">
      <w:pPr>
        <w:rPr>
          <w:color w:val="auto"/>
          <w:highlight w:val="none"/>
        </w:rPr>
      </w:pPr>
    </w:p>
    <w:p w14:paraId="25F21A85">
      <w:pPr>
        <w:pStyle w:val="2"/>
        <w:spacing w:before="0" w:after="0" w:line="579" w:lineRule="auto"/>
        <w:jc w:val="center"/>
        <w:rPr>
          <w:color w:val="auto"/>
          <w:sz w:val="28"/>
          <w:szCs w:val="28"/>
          <w:highlight w:val="none"/>
        </w:rPr>
      </w:pPr>
      <w:bookmarkStart w:id="125" w:name="_Toc5116"/>
      <w:bookmarkStart w:id="126" w:name="_Toc1499"/>
      <w:bookmarkStart w:id="127" w:name="_Toc16244"/>
      <w:bookmarkStart w:id="128" w:name="_Toc29925"/>
      <w:bookmarkStart w:id="129" w:name="_Toc14046"/>
      <w:bookmarkStart w:id="130" w:name="_Toc7276"/>
      <w:bookmarkStart w:id="131" w:name="_Toc15131"/>
      <w:bookmarkStart w:id="132" w:name="_Toc31993"/>
      <w:bookmarkStart w:id="133" w:name="_Toc13809"/>
      <w:bookmarkStart w:id="134" w:name="_Toc4151"/>
      <w:bookmarkStart w:id="135" w:name="_Toc1264"/>
      <w:bookmarkStart w:id="136" w:name="_Toc29547"/>
      <w:bookmarkStart w:id="137" w:name="_Toc2378"/>
      <w:bookmarkStart w:id="138" w:name="_Toc9218"/>
      <w:bookmarkStart w:id="139" w:name="_Toc26394"/>
      <w:r>
        <w:rPr>
          <w:rFonts w:hint="eastAsia"/>
          <w:color w:val="auto"/>
          <w:sz w:val="28"/>
          <w:szCs w:val="28"/>
          <w:highlight w:val="none"/>
        </w:rPr>
        <w:t>第五章 响应文件格式</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28C68315">
      <w:pPr>
        <w:spacing w:line="240" w:lineRule="atLeast"/>
        <w:rPr>
          <w:rFonts w:ascii="仿宋_GB2312" w:hAnsi="仿宋_GB2312" w:eastAsia="仿宋_GB2312" w:cs="仿宋_GB2312"/>
          <w:bCs/>
          <w:color w:val="auto"/>
          <w:sz w:val="32"/>
          <w:szCs w:val="32"/>
          <w:highlight w:val="none"/>
        </w:rPr>
      </w:pPr>
    </w:p>
    <w:p w14:paraId="643C196C">
      <w:pPr>
        <w:snapToGrid w:val="0"/>
        <w:spacing w:before="120" w:beforeLines="50" w:after="50" w:line="360" w:lineRule="auto"/>
        <w:jc w:val="left"/>
        <w:rPr>
          <w:rFonts w:ascii="宋体" w:hAnsi="宋体"/>
          <w:b/>
          <w:color w:val="auto"/>
          <w:sz w:val="24"/>
          <w:highlight w:val="none"/>
        </w:rPr>
      </w:pPr>
      <w:bookmarkStart w:id="140" w:name="_Toc71365925"/>
      <w:bookmarkStart w:id="141" w:name="_Toc35611438"/>
      <w:bookmarkStart w:id="142" w:name="_Toc31723070"/>
      <w:bookmarkStart w:id="143" w:name="_Toc35611516"/>
      <w:bookmarkStart w:id="144" w:name="_Toc44229899"/>
      <w:bookmarkStart w:id="145" w:name="_Toc31728084"/>
      <w:r>
        <w:rPr>
          <w:b/>
          <w:color w:val="auto"/>
          <w:sz w:val="32"/>
          <w:szCs w:val="32"/>
          <w:highlight w:val="none"/>
        </w:rPr>
        <w:br w:type="page"/>
      </w:r>
      <w:bookmarkEnd w:id="140"/>
      <w:bookmarkEnd w:id="141"/>
      <w:bookmarkEnd w:id="142"/>
      <w:bookmarkEnd w:id="143"/>
      <w:bookmarkEnd w:id="144"/>
      <w:bookmarkEnd w:id="145"/>
    </w:p>
    <w:p w14:paraId="05B2FA97">
      <w:pPr>
        <w:snapToGrid w:val="0"/>
        <w:spacing w:before="120"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5457F360">
      <w:pPr>
        <w:snapToGrid w:val="0"/>
        <w:spacing w:before="120" w:beforeLines="50" w:after="50"/>
        <w:rPr>
          <w:rFonts w:ascii="宋体" w:hAnsi="宋体"/>
          <w:color w:val="auto"/>
          <w:sz w:val="24"/>
          <w:szCs w:val="20"/>
          <w:highlight w:val="none"/>
        </w:rPr>
      </w:pPr>
    </w:p>
    <w:p w14:paraId="233DE10E">
      <w:pPr>
        <w:snapToGrid w:val="0"/>
        <w:spacing w:before="120" w:beforeLines="50" w:line="360" w:lineRule="auto"/>
        <w:jc w:val="center"/>
        <w:rPr>
          <w:rFonts w:ascii="黑体" w:hAnsi="黑体" w:eastAsia="黑体" w:cs="黑体"/>
          <w:color w:val="auto"/>
          <w:sz w:val="36"/>
          <w:szCs w:val="36"/>
          <w:highlight w:val="none"/>
        </w:rPr>
      </w:pPr>
      <w:r>
        <w:rPr>
          <w:rFonts w:hint="eastAsia" w:ascii="宋体" w:hAnsi="宋体" w:cs="宋体"/>
          <w:b/>
          <w:bCs/>
          <w:color w:val="auto"/>
          <w:sz w:val="36"/>
          <w:szCs w:val="36"/>
          <w:highlight w:val="none"/>
        </w:rPr>
        <w:t>红水河（曹渡河口至桥巩）三级航道工程船舶操纵仿真模拟试验专题</w:t>
      </w:r>
      <w:r>
        <w:rPr>
          <w:rFonts w:hint="eastAsia" w:ascii="宋体" w:hAnsi="宋体" w:cs="宋体"/>
          <w:b/>
          <w:bCs/>
          <w:color w:val="auto"/>
          <w:sz w:val="36"/>
          <w:szCs w:val="36"/>
          <w:highlight w:val="none"/>
          <w:lang w:eastAsia="zh-CN"/>
        </w:rPr>
        <w:t>研究</w:t>
      </w:r>
      <w:r>
        <w:rPr>
          <w:rFonts w:hint="eastAsia" w:ascii="宋体" w:hAnsi="宋体" w:cs="宋体"/>
          <w:b/>
          <w:bCs/>
          <w:color w:val="auto"/>
          <w:sz w:val="36"/>
          <w:szCs w:val="36"/>
          <w:highlight w:val="none"/>
        </w:rPr>
        <w:t>服务采购</w:t>
      </w:r>
    </w:p>
    <w:p w14:paraId="3638B3BC">
      <w:pPr>
        <w:snapToGrid w:val="0"/>
        <w:spacing w:before="120" w:beforeLines="50" w:after="50"/>
        <w:jc w:val="center"/>
        <w:rPr>
          <w:rFonts w:ascii="宋体" w:hAnsi="宋体" w:cs="宋体"/>
          <w:bCs/>
          <w:color w:val="auto"/>
          <w:sz w:val="32"/>
          <w:szCs w:val="32"/>
          <w:highlight w:val="none"/>
        </w:rPr>
      </w:pPr>
    </w:p>
    <w:p w14:paraId="7ECD192E">
      <w:pPr>
        <w:snapToGrid w:val="0"/>
        <w:spacing w:before="120" w:beforeLines="50" w:after="50"/>
        <w:jc w:val="center"/>
        <w:rPr>
          <w:rFonts w:ascii="黑体" w:hAnsi="黑体" w:eastAsia="黑体" w:cs="黑体"/>
          <w:bCs/>
          <w:color w:val="auto"/>
          <w:sz w:val="84"/>
          <w:szCs w:val="84"/>
          <w:highlight w:val="none"/>
        </w:rPr>
      </w:pPr>
      <w:r>
        <w:rPr>
          <w:rFonts w:hint="eastAsia" w:ascii="黑体" w:hAnsi="黑体" w:eastAsia="黑体" w:cs="黑体"/>
          <w:bCs/>
          <w:color w:val="auto"/>
          <w:sz w:val="84"/>
          <w:szCs w:val="84"/>
          <w:highlight w:val="none"/>
        </w:rPr>
        <w:t>响 应 文 件</w:t>
      </w:r>
    </w:p>
    <w:p w14:paraId="5D274D21">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p>
    <w:p w14:paraId="73D622CE">
      <w:pPr>
        <w:snapToGrid w:val="0"/>
        <w:spacing w:before="120" w:beforeLines="50" w:after="50"/>
        <w:jc w:val="center"/>
        <w:rPr>
          <w:rFonts w:ascii="方正小标宋简体" w:hAnsi="方正小标宋简体" w:eastAsia="方正小标宋简体" w:cs="方正小标宋简体"/>
          <w:bCs/>
          <w:color w:val="auto"/>
          <w:sz w:val="32"/>
          <w:szCs w:val="32"/>
          <w:highlight w:val="none"/>
        </w:rPr>
      </w:pPr>
    </w:p>
    <w:p w14:paraId="3214BA98">
      <w:pPr>
        <w:snapToGrid w:val="0"/>
        <w:spacing w:before="120" w:beforeLines="50" w:after="50"/>
        <w:rPr>
          <w:rFonts w:ascii="宋体" w:hAnsi="宋体"/>
          <w:bCs/>
          <w:color w:val="auto"/>
          <w:sz w:val="24"/>
          <w:szCs w:val="20"/>
          <w:highlight w:val="none"/>
        </w:rPr>
      </w:pPr>
    </w:p>
    <w:p w14:paraId="41941762">
      <w:pPr>
        <w:snapToGrid w:val="0"/>
        <w:spacing w:before="120" w:beforeLines="50" w:after="50"/>
        <w:rPr>
          <w:rFonts w:ascii="宋体" w:hAnsi="宋体"/>
          <w:bCs/>
          <w:color w:val="auto"/>
          <w:sz w:val="24"/>
          <w:szCs w:val="20"/>
          <w:highlight w:val="none"/>
        </w:rPr>
      </w:pPr>
    </w:p>
    <w:p w14:paraId="011F923C">
      <w:pPr>
        <w:snapToGrid w:val="0"/>
        <w:spacing w:before="120" w:beforeLines="50" w:after="50"/>
        <w:rPr>
          <w:rFonts w:ascii="宋体" w:hAnsi="宋体"/>
          <w:bCs/>
          <w:color w:val="auto"/>
          <w:sz w:val="24"/>
          <w:szCs w:val="20"/>
          <w:highlight w:val="none"/>
        </w:rPr>
      </w:pPr>
    </w:p>
    <w:p w14:paraId="6B9DCA68">
      <w:pPr>
        <w:snapToGrid w:val="0"/>
        <w:spacing w:before="120" w:beforeLines="50" w:after="50"/>
        <w:ind w:firstLine="640" w:firstLineChars="200"/>
        <w:rPr>
          <w:rFonts w:ascii="宋体" w:hAnsi="宋体" w:cs="仿宋_GB2312"/>
          <w:bCs/>
          <w:color w:val="auto"/>
          <w:sz w:val="32"/>
          <w:szCs w:val="32"/>
          <w:highlight w:val="none"/>
        </w:rPr>
      </w:pPr>
    </w:p>
    <w:p w14:paraId="28781C0B">
      <w:pPr>
        <w:snapToGrid w:val="0"/>
        <w:spacing w:before="120" w:beforeLines="50" w:after="50"/>
        <w:ind w:firstLine="720" w:firstLineChars="225"/>
        <w:rPr>
          <w:rFonts w:ascii="宋体" w:hAnsi="宋体" w:cs="仿宋_GB2312"/>
          <w:bCs/>
          <w:color w:val="auto"/>
          <w:sz w:val="32"/>
          <w:szCs w:val="32"/>
          <w:highlight w:val="none"/>
        </w:rPr>
      </w:pPr>
    </w:p>
    <w:p w14:paraId="0BFCADD2">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r>
        <w:rPr>
          <w:rFonts w:hint="eastAsia" w:ascii="宋体" w:hAnsi="宋体" w:cs="仿宋_GB2312"/>
          <w:bCs/>
          <w:color w:val="auto"/>
          <w:sz w:val="32"/>
          <w:szCs w:val="32"/>
          <w:highlight w:val="none"/>
          <w:u w:val="single"/>
        </w:rPr>
        <w:t xml:space="preserve">                         </w:t>
      </w:r>
      <w:r>
        <w:rPr>
          <w:rFonts w:hint="eastAsia" w:ascii="宋体" w:hAnsi="宋体" w:cs="仿宋_GB2312"/>
          <w:bCs/>
          <w:color w:val="auto"/>
          <w:sz w:val="32"/>
          <w:szCs w:val="32"/>
          <w:highlight w:val="none"/>
        </w:rPr>
        <w:t>（盖单位公章）</w:t>
      </w:r>
    </w:p>
    <w:p w14:paraId="40B11F34">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法定代表人或其委托代理人：</w:t>
      </w:r>
      <w:r>
        <w:rPr>
          <w:rFonts w:hint="eastAsia" w:ascii="宋体" w:hAnsi="宋体" w:cs="仿宋_GB2312"/>
          <w:bCs/>
          <w:color w:val="auto"/>
          <w:sz w:val="32"/>
          <w:szCs w:val="32"/>
          <w:highlight w:val="none"/>
          <w:u w:val="single"/>
        </w:rPr>
        <w:t xml:space="preserve">           </w:t>
      </w:r>
      <w:r>
        <w:rPr>
          <w:rFonts w:hint="eastAsia" w:ascii="宋体" w:hAnsi="宋体" w:cs="仿宋_GB2312"/>
          <w:bCs/>
          <w:color w:val="auto"/>
          <w:sz w:val="32"/>
          <w:szCs w:val="32"/>
          <w:highlight w:val="none"/>
        </w:rPr>
        <w:t>（签字）</w:t>
      </w:r>
    </w:p>
    <w:p w14:paraId="08622B40">
      <w:pPr>
        <w:snapToGrid w:val="0"/>
        <w:spacing w:before="120" w:beforeLines="50" w:after="50"/>
        <w:ind w:firstLine="720" w:firstLineChars="225"/>
        <w:rPr>
          <w:rFonts w:ascii="宋体" w:hAnsi="宋体" w:cs="仿宋_GB2312"/>
          <w:bCs/>
          <w:color w:val="auto"/>
          <w:sz w:val="32"/>
          <w:szCs w:val="32"/>
          <w:highlight w:val="none"/>
        </w:rPr>
      </w:pPr>
    </w:p>
    <w:p w14:paraId="35C82ADA">
      <w:pPr>
        <w:pStyle w:val="5"/>
        <w:snapToGrid w:val="0"/>
        <w:spacing w:before="50" w:after="50"/>
        <w:ind w:firstLine="720" w:firstLineChars="225"/>
        <w:rPr>
          <w:rFonts w:ascii="宋体" w:hAnsi="宋体" w:cs="仿宋_GB2312"/>
          <w:bCs/>
          <w:color w:val="auto"/>
          <w:sz w:val="32"/>
          <w:szCs w:val="32"/>
          <w:highlight w:val="none"/>
        </w:rPr>
      </w:pPr>
    </w:p>
    <w:p w14:paraId="3D35DCE8">
      <w:pPr>
        <w:pStyle w:val="5"/>
        <w:snapToGrid w:val="0"/>
        <w:spacing w:before="50" w:after="50"/>
        <w:ind w:firstLine="720" w:firstLineChars="225"/>
        <w:rPr>
          <w:rFonts w:ascii="宋体" w:hAnsi="宋体" w:cs="仿宋_GB2312"/>
          <w:bCs/>
          <w:color w:val="auto"/>
          <w:sz w:val="32"/>
          <w:szCs w:val="32"/>
          <w:highlight w:val="none"/>
        </w:rPr>
      </w:pPr>
    </w:p>
    <w:p w14:paraId="2E8087B6">
      <w:pPr>
        <w:pStyle w:val="5"/>
        <w:snapToGrid w:val="0"/>
        <w:spacing w:before="50" w:after="50"/>
        <w:ind w:firstLine="720" w:firstLineChars="225"/>
        <w:rPr>
          <w:rFonts w:ascii="宋体" w:hAnsi="宋体" w:cs="仿宋_GB2312"/>
          <w:bCs/>
          <w:color w:val="auto"/>
          <w:sz w:val="32"/>
          <w:szCs w:val="32"/>
          <w:highlight w:val="none"/>
        </w:rPr>
      </w:pPr>
    </w:p>
    <w:p w14:paraId="341C3B28">
      <w:pPr>
        <w:pStyle w:val="5"/>
        <w:snapToGrid w:val="0"/>
        <w:spacing w:before="50" w:after="50"/>
        <w:ind w:firstLine="1280" w:firstLineChars="400"/>
        <w:rPr>
          <w:rFonts w:ascii="宋体" w:hAnsi="宋体" w:cs="仿宋_GB2312"/>
          <w:bCs/>
          <w:color w:val="auto"/>
          <w:sz w:val="32"/>
          <w:szCs w:val="32"/>
          <w:highlight w:val="none"/>
        </w:rPr>
      </w:pPr>
    </w:p>
    <w:p w14:paraId="37996249">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月</w:t>
      </w: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日</w:t>
      </w:r>
    </w:p>
    <w:p w14:paraId="4621B798">
      <w:pPr>
        <w:snapToGrid w:val="0"/>
        <w:spacing w:before="120" w:beforeLines="50" w:after="50" w:line="360" w:lineRule="auto"/>
        <w:jc w:val="center"/>
        <w:outlineLvl w:val="1"/>
        <w:rPr>
          <w:rFonts w:ascii="宋体" w:hAnsi="宋体"/>
          <w:b/>
          <w:bCs/>
          <w:color w:val="auto"/>
          <w:sz w:val="36"/>
          <w:szCs w:val="36"/>
          <w:highlight w:val="none"/>
        </w:rPr>
      </w:pPr>
      <w:r>
        <w:rPr>
          <w:rFonts w:ascii="宋体" w:hAnsi="宋体"/>
          <w:color w:val="auto"/>
          <w:sz w:val="24"/>
          <w:highlight w:val="none"/>
        </w:rPr>
        <w:br w:type="page"/>
      </w:r>
      <w:bookmarkStart w:id="146" w:name="_Toc26665"/>
      <w:bookmarkStart w:id="147" w:name="_Toc19485"/>
      <w:bookmarkStart w:id="148" w:name="_Toc13495"/>
      <w:bookmarkStart w:id="149" w:name="_Toc5315"/>
      <w:bookmarkStart w:id="150" w:name="_Toc5241"/>
      <w:bookmarkStart w:id="151" w:name="_Toc6975"/>
      <w:bookmarkStart w:id="152" w:name="_Toc28937"/>
      <w:bookmarkStart w:id="153" w:name="_Toc31133"/>
      <w:bookmarkStart w:id="154" w:name="_Toc14424"/>
      <w:bookmarkStart w:id="155" w:name="_Toc13623"/>
      <w:bookmarkStart w:id="156" w:name="_Toc30735"/>
      <w:bookmarkStart w:id="157" w:name="_Toc16677"/>
      <w:bookmarkStart w:id="158" w:name="_Toc31974"/>
      <w:bookmarkStart w:id="159" w:name="_Toc15878"/>
      <w:bookmarkStart w:id="160" w:name="_Toc25507"/>
      <w:r>
        <w:rPr>
          <w:rFonts w:hint="eastAsia" w:ascii="宋体" w:hAnsi="宋体"/>
          <w:b/>
          <w:bCs/>
          <w:color w:val="auto"/>
          <w:sz w:val="36"/>
          <w:szCs w:val="36"/>
          <w:highlight w:val="none"/>
        </w:rPr>
        <w:t>目录</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614AA498">
      <w:pPr>
        <w:snapToGrid w:val="0"/>
        <w:spacing w:before="120" w:beforeLines="50" w:after="50"/>
        <w:rPr>
          <w:rFonts w:ascii="宋体" w:hAnsi="宋体"/>
          <w:color w:val="auto"/>
          <w:sz w:val="24"/>
          <w:szCs w:val="20"/>
          <w:highlight w:val="none"/>
        </w:rPr>
      </w:pPr>
    </w:p>
    <w:p w14:paraId="6DA1A672">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一、投标函</w:t>
      </w:r>
    </w:p>
    <w:p w14:paraId="1BE99042">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二、法定代表人身份证明（适用于无委托代理人的情况）</w:t>
      </w:r>
    </w:p>
    <w:p w14:paraId="2AA7050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二、授权委托书（适用于有委托代理人的情况）</w:t>
      </w:r>
    </w:p>
    <w:p w14:paraId="4183113A">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三、报价清单</w:t>
      </w:r>
    </w:p>
    <w:p w14:paraId="00DAB57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四、资格审查资料</w:t>
      </w:r>
    </w:p>
    <w:p w14:paraId="6342BB2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(一)投标人基本情况表</w:t>
      </w:r>
    </w:p>
    <w:p w14:paraId="6BEA6655">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(二)近年的业绩证明文件</w:t>
      </w:r>
    </w:p>
    <w:p w14:paraId="686FA126">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(三)供应商信用及守法证明材料</w:t>
      </w:r>
    </w:p>
    <w:p w14:paraId="6A917961">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(四)拟投入的主要人员表</w:t>
      </w:r>
    </w:p>
    <w:p w14:paraId="67DD5C21">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五、</w:t>
      </w:r>
      <w:r>
        <w:rPr>
          <w:rFonts w:hint="eastAsia" w:ascii="宋体" w:hAnsi="宋体"/>
          <w:color w:val="auto"/>
          <w:sz w:val="24"/>
          <w:szCs w:val="20"/>
          <w:highlight w:val="none"/>
          <w:lang w:eastAsia="zh-CN"/>
        </w:rPr>
        <w:t>专题研究</w:t>
      </w:r>
      <w:r>
        <w:rPr>
          <w:rFonts w:hint="eastAsia" w:ascii="宋体" w:hAnsi="宋体"/>
          <w:color w:val="auto"/>
          <w:sz w:val="24"/>
          <w:szCs w:val="20"/>
          <w:highlight w:val="none"/>
        </w:rPr>
        <w:t>方案</w:t>
      </w:r>
    </w:p>
    <w:p w14:paraId="79B2A09A">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六、其他资料</w:t>
      </w:r>
    </w:p>
    <w:p w14:paraId="030A5F1C">
      <w:pPr>
        <w:spacing w:line="300" w:lineRule="auto"/>
        <w:rPr>
          <w:rFonts w:ascii="宋体" w:hAnsi="宋体"/>
          <w:color w:val="auto"/>
          <w:szCs w:val="21"/>
          <w:highlight w:val="none"/>
        </w:rPr>
      </w:pPr>
    </w:p>
    <w:p w14:paraId="0A014649">
      <w:pPr>
        <w:spacing w:line="300" w:lineRule="auto"/>
        <w:rPr>
          <w:rFonts w:ascii="宋体" w:hAnsi="宋体"/>
          <w:color w:val="auto"/>
          <w:szCs w:val="21"/>
          <w:highlight w:val="none"/>
        </w:rPr>
      </w:pPr>
    </w:p>
    <w:p w14:paraId="60EE60F1">
      <w:pPr>
        <w:spacing w:line="300" w:lineRule="auto"/>
        <w:rPr>
          <w:rFonts w:ascii="宋体" w:hAnsi="宋体"/>
          <w:color w:val="auto"/>
          <w:szCs w:val="21"/>
          <w:highlight w:val="none"/>
        </w:rPr>
      </w:pPr>
    </w:p>
    <w:p w14:paraId="12E6A4BD">
      <w:pPr>
        <w:spacing w:line="300" w:lineRule="auto"/>
        <w:rPr>
          <w:rFonts w:ascii="宋体" w:hAnsi="宋体"/>
          <w:color w:val="auto"/>
          <w:szCs w:val="21"/>
          <w:highlight w:val="none"/>
        </w:rPr>
      </w:pPr>
    </w:p>
    <w:p w14:paraId="1FC873C1">
      <w:pPr>
        <w:jc w:val="center"/>
        <w:outlineLvl w:val="1"/>
        <w:rPr>
          <w:rFonts w:ascii="黑体" w:hAnsi="黑体" w:eastAsia="黑体" w:cs="黑体"/>
          <w:color w:val="auto"/>
          <w:sz w:val="36"/>
          <w:szCs w:val="36"/>
          <w:highlight w:val="none"/>
        </w:rPr>
      </w:pPr>
      <w:r>
        <w:rPr>
          <w:rFonts w:ascii="宋体" w:hAnsi="宋体"/>
          <w:color w:val="auto"/>
          <w:szCs w:val="21"/>
          <w:highlight w:val="none"/>
        </w:rPr>
        <w:br w:type="page"/>
      </w:r>
      <w:bookmarkStart w:id="161" w:name="_Toc30651"/>
      <w:bookmarkStart w:id="162" w:name="_Toc31846"/>
      <w:bookmarkStart w:id="163" w:name="_Toc16202"/>
      <w:bookmarkStart w:id="164" w:name="_Toc12166"/>
      <w:bookmarkStart w:id="165" w:name="_Toc26818"/>
      <w:bookmarkStart w:id="166" w:name="_Toc5505"/>
      <w:bookmarkStart w:id="167" w:name="_Toc10457"/>
      <w:bookmarkStart w:id="168" w:name="_Toc1093"/>
      <w:bookmarkStart w:id="169" w:name="_Toc23712"/>
      <w:bookmarkStart w:id="170" w:name="_Toc6552"/>
      <w:bookmarkStart w:id="171" w:name="_Toc1292"/>
      <w:bookmarkStart w:id="172" w:name="_Toc29629"/>
      <w:bookmarkStart w:id="173" w:name="_Toc32689"/>
      <w:bookmarkStart w:id="174" w:name="_Toc1932"/>
      <w:bookmarkStart w:id="175" w:name="_Toc8799"/>
      <w:r>
        <w:rPr>
          <w:rFonts w:hint="eastAsia" w:ascii="黑体" w:hAnsi="黑体" w:eastAsia="黑体" w:cs="黑体"/>
          <w:color w:val="auto"/>
          <w:sz w:val="36"/>
          <w:szCs w:val="36"/>
          <w:highlight w:val="none"/>
        </w:rPr>
        <w:t>一、投标函</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4F23C989">
      <w:pPr>
        <w:spacing w:line="320" w:lineRule="exact"/>
        <w:jc w:val="center"/>
        <w:rPr>
          <w:rFonts w:ascii="宋体" w:hAnsi="宋体"/>
          <w:b/>
          <w:color w:val="auto"/>
          <w:sz w:val="32"/>
          <w:szCs w:val="32"/>
          <w:highlight w:val="none"/>
        </w:rPr>
      </w:pPr>
    </w:p>
    <w:p w14:paraId="27D30725">
      <w:pPr>
        <w:jc w:val="center"/>
        <w:rPr>
          <w:rFonts w:ascii="宋体" w:hAnsi="宋体"/>
          <w:b/>
          <w:color w:val="auto"/>
          <w:sz w:val="32"/>
          <w:szCs w:val="32"/>
          <w:highlight w:val="none"/>
        </w:rPr>
      </w:pPr>
      <w:r>
        <w:rPr>
          <w:rFonts w:hint="eastAsia" w:ascii="宋体" w:hAnsi="宋体"/>
          <w:b/>
          <w:color w:val="auto"/>
          <w:sz w:val="32"/>
          <w:szCs w:val="32"/>
          <w:highlight w:val="none"/>
        </w:rPr>
        <w:t>投标函</w:t>
      </w:r>
    </w:p>
    <w:p w14:paraId="4706E6C2">
      <w:pPr>
        <w:spacing w:line="320" w:lineRule="exact"/>
        <w:jc w:val="center"/>
        <w:rPr>
          <w:rFonts w:ascii="宋体" w:hAnsi="宋体"/>
          <w:color w:val="auto"/>
          <w:sz w:val="24"/>
          <w:szCs w:val="20"/>
          <w:highlight w:val="none"/>
        </w:rPr>
      </w:pPr>
    </w:p>
    <w:p w14:paraId="25A07742">
      <w:pPr>
        <w:spacing w:line="360" w:lineRule="auto"/>
        <w:contextualSpacing/>
        <w:rPr>
          <w:rFonts w:ascii="宋体" w:hAnsi="宋体" w:cs="宋体"/>
          <w:color w:val="auto"/>
          <w:sz w:val="24"/>
          <w:highlight w:val="none"/>
        </w:rPr>
      </w:pPr>
      <w:r>
        <w:rPr>
          <w:rFonts w:hint="eastAsia" w:ascii="宋体" w:hAnsi="宋体" w:cs="宋体"/>
          <w:color w:val="auto"/>
          <w:sz w:val="24"/>
          <w:highlight w:val="none"/>
          <w:u w:val="single"/>
          <w:lang w:eastAsia="zh-CN"/>
        </w:rPr>
        <w:t>广西壮族自治区水运发展中心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4143A4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u w:val="single"/>
        </w:rPr>
        <w:t>红水河（曹渡河口至桥巩）三级航道工程船舶操纵仿真模拟试验专题</w:t>
      </w:r>
      <w:r>
        <w:rPr>
          <w:rFonts w:hint="eastAsia" w:ascii="宋体" w:hAnsi="宋体" w:cs="宋体"/>
          <w:bCs/>
          <w:color w:val="auto"/>
          <w:sz w:val="24"/>
          <w:highlight w:val="none"/>
          <w:u w:val="single"/>
          <w:lang w:eastAsia="zh-CN"/>
        </w:rPr>
        <w:t>研究</w:t>
      </w:r>
      <w:r>
        <w:rPr>
          <w:rFonts w:hint="eastAsia" w:ascii="宋体" w:hAnsi="宋体" w:cs="宋体"/>
          <w:bCs/>
          <w:color w:val="auto"/>
          <w:sz w:val="24"/>
          <w:highlight w:val="none"/>
          <w:u w:val="single"/>
        </w:rPr>
        <w:t>服务</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single"/>
          <w:lang w:eastAsia="zh-CN"/>
        </w:rPr>
        <w:t>采购文件的全部内容</w:t>
      </w:r>
      <w:r>
        <w:rPr>
          <w:rFonts w:hint="eastAsia" w:ascii="宋体" w:hAnsi="宋体" w:cs="宋体"/>
          <w:color w:val="auto"/>
          <w:sz w:val="24"/>
          <w:highlight w:val="none"/>
        </w:rPr>
        <w:t>，愿意以人民币（大写）</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的投标总报价（其中，增值税税率为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日历天，按合同约定完成</w:t>
      </w:r>
      <w:r>
        <w:rPr>
          <w:rFonts w:hint="eastAsia" w:ascii="宋体" w:hAnsi="宋体" w:cs="宋体"/>
          <w:color w:val="auto"/>
          <w:sz w:val="24"/>
          <w:highlight w:val="none"/>
          <w:lang w:eastAsia="zh-CN"/>
        </w:rPr>
        <w:t>专题研究</w:t>
      </w:r>
      <w:r>
        <w:rPr>
          <w:rFonts w:hint="eastAsia" w:ascii="宋体" w:hAnsi="宋体" w:cs="宋体"/>
          <w:color w:val="auto"/>
          <w:sz w:val="24"/>
          <w:highlight w:val="none"/>
        </w:rPr>
        <w:t>工作。</w:t>
      </w:r>
    </w:p>
    <w:p w14:paraId="4651286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2.我方的响应文件包括下列内容：：</w:t>
      </w:r>
    </w:p>
    <w:p w14:paraId="4D9CE09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（1）投标函；</w:t>
      </w:r>
    </w:p>
    <w:p w14:paraId="2B5E26B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（2）法定代表人身份证明或授权委托书；</w:t>
      </w:r>
    </w:p>
    <w:p w14:paraId="7592CA6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（3）报价清单；</w:t>
      </w:r>
    </w:p>
    <w:p w14:paraId="0873960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（4）资格审查资料；</w:t>
      </w:r>
    </w:p>
    <w:p w14:paraId="7A98833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highlight w:val="none"/>
          <w:lang w:eastAsia="zh-CN"/>
        </w:rPr>
        <w:t>专题研究</w:t>
      </w:r>
      <w:r>
        <w:rPr>
          <w:rFonts w:hint="eastAsia" w:ascii="宋体" w:hAnsi="宋体" w:cs="宋体"/>
          <w:color w:val="auto"/>
          <w:sz w:val="24"/>
          <w:highlight w:val="none"/>
        </w:rPr>
        <w:t>方案。</w:t>
      </w:r>
    </w:p>
    <w:p w14:paraId="594D623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响应文件的上述组成部分如存在内容不一致的，以投标函为准。</w:t>
      </w:r>
    </w:p>
    <w:p w14:paraId="4D7F332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3.我方承诺在采购文件规定的投标有效期内不撤销响应文件。</w:t>
      </w:r>
    </w:p>
    <w:p w14:paraId="5BB6517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4.如我方中标，我方承诺：</w:t>
      </w:r>
    </w:p>
    <w:p w14:paraId="6EF5453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（1）在收到中标通知书后，在中标通知书规定的期限内与你方签订合同；</w:t>
      </w:r>
    </w:p>
    <w:p w14:paraId="1B45134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61CB768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（3）在合同约定的期限内完成合同规定的全部义务。</w:t>
      </w:r>
    </w:p>
    <w:p w14:paraId="11B9D9A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5.我方在此声明，所递交的响应文件及有关资料内容完整、真实和准确。</w:t>
      </w:r>
    </w:p>
    <w:p w14:paraId="0FD88A2D">
      <w:pPr>
        <w:pStyle w:val="13"/>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6.项目负责人姓名：</w:t>
      </w:r>
    </w:p>
    <w:p w14:paraId="348C40F0">
      <w:pPr>
        <w:pStyle w:val="13"/>
        <w:tabs>
          <w:tab w:val="left" w:pos="939"/>
        </w:tabs>
        <w:spacing w:line="360" w:lineRule="auto"/>
        <w:ind w:left="0" w:leftChars="0" w:firstLine="480" w:firstLineChars="200"/>
        <w:rPr>
          <w:rFonts w:ascii="宋体" w:hAnsi="宋体" w:cs="宋体"/>
          <w:color w:val="auto"/>
          <w:sz w:val="24"/>
          <w:highlight w:val="none"/>
        </w:rPr>
      </w:pPr>
    </w:p>
    <w:p w14:paraId="741EA3AF">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4FE2CECE">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31396F6C">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097F88C1">
      <w:pPr>
        <w:rPr>
          <w:rFonts w:ascii="宋体" w:hAnsi="宋体" w:cs="仿宋_GB2312"/>
          <w:color w:val="auto"/>
          <w:sz w:val="24"/>
          <w:highlight w:val="none"/>
        </w:rPr>
      </w:pPr>
      <w:r>
        <w:rPr>
          <w:rFonts w:hint="eastAsia" w:ascii="宋体" w:hAnsi="宋体" w:cs="仿宋_GB2312"/>
          <w:color w:val="auto"/>
          <w:sz w:val="24"/>
          <w:highlight w:val="none"/>
        </w:rPr>
        <w:br w:type="page"/>
      </w:r>
    </w:p>
    <w:p w14:paraId="6656C914">
      <w:pPr>
        <w:snapToGrid w:val="0"/>
        <w:spacing w:line="360" w:lineRule="auto"/>
        <w:jc w:val="center"/>
        <w:outlineLvl w:val="1"/>
        <w:rPr>
          <w:rFonts w:ascii="黑体" w:hAnsi="黑体" w:eastAsia="黑体" w:cs="黑体"/>
          <w:color w:val="auto"/>
          <w:sz w:val="36"/>
          <w:szCs w:val="36"/>
          <w:highlight w:val="none"/>
        </w:rPr>
      </w:pPr>
      <w:bookmarkStart w:id="176" w:name="_Toc15603"/>
      <w:bookmarkStart w:id="177" w:name="_Toc18934"/>
      <w:bookmarkStart w:id="178" w:name="_Toc13937"/>
      <w:bookmarkStart w:id="179" w:name="_Toc9179"/>
      <w:bookmarkStart w:id="180" w:name="_Toc27814"/>
      <w:bookmarkStart w:id="181" w:name="_Toc19398"/>
      <w:bookmarkStart w:id="182" w:name="_Toc22739"/>
      <w:bookmarkStart w:id="183" w:name="_Toc24718"/>
      <w:bookmarkStart w:id="184" w:name="_Toc32548"/>
      <w:bookmarkStart w:id="185" w:name="_Toc10185"/>
      <w:bookmarkStart w:id="186" w:name="_Toc2640"/>
      <w:bookmarkStart w:id="187" w:name="_Toc11484"/>
      <w:bookmarkStart w:id="188" w:name="_Toc354"/>
      <w:bookmarkStart w:id="189" w:name="_Toc21225"/>
      <w:bookmarkStart w:id="190" w:name="_Toc3856"/>
      <w:r>
        <w:rPr>
          <w:rFonts w:hint="eastAsia" w:ascii="黑体" w:hAnsi="黑体" w:eastAsia="黑体" w:cs="黑体"/>
          <w:color w:val="auto"/>
          <w:sz w:val="36"/>
          <w:szCs w:val="36"/>
          <w:highlight w:val="none"/>
        </w:rPr>
        <w:t>二、法定代表人身份证明</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5A9F5C84">
      <w:pPr>
        <w:snapToGrid w:val="0"/>
        <w:spacing w:line="360" w:lineRule="auto"/>
        <w:ind w:firstLine="480" w:firstLineChars="200"/>
        <w:rPr>
          <w:rFonts w:ascii="宋体" w:hAnsi="宋体" w:cs="仿宋_GB2312"/>
          <w:color w:val="auto"/>
          <w:sz w:val="24"/>
          <w:highlight w:val="none"/>
        </w:rPr>
      </w:pPr>
    </w:p>
    <w:p w14:paraId="0F982FDA">
      <w:pPr>
        <w:pStyle w:val="34"/>
        <w:jc w:val="center"/>
        <w:rPr>
          <w:color w:val="auto"/>
          <w:highlight w:val="none"/>
        </w:rPr>
      </w:pPr>
      <w:r>
        <w:rPr>
          <w:rFonts w:hint="eastAsia" w:ascii="宋体" w:hAnsi="宋体"/>
          <w:b/>
          <w:color w:val="auto"/>
          <w:sz w:val="28"/>
          <w:szCs w:val="28"/>
          <w:highlight w:val="none"/>
        </w:rPr>
        <w:t>法定代表人身份证明</w:t>
      </w:r>
    </w:p>
    <w:p w14:paraId="7C818078">
      <w:pPr>
        <w:pStyle w:val="34"/>
        <w:rPr>
          <w:rFonts w:ascii="宋体" w:hAnsi="宋体" w:cs="仿宋_GB2312"/>
          <w:color w:val="auto"/>
          <w:highlight w:val="none"/>
        </w:rPr>
      </w:pPr>
    </w:p>
    <w:p w14:paraId="02C2EE68">
      <w:pPr>
        <w:pStyle w:val="10"/>
        <w:rPr>
          <w:color w:val="auto"/>
          <w:highlight w:val="none"/>
        </w:rPr>
      </w:pPr>
    </w:p>
    <w:p w14:paraId="30634F48">
      <w:pPr>
        <w:snapToGrid w:val="0"/>
        <w:spacing w:line="360" w:lineRule="auto"/>
        <w:ind w:firstLine="480" w:firstLineChars="200"/>
        <w:rPr>
          <w:rFonts w:ascii="宋体" w:hAnsi="宋体" w:cs="仿宋_GB2312"/>
          <w:color w:val="auto"/>
          <w:sz w:val="24"/>
          <w:highlight w:val="none"/>
          <w:u w:val="singl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3DE0C7BB">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姓名：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性别：</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职务：</w:t>
      </w:r>
      <w:r>
        <w:rPr>
          <w:rFonts w:hint="eastAsia" w:ascii="宋体" w:hAnsi="宋体" w:cs="仿宋_GB2312"/>
          <w:color w:val="auto"/>
          <w:sz w:val="24"/>
          <w:highlight w:val="none"/>
          <w:u w:val="single"/>
        </w:rPr>
        <w:t xml:space="preserve">         </w:t>
      </w:r>
    </w:p>
    <w:p w14:paraId="64153C95">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（供应商名称）的法定代表人。</w:t>
      </w:r>
    </w:p>
    <w:p w14:paraId="5BD07546">
      <w:pPr>
        <w:pStyle w:val="10"/>
        <w:ind w:firstLine="1200" w:firstLineChars="500"/>
        <w:rPr>
          <w:color w:val="auto"/>
          <w:highlight w:val="none"/>
        </w:rPr>
      </w:pPr>
      <w:r>
        <w:rPr>
          <w:rFonts w:hint="eastAsia" w:ascii="宋体" w:hAnsi="宋体" w:cs="仿宋_GB2312"/>
          <w:color w:val="auto"/>
          <w:sz w:val="24"/>
          <w:highlight w:val="none"/>
        </w:rPr>
        <w:t>特此证明。</w:t>
      </w:r>
    </w:p>
    <w:p w14:paraId="0B539523">
      <w:pPr>
        <w:snapToGrid w:val="0"/>
        <w:spacing w:line="360" w:lineRule="auto"/>
        <w:ind w:firstLine="480" w:firstLineChars="200"/>
        <w:rPr>
          <w:rFonts w:ascii="宋体" w:hAnsi="宋体" w:cs="仿宋_GB2312"/>
          <w:color w:val="auto"/>
          <w:sz w:val="24"/>
          <w:highlight w:val="none"/>
        </w:rPr>
      </w:pPr>
    </w:p>
    <w:p w14:paraId="59DF698C">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附：法定代表人身份证复印件</w:t>
      </w:r>
    </w:p>
    <w:p w14:paraId="58777729">
      <w:pPr>
        <w:pStyle w:val="10"/>
        <w:rPr>
          <w:color w:val="auto"/>
          <w:highlight w:val="none"/>
        </w:rPr>
      </w:pPr>
    </w:p>
    <w:p w14:paraId="4BD3BDBC">
      <w:pPr>
        <w:pStyle w:val="10"/>
        <w:rPr>
          <w:color w:val="auto"/>
          <w:highlight w:val="none"/>
        </w:rPr>
      </w:pPr>
    </w:p>
    <w:p w14:paraId="2BBDDE12">
      <w:pPr>
        <w:pStyle w:val="10"/>
        <w:rPr>
          <w:color w:val="auto"/>
          <w:highlight w:val="none"/>
        </w:rPr>
      </w:pPr>
    </w:p>
    <w:p w14:paraId="37622EC1">
      <w:pPr>
        <w:pStyle w:val="5"/>
        <w:overflowPunct w:val="0"/>
        <w:spacing w:line="520" w:lineRule="exact"/>
        <w:ind w:firstLine="0"/>
        <w:jc w:val="center"/>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14:paraId="2C5C0C71">
      <w:pPr>
        <w:pStyle w:val="5"/>
        <w:overflowPunct w:val="0"/>
        <w:spacing w:line="520" w:lineRule="exact"/>
        <w:ind w:firstLine="4800" w:firstLineChars="2000"/>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22E908A5">
      <w:pPr>
        <w:pStyle w:val="10"/>
        <w:rPr>
          <w:color w:val="auto"/>
          <w:highlight w:val="none"/>
        </w:rPr>
      </w:pPr>
    </w:p>
    <w:p w14:paraId="46B9BE28">
      <w:pPr>
        <w:rPr>
          <w:color w:val="auto"/>
          <w:highlight w:val="none"/>
        </w:rPr>
      </w:pPr>
      <w:r>
        <w:rPr>
          <w:color w:val="auto"/>
          <w:highlight w:val="none"/>
        </w:rPr>
        <w:br w:type="page"/>
      </w:r>
    </w:p>
    <w:p w14:paraId="2D1D5536">
      <w:pPr>
        <w:snapToGrid w:val="0"/>
        <w:spacing w:line="360" w:lineRule="auto"/>
        <w:jc w:val="center"/>
        <w:outlineLvl w:val="1"/>
        <w:rPr>
          <w:rFonts w:ascii="黑体" w:hAnsi="黑体" w:eastAsia="黑体" w:cs="黑体"/>
          <w:color w:val="auto"/>
          <w:sz w:val="36"/>
          <w:szCs w:val="36"/>
          <w:highlight w:val="none"/>
        </w:rPr>
      </w:pPr>
      <w:bookmarkStart w:id="191" w:name="_Toc8809"/>
      <w:bookmarkStart w:id="192" w:name="_Toc31451"/>
      <w:bookmarkStart w:id="193" w:name="_Toc6776"/>
      <w:bookmarkStart w:id="194" w:name="_Toc12118"/>
      <w:bookmarkStart w:id="195" w:name="_Toc12372"/>
      <w:bookmarkStart w:id="196" w:name="_Toc3398"/>
      <w:bookmarkStart w:id="197" w:name="_Toc30069"/>
      <w:bookmarkStart w:id="198" w:name="_Toc6859"/>
      <w:bookmarkStart w:id="199" w:name="_Toc20885"/>
      <w:bookmarkStart w:id="200" w:name="_Toc23930"/>
      <w:bookmarkStart w:id="201" w:name="_Toc21187"/>
      <w:bookmarkStart w:id="202" w:name="_Toc27180"/>
      <w:bookmarkStart w:id="203" w:name="_Toc16593"/>
      <w:bookmarkStart w:id="204" w:name="_Toc29113"/>
      <w:bookmarkStart w:id="205" w:name="_Toc15486"/>
      <w:r>
        <w:rPr>
          <w:rFonts w:hint="eastAsia" w:ascii="黑体" w:hAnsi="黑体" w:eastAsia="黑体" w:cs="黑体"/>
          <w:color w:val="auto"/>
          <w:sz w:val="36"/>
          <w:szCs w:val="36"/>
          <w:highlight w:val="none"/>
        </w:rPr>
        <w:t>二、授权委托书</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39112A56">
      <w:pPr>
        <w:snapToGrid w:val="0"/>
        <w:spacing w:line="360" w:lineRule="auto"/>
        <w:ind w:firstLine="480" w:firstLineChars="200"/>
        <w:rPr>
          <w:rFonts w:ascii="宋体" w:hAnsi="宋体" w:cs="仿宋_GB2312"/>
          <w:color w:val="auto"/>
          <w:sz w:val="24"/>
          <w:highlight w:val="none"/>
        </w:rPr>
      </w:pPr>
    </w:p>
    <w:p w14:paraId="44E3268E">
      <w:pPr>
        <w:pStyle w:val="34"/>
        <w:jc w:val="center"/>
        <w:rPr>
          <w:rFonts w:ascii="宋体" w:hAnsi="宋体" w:cs="仿宋_GB2312"/>
          <w:color w:val="auto"/>
          <w:highlight w:val="none"/>
        </w:rPr>
      </w:pPr>
      <w:r>
        <w:rPr>
          <w:rFonts w:hint="eastAsia" w:ascii="宋体" w:hAnsi="宋体"/>
          <w:b/>
          <w:color w:val="auto"/>
          <w:sz w:val="28"/>
          <w:szCs w:val="28"/>
          <w:highlight w:val="none"/>
        </w:rPr>
        <w:t>授权委托书</w:t>
      </w:r>
    </w:p>
    <w:p w14:paraId="0614598F">
      <w:pPr>
        <w:pStyle w:val="10"/>
        <w:rPr>
          <w:color w:val="auto"/>
          <w:highlight w:val="none"/>
        </w:rPr>
      </w:pPr>
    </w:p>
    <w:p w14:paraId="1EA0AFCF">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本人</w:t>
      </w:r>
      <w:r>
        <w:rPr>
          <w:rFonts w:hint="eastAsia" w:ascii="宋体" w:hAnsi="宋体"/>
          <w:color w:val="auto"/>
          <w:sz w:val="24"/>
          <w:highlight w:val="none"/>
          <w:u w:val="single"/>
        </w:rPr>
        <w:t xml:space="preserve">           </w:t>
      </w:r>
      <w:r>
        <w:rPr>
          <w:rFonts w:ascii="宋体" w:hAnsi="宋体"/>
          <w:color w:val="auto"/>
          <w:sz w:val="24"/>
          <w:highlight w:val="none"/>
        </w:rPr>
        <w:t>(姓名)系</w:t>
      </w:r>
      <w:r>
        <w:rPr>
          <w:rFonts w:hint="eastAsia"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供应商</w:t>
      </w:r>
      <w:r>
        <w:rPr>
          <w:rFonts w:ascii="宋体" w:hAnsi="宋体"/>
          <w:color w:val="auto"/>
          <w:sz w:val="24"/>
          <w:highlight w:val="none"/>
        </w:rPr>
        <w:t>名称)的法定代表人，</w:t>
      </w:r>
      <w:r>
        <w:rPr>
          <w:rFonts w:hint="eastAsia" w:ascii="宋体" w:hAnsi="宋体"/>
          <w:color w:val="auto"/>
          <w:sz w:val="24"/>
          <w:highlight w:val="none"/>
        </w:rPr>
        <w:t>现委托</w:t>
      </w:r>
      <w:r>
        <w:rPr>
          <w:rFonts w:hint="eastAsia" w:ascii="宋体" w:hAnsi="宋体"/>
          <w:color w:val="auto"/>
          <w:sz w:val="24"/>
          <w:highlight w:val="none"/>
          <w:u w:val="single"/>
        </w:rPr>
        <w:t xml:space="preserve">     </w:t>
      </w:r>
      <w:r>
        <w:rPr>
          <w:rFonts w:ascii="宋体" w:hAnsi="宋体"/>
          <w:color w:val="auto"/>
          <w:sz w:val="24"/>
          <w:highlight w:val="none"/>
        </w:rPr>
        <w:t xml:space="preserve"> (姓名)</w:t>
      </w:r>
      <w:r>
        <w:rPr>
          <w:rFonts w:hint="eastAsia" w:ascii="宋体" w:hAnsi="宋体"/>
          <w:color w:val="auto"/>
          <w:sz w:val="24"/>
          <w:highlight w:val="none"/>
        </w:rPr>
        <w:t>为我方代理人。代理人根据授权，以我方名义签署、澄清确认、递交、撤回、修改</w:t>
      </w:r>
      <w:r>
        <w:rPr>
          <w:rFonts w:hint="eastAsia" w:ascii="宋体" w:hAnsi="宋体"/>
          <w:color w:val="auto"/>
          <w:sz w:val="24"/>
          <w:highlight w:val="none"/>
          <w:u w:val="single"/>
        </w:rPr>
        <w:t>红水河（曹渡河口至桥巩）三级航道工程船舶操纵仿真模拟试验专题</w:t>
      </w:r>
      <w:r>
        <w:rPr>
          <w:rFonts w:hint="eastAsia" w:ascii="宋体" w:hAnsi="宋体"/>
          <w:color w:val="auto"/>
          <w:sz w:val="24"/>
          <w:highlight w:val="none"/>
          <w:u w:val="single"/>
          <w:lang w:eastAsia="zh-CN"/>
        </w:rPr>
        <w:t>研究</w:t>
      </w:r>
      <w:r>
        <w:rPr>
          <w:rFonts w:hint="eastAsia" w:ascii="宋体" w:hAnsi="宋体"/>
          <w:color w:val="auto"/>
          <w:sz w:val="24"/>
          <w:highlight w:val="none"/>
          <w:u w:val="single"/>
        </w:rPr>
        <w:t>服务</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（项目名称）</w:t>
      </w:r>
      <w:r>
        <w:rPr>
          <w:rFonts w:hint="eastAsia" w:ascii="宋体" w:hAnsi="宋体"/>
          <w:color w:val="auto"/>
          <w:sz w:val="24"/>
          <w:highlight w:val="none"/>
        </w:rPr>
        <w:t>响应文件和处理有关事宜，其法律后果由我方承担。</w:t>
      </w:r>
    </w:p>
    <w:p w14:paraId="4CA59201">
      <w:pPr>
        <w:spacing w:line="400" w:lineRule="exact"/>
        <w:ind w:firstLine="480"/>
        <w:rPr>
          <w:rFonts w:ascii="宋体" w:hAnsi="宋体"/>
          <w:color w:val="auto"/>
          <w:sz w:val="24"/>
          <w:highlight w:val="none"/>
        </w:rPr>
      </w:pPr>
      <w:r>
        <w:rPr>
          <w:rFonts w:hint="eastAsia" w:ascii="宋体" w:hAnsi="宋体"/>
          <w:color w:val="auto"/>
          <w:sz w:val="24"/>
          <w:highlight w:val="none"/>
        </w:rPr>
        <w:t>委托</w:t>
      </w:r>
      <w:r>
        <w:rPr>
          <w:rFonts w:ascii="宋体" w:hAnsi="宋体"/>
          <w:color w:val="auto"/>
          <w:sz w:val="24"/>
          <w:highlight w:val="none"/>
        </w:rPr>
        <w:t>期限</w:t>
      </w:r>
      <w:r>
        <w:rPr>
          <w:rFonts w:hint="eastAsia" w:ascii="宋体" w:hAnsi="宋体"/>
          <w:color w:val="auto"/>
          <w:sz w:val="24"/>
          <w:highlight w:val="none"/>
        </w:rPr>
        <w:t>：</w:t>
      </w:r>
      <w:r>
        <w:rPr>
          <w:rFonts w:ascii="宋体" w:hAnsi="宋体"/>
          <w:color w:val="auto"/>
          <w:sz w:val="24"/>
          <w:highlight w:val="none"/>
        </w:rPr>
        <w:t>自</w:t>
      </w:r>
      <w:r>
        <w:rPr>
          <w:rFonts w:hint="eastAsia" w:ascii="宋体" w:hAnsi="宋体"/>
          <w:color w:val="auto"/>
          <w:sz w:val="24"/>
          <w:highlight w:val="none"/>
          <w:u w:val="single"/>
        </w:rPr>
        <w:t xml:space="preserve">    </w:t>
      </w:r>
      <w:r>
        <w:rPr>
          <w:rFonts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rPr>
        <w:t>日起至</w:t>
      </w:r>
      <w:r>
        <w:rPr>
          <w:rFonts w:hint="eastAsia" w:ascii="宋体" w:hAnsi="宋体"/>
          <w:color w:val="auto"/>
          <w:sz w:val="24"/>
          <w:highlight w:val="none"/>
          <w:u w:val="single"/>
        </w:rPr>
        <w:t xml:space="preserve">    </w:t>
      </w:r>
      <w:r>
        <w:rPr>
          <w:rFonts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rPr>
        <w:t>日止。</w:t>
      </w:r>
    </w:p>
    <w:p w14:paraId="1E991BBE">
      <w:pPr>
        <w:spacing w:line="400" w:lineRule="exact"/>
        <w:ind w:firstLine="480"/>
        <w:rPr>
          <w:rFonts w:ascii="宋体" w:hAnsi="宋体"/>
          <w:color w:val="auto"/>
          <w:sz w:val="24"/>
          <w:highlight w:val="none"/>
        </w:rPr>
      </w:pPr>
      <w:r>
        <w:rPr>
          <w:rFonts w:hint="eastAsia" w:ascii="宋体" w:hAnsi="宋体"/>
          <w:color w:val="auto"/>
          <w:sz w:val="24"/>
          <w:highlight w:val="none"/>
        </w:rPr>
        <w:t>代理人无转委托权。</w:t>
      </w:r>
    </w:p>
    <w:p w14:paraId="4AE7422B">
      <w:pPr>
        <w:spacing w:line="400" w:lineRule="exact"/>
        <w:rPr>
          <w:rFonts w:ascii="宋体" w:hAnsi="宋体"/>
          <w:color w:val="auto"/>
          <w:sz w:val="24"/>
          <w:highlight w:val="none"/>
        </w:rPr>
      </w:pPr>
    </w:p>
    <w:p w14:paraId="1454E02C">
      <w:pPr>
        <w:spacing w:line="400" w:lineRule="exact"/>
        <w:ind w:firstLine="600" w:firstLineChars="250"/>
        <w:rPr>
          <w:rFonts w:ascii="宋体" w:hAnsi="宋体"/>
          <w:color w:val="auto"/>
          <w:sz w:val="24"/>
          <w:highlight w:val="none"/>
        </w:rPr>
      </w:pPr>
      <w:r>
        <w:rPr>
          <w:rFonts w:hint="eastAsia" w:ascii="宋体" w:hAnsi="宋体"/>
          <w:color w:val="auto"/>
          <w:sz w:val="24"/>
          <w:highlight w:val="none"/>
        </w:rPr>
        <w:t>附：</w:t>
      </w:r>
      <w:r>
        <w:rPr>
          <w:rFonts w:hint="eastAsia" w:ascii="宋体" w:hAnsi="宋体" w:cs="仿宋_GB2312"/>
          <w:color w:val="auto"/>
          <w:sz w:val="24"/>
          <w:highlight w:val="none"/>
        </w:rPr>
        <w:t>法定代表人身份证复印件及</w:t>
      </w:r>
      <w:r>
        <w:rPr>
          <w:rFonts w:hint="eastAsia" w:ascii="宋体" w:hAnsi="宋体"/>
          <w:snapToGrid w:val="0"/>
          <w:color w:val="auto"/>
          <w:kern w:val="0"/>
          <w:sz w:val="24"/>
          <w:highlight w:val="none"/>
        </w:rPr>
        <w:t>委托代理人身份证复印件</w:t>
      </w:r>
    </w:p>
    <w:p w14:paraId="4C0C0F2A">
      <w:pPr>
        <w:spacing w:line="400" w:lineRule="exact"/>
        <w:ind w:firstLine="480"/>
        <w:rPr>
          <w:rFonts w:ascii="宋体" w:hAnsi="宋体"/>
          <w:color w:val="auto"/>
          <w:sz w:val="24"/>
          <w:highlight w:val="none"/>
        </w:rPr>
      </w:pPr>
    </w:p>
    <w:p w14:paraId="2442AB76">
      <w:pPr>
        <w:spacing w:line="400" w:lineRule="exact"/>
        <w:rPr>
          <w:rFonts w:ascii="宋体" w:hAnsi="宋体"/>
          <w:color w:val="auto"/>
          <w:sz w:val="24"/>
          <w:highlight w:val="none"/>
        </w:rPr>
      </w:pPr>
    </w:p>
    <w:p w14:paraId="3557799A">
      <w:pPr>
        <w:pStyle w:val="34"/>
        <w:rPr>
          <w:color w:val="auto"/>
          <w:highlight w:val="none"/>
        </w:rPr>
      </w:pPr>
    </w:p>
    <w:p w14:paraId="4596C845">
      <w:pPr>
        <w:spacing w:line="400" w:lineRule="exact"/>
        <w:rPr>
          <w:rFonts w:ascii="宋体" w:hAnsi="宋体"/>
          <w:color w:val="auto"/>
          <w:sz w:val="24"/>
          <w:highlight w:val="none"/>
        </w:rPr>
      </w:pPr>
    </w:p>
    <w:p w14:paraId="4618D973">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供应商：</w:t>
      </w:r>
      <w:r>
        <w:rPr>
          <w:rFonts w:hint="eastAsia" w:ascii="宋体" w:hAnsi="宋体"/>
          <w:color w:val="auto"/>
          <w:sz w:val="24"/>
          <w:highlight w:val="none"/>
          <w:u w:val="single"/>
        </w:rPr>
        <w:t xml:space="preserve">                     </w:t>
      </w:r>
      <w:r>
        <w:rPr>
          <w:rFonts w:hint="eastAsia" w:ascii="宋体" w:hAnsi="宋体"/>
          <w:color w:val="auto"/>
          <w:sz w:val="24"/>
          <w:highlight w:val="none"/>
        </w:rPr>
        <w:t>（</w:t>
      </w:r>
      <w:r>
        <w:rPr>
          <w:rFonts w:hint="eastAsia"/>
          <w:color w:val="auto"/>
          <w:sz w:val="24"/>
          <w:highlight w:val="none"/>
        </w:rPr>
        <w:t>盖单位公章</w:t>
      </w:r>
      <w:r>
        <w:rPr>
          <w:rFonts w:hint="eastAsia" w:ascii="宋体" w:hAnsi="宋体"/>
          <w:color w:val="auto"/>
          <w:sz w:val="24"/>
          <w:highlight w:val="none"/>
        </w:rPr>
        <w:t>）</w:t>
      </w:r>
    </w:p>
    <w:p w14:paraId="28A66C90">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法定代表人：</w:t>
      </w: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p w14:paraId="3A9DDB5F">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163A1638">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委托代理人：</w:t>
      </w:r>
      <w:r>
        <w:rPr>
          <w:rFonts w:hint="eastAsia" w:ascii="宋体" w:hAnsi="宋体"/>
          <w:color w:val="auto"/>
          <w:sz w:val="24"/>
          <w:highlight w:val="none"/>
          <w:u w:val="single"/>
        </w:rPr>
        <w:t xml:space="preserve">                       </w:t>
      </w:r>
      <w:r>
        <w:rPr>
          <w:rFonts w:hint="eastAsia" w:ascii="宋体" w:hAnsi="宋体"/>
          <w:color w:val="auto"/>
          <w:sz w:val="24"/>
          <w:highlight w:val="none"/>
        </w:rPr>
        <w:t>（签字）</w:t>
      </w:r>
    </w:p>
    <w:p w14:paraId="62973767">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5F70659E">
      <w:pPr>
        <w:spacing w:line="720" w:lineRule="auto"/>
        <w:ind w:firstLine="5040" w:firstLineChars="2100"/>
        <w:rPr>
          <w:rFonts w:ascii="宋体" w:hAnsi="宋体"/>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793BE9C2">
      <w:pPr>
        <w:pStyle w:val="10"/>
        <w:tabs>
          <w:tab w:val="left" w:leader="dot" w:pos="480"/>
        </w:tabs>
        <w:rPr>
          <w:bCs/>
          <w:color w:val="auto"/>
          <w:highlight w:val="none"/>
        </w:rPr>
      </w:pPr>
    </w:p>
    <w:p w14:paraId="7FFD7DBB">
      <w:pPr>
        <w:rPr>
          <w:bCs/>
          <w:color w:val="auto"/>
          <w:highlight w:val="none"/>
        </w:rPr>
      </w:pPr>
      <w:r>
        <w:rPr>
          <w:bCs/>
          <w:color w:val="auto"/>
          <w:highlight w:val="none"/>
        </w:rPr>
        <w:br w:type="page"/>
      </w:r>
    </w:p>
    <w:p w14:paraId="617DA7A8">
      <w:pPr>
        <w:snapToGrid w:val="0"/>
        <w:spacing w:line="360" w:lineRule="auto"/>
        <w:jc w:val="center"/>
        <w:outlineLvl w:val="1"/>
        <w:rPr>
          <w:rFonts w:ascii="黑体" w:hAnsi="黑体" w:eastAsia="黑体" w:cs="黑体"/>
          <w:color w:val="auto"/>
          <w:sz w:val="36"/>
          <w:szCs w:val="36"/>
          <w:highlight w:val="none"/>
        </w:rPr>
      </w:pPr>
      <w:bookmarkStart w:id="206" w:name="_Toc24895"/>
      <w:bookmarkStart w:id="207" w:name="_Toc19853"/>
      <w:bookmarkStart w:id="208" w:name="_Toc2083"/>
      <w:bookmarkStart w:id="209" w:name="_Toc8009"/>
      <w:bookmarkStart w:id="210" w:name="_Toc30368"/>
      <w:bookmarkStart w:id="211" w:name="_Toc1684"/>
      <w:bookmarkStart w:id="212" w:name="_Toc6781"/>
      <w:bookmarkStart w:id="213" w:name="_Toc20507"/>
      <w:bookmarkStart w:id="214" w:name="_Toc20762"/>
      <w:bookmarkStart w:id="215" w:name="_Toc23053"/>
      <w:bookmarkStart w:id="216" w:name="_Toc26089"/>
      <w:bookmarkStart w:id="217" w:name="_Toc18291"/>
      <w:bookmarkStart w:id="218" w:name="_Toc2974"/>
      <w:bookmarkStart w:id="219" w:name="_Toc15671"/>
      <w:bookmarkStart w:id="220" w:name="_Toc20264"/>
      <w:r>
        <w:rPr>
          <w:rFonts w:hint="eastAsia" w:ascii="黑体" w:hAnsi="黑体" w:eastAsia="黑体" w:cs="黑体"/>
          <w:color w:val="auto"/>
          <w:sz w:val="36"/>
          <w:szCs w:val="36"/>
          <w:highlight w:val="none"/>
          <w:lang w:eastAsia="zh-CN"/>
        </w:rPr>
        <w:t>三</w:t>
      </w:r>
      <w:r>
        <w:rPr>
          <w:rFonts w:hint="eastAsia" w:ascii="黑体" w:hAnsi="黑体" w:eastAsia="黑体" w:cs="黑体"/>
          <w:color w:val="auto"/>
          <w:sz w:val="36"/>
          <w:szCs w:val="36"/>
          <w:highlight w:val="none"/>
        </w:rPr>
        <w:t>、报价清单</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0857CC25">
      <w:pPr>
        <w:jc w:val="center"/>
        <w:outlineLvl w:val="2"/>
        <w:rPr>
          <w:rFonts w:ascii="黑体" w:hAnsi="宋体" w:eastAsia="方正小标宋简体"/>
          <w:color w:val="auto"/>
          <w:sz w:val="24"/>
          <w:highlight w:val="none"/>
        </w:rPr>
      </w:pPr>
      <w:bookmarkStart w:id="221" w:name="_Toc10738"/>
      <w:bookmarkStart w:id="222" w:name="_Toc32344"/>
      <w:r>
        <w:rPr>
          <w:rFonts w:hint="eastAsia" w:ascii="宋体" w:hAnsi="宋体" w:cs="宋体"/>
          <w:b/>
          <w:color w:val="auto"/>
          <w:sz w:val="32"/>
          <w:szCs w:val="32"/>
          <w:highlight w:val="none"/>
        </w:rPr>
        <w:t>（一）报价文件说明</w:t>
      </w:r>
      <w:bookmarkEnd w:id="221"/>
      <w:bookmarkEnd w:id="222"/>
    </w:p>
    <w:p w14:paraId="23927D48">
      <w:pPr>
        <w:rPr>
          <w:rFonts w:ascii="黑体" w:hAnsi="宋体" w:eastAsia="黑体"/>
          <w:color w:val="auto"/>
          <w:sz w:val="24"/>
          <w:highlight w:val="none"/>
        </w:rPr>
      </w:pPr>
    </w:p>
    <w:p w14:paraId="2DD731A4">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1.“报价清单”应与“供应商须知”“采购内容及要求”“合同条款”等一起使用。</w:t>
      </w:r>
    </w:p>
    <w:p w14:paraId="0A348F87">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2.本次采购采用总价包干，投标报价已包含为完成</w:t>
      </w:r>
      <w:r>
        <w:rPr>
          <w:rFonts w:hint="eastAsia" w:ascii="宋体" w:hAnsi="宋体"/>
          <w:color w:val="auto"/>
          <w:sz w:val="24"/>
          <w:highlight w:val="none"/>
          <w:lang w:val="en-US" w:eastAsia="zh-CN"/>
        </w:rPr>
        <w:t xml:space="preserve"> 红水河（曹渡河口至桥巩）三级航道工程船舶操纵仿真模拟试验专题研究服务 </w:t>
      </w:r>
      <w:r>
        <w:rPr>
          <w:rFonts w:hint="eastAsia" w:ascii="宋体" w:hAnsi="宋体"/>
          <w:color w:val="auto"/>
          <w:sz w:val="24"/>
          <w:highlight w:val="none"/>
        </w:rPr>
        <w:t>项目的全部工作以及</w:t>
      </w:r>
      <w:r>
        <w:rPr>
          <w:rFonts w:hint="eastAsia" w:ascii="宋体" w:hAnsi="宋体"/>
          <w:color w:val="auto"/>
          <w:sz w:val="24"/>
          <w:highlight w:val="none"/>
          <w:lang w:eastAsia="zh-CN"/>
        </w:rPr>
        <w:t>全过程</w:t>
      </w:r>
      <w:r>
        <w:rPr>
          <w:rFonts w:hint="eastAsia" w:ascii="宋体" w:hAnsi="宋体"/>
          <w:color w:val="auto"/>
          <w:sz w:val="24"/>
          <w:highlight w:val="none"/>
        </w:rPr>
        <w:t>可能发生的各种费用，包含但不限于从前期踏勘、资料收集、报告编制费、现场管理费、会议、专家咨询费、调研差旅费、管理费、文印费、设备耗材费、税费及合同包含的所有风险、责任及措施等费用。本项目合同总价在合同执行过程中是固定的，不因情况变化而调整。</w:t>
      </w:r>
    </w:p>
    <w:p w14:paraId="12F9B6B4">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3.投标报价为一次报价，此次报价即最终报价，不再就价格问题另行协商。</w:t>
      </w:r>
    </w:p>
    <w:p w14:paraId="36CBF915">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4.“报价清单”中报价应以人民币为单位。</w:t>
      </w:r>
    </w:p>
    <w:p w14:paraId="26F57FF6">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5.报价应为含税价格，并且能够提供增值税发票。</w:t>
      </w:r>
    </w:p>
    <w:p w14:paraId="707BB52B">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6.供应商应在“报价清单”后附</w:t>
      </w:r>
      <w:bookmarkStart w:id="223" w:name="_Hlk203661040"/>
      <w:r>
        <w:rPr>
          <w:rFonts w:hint="eastAsia" w:ascii="宋体" w:hAnsi="宋体"/>
          <w:color w:val="auto"/>
          <w:sz w:val="24"/>
          <w:highlight w:val="none"/>
        </w:rPr>
        <w:t>计算说明</w:t>
      </w:r>
      <w:bookmarkEnd w:id="223"/>
      <w:r>
        <w:rPr>
          <w:rFonts w:hint="eastAsia" w:ascii="宋体" w:hAnsi="宋体"/>
          <w:color w:val="auto"/>
          <w:sz w:val="24"/>
          <w:highlight w:val="none"/>
        </w:rPr>
        <w:t>，包括计算方法、取费依据等，以便采购人对供应商报价的合理性作出判断。</w:t>
      </w:r>
    </w:p>
    <w:p w14:paraId="04BE7E21">
      <w:pPr>
        <w:rPr>
          <w:b/>
          <w:bCs/>
          <w:color w:val="auto"/>
          <w:sz w:val="24"/>
          <w:highlight w:val="none"/>
        </w:rPr>
      </w:pPr>
      <w:r>
        <w:rPr>
          <w:rFonts w:hint="eastAsia"/>
          <w:b/>
          <w:bCs/>
          <w:color w:val="auto"/>
          <w:sz w:val="24"/>
          <w:highlight w:val="none"/>
        </w:rPr>
        <w:br w:type="page"/>
      </w:r>
    </w:p>
    <w:p w14:paraId="1384416A">
      <w:pPr>
        <w:pStyle w:val="10"/>
        <w:jc w:val="center"/>
        <w:outlineLvl w:val="2"/>
        <w:rPr>
          <w:b/>
          <w:bCs/>
          <w:color w:val="auto"/>
          <w:sz w:val="32"/>
          <w:szCs w:val="32"/>
          <w:highlight w:val="none"/>
        </w:rPr>
      </w:pPr>
      <w:bookmarkStart w:id="224" w:name="_Toc1367"/>
      <w:bookmarkStart w:id="225" w:name="_Toc2327"/>
      <w:bookmarkStart w:id="226" w:name="_Hlk203660973"/>
      <w:r>
        <w:rPr>
          <w:rFonts w:hint="eastAsia"/>
          <w:b/>
          <w:bCs/>
          <w:color w:val="auto"/>
          <w:sz w:val="32"/>
          <w:szCs w:val="32"/>
          <w:highlight w:val="none"/>
        </w:rPr>
        <w:t>（二）投标报价表</w:t>
      </w:r>
      <w:bookmarkEnd w:id="224"/>
      <w:bookmarkEnd w:id="225"/>
    </w:p>
    <w:p w14:paraId="6426713A">
      <w:pPr>
        <w:pStyle w:val="10"/>
        <w:rPr>
          <w:color w:val="auto"/>
          <w:highlight w:val="none"/>
        </w:rPr>
      </w:pPr>
    </w:p>
    <w:p w14:paraId="3D7A3E7A">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宋体"/>
          <w:bCs/>
          <w:color w:val="auto"/>
          <w:sz w:val="24"/>
          <w:highlight w:val="none"/>
        </w:rPr>
        <w:t>红水河（曹渡河口至桥巩）三级航道工程船舶操纵仿真模拟试验专题</w:t>
      </w:r>
      <w:r>
        <w:rPr>
          <w:rFonts w:hint="eastAsia" w:ascii="宋体" w:hAnsi="宋体" w:cs="宋体"/>
          <w:bCs/>
          <w:color w:val="auto"/>
          <w:sz w:val="24"/>
          <w:highlight w:val="none"/>
          <w:lang w:eastAsia="zh-CN"/>
        </w:rPr>
        <w:t>研究</w:t>
      </w:r>
      <w:r>
        <w:rPr>
          <w:rFonts w:hint="eastAsia" w:ascii="宋体" w:hAnsi="宋体" w:cs="宋体"/>
          <w:bCs/>
          <w:color w:val="auto"/>
          <w:sz w:val="24"/>
          <w:highlight w:val="none"/>
        </w:rPr>
        <w:t>服务</w:t>
      </w:r>
    </w:p>
    <w:tbl>
      <w:tblPr>
        <w:tblStyle w:val="25"/>
        <w:tblW w:w="4996"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2790"/>
        <w:gridCol w:w="1298"/>
        <w:gridCol w:w="761"/>
        <w:gridCol w:w="1980"/>
        <w:gridCol w:w="1451"/>
      </w:tblGrid>
      <w:tr w14:paraId="40B2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398" w:type="pct"/>
            <w:tcBorders>
              <w:top w:val="single" w:color="auto" w:sz="4" w:space="0"/>
              <w:left w:val="single" w:color="auto" w:sz="4" w:space="0"/>
              <w:bottom w:val="single" w:color="auto" w:sz="4" w:space="0"/>
              <w:right w:val="single" w:color="auto" w:sz="4" w:space="0"/>
            </w:tcBorders>
            <w:vAlign w:val="center"/>
          </w:tcPr>
          <w:p w14:paraId="16CDF1E7">
            <w:pPr>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1550" w:type="pct"/>
            <w:tcBorders>
              <w:top w:val="single" w:color="auto" w:sz="4" w:space="0"/>
              <w:left w:val="single" w:color="auto" w:sz="4" w:space="0"/>
              <w:bottom w:val="single" w:color="auto" w:sz="4" w:space="0"/>
              <w:right w:val="single" w:color="auto" w:sz="4" w:space="0"/>
            </w:tcBorders>
            <w:vAlign w:val="center"/>
          </w:tcPr>
          <w:p w14:paraId="62530C20">
            <w:pPr>
              <w:contextualSpacing/>
              <w:jc w:val="center"/>
              <w:rPr>
                <w:rFonts w:ascii="宋体" w:hAnsi="宋体" w:cs="仿宋_GB2312"/>
                <w:color w:val="auto"/>
                <w:sz w:val="24"/>
                <w:highlight w:val="none"/>
              </w:rPr>
            </w:pPr>
            <w:r>
              <w:rPr>
                <w:rFonts w:ascii="宋体" w:hAnsi="宋体" w:cs="仿宋_GB2312"/>
                <w:color w:val="auto"/>
                <w:sz w:val="24"/>
                <w:highlight w:val="none"/>
              </w:rPr>
              <w:t>服务名称</w:t>
            </w:r>
          </w:p>
        </w:tc>
        <w:tc>
          <w:tcPr>
            <w:tcW w:w="721" w:type="pct"/>
            <w:tcBorders>
              <w:top w:val="single" w:color="auto" w:sz="4" w:space="0"/>
              <w:left w:val="single" w:color="auto" w:sz="4" w:space="0"/>
              <w:bottom w:val="single" w:color="auto" w:sz="4" w:space="0"/>
              <w:right w:val="single" w:color="auto" w:sz="4" w:space="0"/>
            </w:tcBorders>
            <w:vAlign w:val="center"/>
          </w:tcPr>
          <w:p w14:paraId="51FD0EB4">
            <w:pPr>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w:t>
            </w:r>
          </w:p>
        </w:tc>
        <w:tc>
          <w:tcPr>
            <w:tcW w:w="423" w:type="pct"/>
            <w:tcBorders>
              <w:top w:val="single" w:color="auto" w:sz="4" w:space="0"/>
              <w:left w:val="single" w:color="auto" w:sz="4" w:space="0"/>
              <w:bottom w:val="single" w:color="auto" w:sz="4" w:space="0"/>
              <w:right w:val="single" w:color="auto" w:sz="4" w:space="0"/>
            </w:tcBorders>
            <w:vAlign w:val="center"/>
          </w:tcPr>
          <w:p w14:paraId="196EC937">
            <w:pPr>
              <w:contextualSpacing/>
              <w:jc w:val="center"/>
              <w:rPr>
                <w:rFonts w:ascii="宋体" w:hAnsi="宋体" w:cs="仿宋_GB2312"/>
                <w:color w:val="auto"/>
                <w:sz w:val="24"/>
                <w:highlight w:val="none"/>
              </w:rPr>
            </w:pPr>
            <w:r>
              <w:rPr>
                <w:rFonts w:hint="eastAsia" w:ascii="宋体" w:hAnsi="宋体" w:cs="仿宋_GB2312"/>
                <w:color w:val="auto"/>
                <w:sz w:val="24"/>
                <w:highlight w:val="none"/>
              </w:rPr>
              <w:t>单位</w:t>
            </w:r>
          </w:p>
        </w:tc>
        <w:tc>
          <w:tcPr>
            <w:tcW w:w="1100" w:type="pct"/>
            <w:tcBorders>
              <w:top w:val="single" w:color="auto" w:sz="4" w:space="0"/>
              <w:left w:val="single" w:color="auto" w:sz="4" w:space="0"/>
              <w:bottom w:val="single" w:color="auto" w:sz="4" w:space="0"/>
              <w:right w:val="single" w:color="auto" w:sz="4" w:space="0"/>
            </w:tcBorders>
            <w:vAlign w:val="center"/>
          </w:tcPr>
          <w:p w14:paraId="3E927E1A">
            <w:pPr>
              <w:contextualSpacing/>
              <w:jc w:val="center"/>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rPr>
              <w:t>金额</w:t>
            </w:r>
            <w:r>
              <w:rPr>
                <w:rFonts w:hint="eastAsia" w:ascii="宋体" w:hAnsi="宋体" w:cs="仿宋_GB2312"/>
                <w:color w:val="auto"/>
                <w:sz w:val="24"/>
                <w:highlight w:val="none"/>
                <w:lang w:eastAsia="zh-CN"/>
              </w:rPr>
              <w:t>（元）</w:t>
            </w:r>
          </w:p>
        </w:tc>
        <w:tc>
          <w:tcPr>
            <w:tcW w:w="806" w:type="pct"/>
            <w:tcBorders>
              <w:top w:val="single" w:color="auto" w:sz="4" w:space="0"/>
              <w:left w:val="single" w:color="auto" w:sz="4" w:space="0"/>
              <w:bottom w:val="single" w:color="auto" w:sz="4" w:space="0"/>
              <w:right w:val="single" w:color="auto" w:sz="4" w:space="0"/>
            </w:tcBorders>
            <w:vAlign w:val="center"/>
          </w:tcPr>
          <w:p w14:paraId="21A350E4">
            <w:pPr>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72BB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right"/>
        </w:trPr>
        <w:tc>
          <w:tcPr>
            <w:tcW w:w="398" w:type="pct"/>
            <w:tcBorders>
              <w:top w:val="single" w:color="auto" w:sz="4" w:space="0"/>
              <w:left w:val="single" w:color="auto" w:sz="4" w:space="0"/>
              <w:bottom w:val="single" w:color="auto" w:sz="4" w:space="0"/>
              <w:right w:val="single" w:color="auto" w:sz="4" w:space="0"/>
            </w:tcBorders>
            <w:vAlign w:val="center"/>
          </w:tcPr>
          <w:p w14:paraId="160D41C5">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1550" w:type="pct"/>
            <w:tcBorders>
              <w:top w:val="single" w:color="auto" w:sz="4" w:space="0"/>
              <w:left w:val="single" w:color="auto" w:sz="4" w:space="0"/>
              <w:bottom w:val="single" w:color="auto" w:sz="4" w:space="0"/>
              <w:right w:val="single" w:color="auto" w:sz="4" w:space="0"/>
            </w:tcBorders>
            <w:vAlign w:val="center"/>
          </w:tcPr>
          <w:p w14:paraId="4963F0D6">
            <w:pPr>
              <w:adjustRightInd w:val="0"/>
              <w:snapToGrid w:val="0"/>
              <w:jc w:val="left"/>
              <w:rPr>
                <w:rFonts w:ascii="宋体" w:hAnsi="宋体" w:cs="仿宋_GB2312"/>
                <w:color w:val="auto"/>
                <w:sz w:val="24"/>
                <w:highlight w:val="none"/>
              </w:rPr>
            </w:pPr>
            <w:r>
              <w:rPr>
                <w:rFonts w:hint="eastAsia" w:ascii="宋体" w:hAnsi="宋体" w:cs="宋体"/>
                <w:bCs/>
                <w:color w:val="auto"/>
                <w:sz w:val="24"/>
                <w:highlight w:val="none"/>
              </w:rPr>
              <w:t>红水河（曹渡河口至桥巩）三级航道工程船舶操纵仿真模拟试验专题</w:t>
            </w:r>
            <w:r>
              <w:rPr>
                <w:rFonts w:hint="eastAsia" w:ascii="宋体" w:hAnsi="宋体" w:cs="宋体"/>
                <w:bCs/>
                <w:color w:val="auto"/>
                <w:sz w:val="24"/>
                <w:highlight w:val="none"/>
                <w:lang w:eastAsia="zh-CN"/>
              </w:rPr>
              <w:t>研究</w:t>
            </w:r>
            <w:r>
              <w:rPr>
                <w:rFonts w:hint="eastAsia" w:ascii="宋体" w:hAnsi="宋体" w:cs="宋体"/>
                <w:bCs/>
                <w:color w:val="auto"/>
                <w:sz w:val="24"/>
                <w:highlight w:val="none"/>
              </w:rPr>
              <w:t>服务</w:t>
            </w:r>
          </w:p>
        </w:tc>
        <w:tc>
          <w:tcPr>
            <w:tcW w:w="721" w:type="pct"/>
            <w:tcBorders>
              <w:top w:val="single" w:color="auto" w:sz="4" w:space="0"/>
              <w:left w:val="single" w:color="auto" w:sz="4" w:space="0"/>
              <w:bottom w:val="single" w:color="auto" w:sz="4" w:space="0"/>
              <w:right w:val="single" w:color="auto" w:sz="4" w:space="0"/>
            </w:tcBorders>
            <w:vAlign w:val="center"/>
          </w:tcPr>
          <w:p w14:paraId="7FFD3C55">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423" w:type="pct"/>
            <w:tcBorders>
              <w:top w:val="single" w:color="auto" w:sz="4" w:space="0"/>
              <w:left w:val="single" w:color="auto" w:sz="4" w:space="0"/>
              <w:bottom w:val="single" w:color="auto" w:sz="4" w:space="0"/>
              <w:right w:val="single" w:color="auto" w:sz="4" w:space="0"/>
            </w:tcBorders>
            <w:vAlign w:val="center"/>
          </w:tcPr>
          <w:p w14:paraId="183C6962">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项</w:t>
            </w:r>
          </w:p>
        </w:tc>
        <w:tc>
          <w:tcPr>
            <w:tcW w:w="1100" w:type="pct"/>
            <w:tcBorders>
              <w:top w:val="single" w:color="auto" w:sz="4" w:space="0"/>
              <w:left w:val="single" w:color="auto" w:sz="4" w:space="0"/>
              <w:bottom w:val="single" w:color="auto" w:sz="4" w:space="0"/>
              <w:right w:val="single" w:color="auto" w:sz="4" w:space="0"/>
            </w:tcBorders>
            <w:vAlign w:val="center"/>
          </w:tcPr>
          <w:p w14:paraId="05EEAF7A">
            <w:pPr>
              <w:adjustRightInd w:val="0"/>
              <w:snapToGrid w:val="0"/>
              <w:contextualSpacing/>
              <w:jc w:val="center"/>
              <w:rPr>
                <w:rFonts w:ascii="宋体" w:hAnsi="宋体" w:cs="仿宋_GB2312"/>
                <w:color w:val="auto"/>
                <w:sz w:val="24"/>
                <w:highlight w:val="none"/>
              </w:rPr>
            </w:pPr>
          </w:p>
        </w:tc>
        <w:tc>
          <w:tcPr>
            <w:tcW w:w="806" w:type="pct"/>
            <w:tcBorders>
              <w:top w:val="single" w:color="auto" w:sz="4" w:space="0"/>
              <w:left w:val="single" w:color="auto" w:sz="4" w:space="0"/>
              <w:bottom w:val="single" w:color="auto" w:sz="4" w:space="0"/>
              <w:right w:val="single" w:color="auto" w:sz="4" w:space="0"/>
            </w:tcBorders>
            <w:vAlign w:val="center"/>
          </w:tcPr>
          <w:p w14:paraId="77AD8907">
            <w:pPr>
              <w:adjustRightInd w:val="0"/>
              <w:snapToGrid w:val="0"/>
              <w:contextualSpacing/>
              <w:jc w:val="center"/>
              <w:rPr>
                <w:rFonts w:ascii="宋体" w:hAnsi="宋体" w:cs="仿宋_GB2312"/>
                <w:color w:val="auto"/>
                <w:sz w:val="24"/>
                <w:highlight w:val="none"/>
              </w:rPr>
            </w:pPr>
          </w:p>
        </w:tc>
      </w:tr>
    </w:tbl>
    <w:p w14:paraId="0700BCBF">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74407342">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1.供应商的报价表必须加盖供应商公章并由法定代表人或者委托代理人签字，</w:t>
      </w:r>
      <w:r>
        <w:rPr>
          <w:rFonts w:hint="eastAsia" w:ascii="宋体" w:hAnsi="宋体" w:cs="仿宋_GB2312"/>
          <w:b/>
          <w:color w:val="auto"/>
          <w:sz w:val="24"/>
          <w:highlight w:val="none"/>
        </w:rPr>
        <w:t>否则其响应文件按无效响应处理</w:t>
      </w:r>
      <w:r>
        <w:rPr>
          <w:rFonts w:hint="eastAsia" w:ascii="宋体" w:hAnsi="宋体" w:cs="仿宋_GB2312"/>
          <w:color w:val="auto"/>
          <w:sz w:val="24"/>
          <w:highlight w:val="none"/>
        </w:rPr>
        <w:t>。</w:t>
      </w:r>
    </w:p>
    <w:p w14:paraId="5B6CC2A2">
      <w:pPr>
        <w:spacing w:line="360" w:lineRule="auto"/>
        <w:ind w:firstLine="480" w:firstLineChars="200"/>
        <w:contextualSpacing/>
        <w:jc w:val="left"/>
        <w:rPr>
          <w:rFonts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报价一经涂改，应在涂改处加盖供应商公章或者由法定代表人或者委托代理人签字或者盖章</w:t>
      </w:r>
      <w:r>
        <w:rPr>
          <w:rFonts w:hint="eastAsia" w:ascii="宋体" w:hAnsi="宋体" w:cs="仿宋_GB2312"/>
          <w:b/>
          <w:color w:val="auto"/>
          <w:sz w:val="24"/>
          <w:highlight w:val="none"/>
        </w:rPr>
        <w:t>，否则其响应文件按无效响应处理。</w:t>
      </w:r>
    </w:p>
    <w:p w14:paraId="476F947A">
      <w:pPr>
        <w:spacing w:line="360" w:lineRule="auto"/>
        <w:ind w:firstLine="480" w:firstLineChars="200"/>
        <w:contextualSpacing/>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3.附计算说明，包括计算方法、取费依据等，以便采购人对供应商报价的合理性作出判断。</w:t>
      </w:r>
    </w:p>
    <w:p w14:paraId="183284F6">
      <w:pPr>
        <w:spacing w:line="360" w:lineRule="auto"/>
        <w:ind w:right="-817" w:rightChars="-389" w:firstLine="2640" w:firstLineChars="1100"/>
        <w:contextualSpacing/>
        <w:rPr>
          <w:rFonts w:ascii="宋体" w:hAnsi="宋体" w:cs="仿宋_GB2312"/>
          <w:color w:val="auto"/>
          <w:sz w:val="24"/>
          <w:highlight w:val="none"/>
        </w:rPr>
      </w:pPr>
    </w:p>
    <w:p w14:paraId="0D2F037E">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1A2BDED">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69D61C53">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bookmarkEnd w:id="226"/>
    <w:p w14:paraId="663FD668">
      <w:pPr>
        <w:spacing w:line="360" w:lineRule="auto"/>
        <w:ind w:firstLine="643" w:firstLineChars="200"/>
        <w:rPr>
          <w:snapToGrid w:val="0"/>
          <w:color w:val="auto"/>
          <w:kern w:val="0"/>
          <w:szCs w:val="21"/>
          <w:highlight w:val="none"/>
        </w:rPr>
      </w:pPr>
      <w:r>
        <w:rPr>
          <w:rFonts w:hint="eastAsia" w:ascii="宋体" w:hAnsi="Courier New"/>
          <w:b/>
          <w:color w:val="auto"/>
          <w:sz w:val="32"/>
          <w:szCs w:val="32"/>
          <w:highlight w:val="none"/>
        </w:rPr>
        <w:br w:type="page"/>
      </w:r>
    </w:p>
    <w:p w14:paraId="6445273C">
      <w:pPr>
        <w:snapToGrid w:val="0"/>
        <w:spacing w:line="360" w:lineRule="auto"/>
        <w:jc w:val="center"/>
        <w:outlineLvl w:val="1"/>
        <w:rPr>
          <w:rFonts w:ascii="黑体" w:hAnsi="黑体" w:eastAsia="黑体" w:cs="黑体"/>
          <w:color w:val="auto"/>
          <w:sz w:val="36"/>
          <w:szCs w:val="36"/>
          <w:highlight w:val="none"/>
        </w:rPr>
      </w:pPr>
      <w:bookmarkStart w:id="227" w:name="_Toc29189"/>
      <w:bookmarkStart w:id="228" w:name="_Toc11549"/>
      <w:bookmarkStart w:id="229" w:name="_Toc3415"/>
      <w:bookmarkStart w:id="230" w:name="_Toc10739"/>
      <w:bookmarkStart w:id="231" w:name="_Toc27313"/>
      <w:bookmarkStart w:id="232" w:name="_Toc4639"/>
      <w:bookmarkStart w:id="233" w:name="_Toc16610"/>
      <w:bookmarkStart w:id="234" w:name="_Toc1971"/>
      <w:bookmarkStart w:id="235" w:name="_Toc31802"/>
      <w:bookmarkStart w:id="236" w:name="_Toc9955"/>
      <w:bookmarkStart w:id="237" w:name="_Toc7557"/>
      <w:bookmarkStart w:id="238" w:name="_Toc13328"/>
      <w:bookmarkStart w:id="239" w:name="_Toc9725"/>
      <w:bookmarkStart w:id="240" w:name="_Toc29645"/>
      <w:bookmarkStart w:id="241" w:name="_Toc15587"/>
      <w:r>
        <w:rPr>
          <w:rFonts w:hint="eastAsia" w:ascii="黑体" w:hAnsi="黑体" w:eastAsia="黑体" w:cs="黑体"/>
          <w:color w:val="auto"/>
          <w:sz w:val="36"/>
          <w:szCs w:val="36"/>
          <w:highlight w:val="none"/>
          <w:lang w:eastAsia="zh-CN"/>
        </w:rPr>
        <w:t>四</w:t>
      </w:r>
      <w:r>
        <w:rPr>
          <w:rFonts w:hint="eastAsia" w:ascii="黑体" w:hAnsi="黑体" w:eastAsia="黑体" w:cs="黑体"/>
          <w:color w:val="auto"/>
          <w:sz w:val="36"/>
          <w:szCs w:val="36"/>
          <w:highlight w:val="none"/>
        </w:rPr>
        <w:t>、资格审查资料</w:t>
      </w:r>
      <w:bookmarkEnd w:id="227"/>
      <w:bookmarkEnd w:id="228"/>
      <w:bookmarkEnd w:id="229"/>
      <w:bookmarkEnd w:id="230"/>
      <w:bookmarkEnd w:id="231"/>
      <w:bookmarkEnd w:id="232"/>
      <w:bookmarkEnd w:id="233"/>
      <w:bookmarkEnd w:id="234"/>
      <w:bookmarkEnd w:id="235"/>
      <w:bookmarkEnd w:id="236"/>
      <w:bookmarkEnd w:id="237"/>
      <w:bookmarkEnd w:id="238"/>
      <w:bookmarkEnd w:id="239"/>
    </w:p>
    <w:p w14:paraId="4C63EEF3">
      <w:pPr>
        <w:snapToGrid w:val="0"/>
        <w:spacing w:before="120" w:beforeLines="50" w:after="50"/>
        <w:jc w:val="center"/>
        <w:outlineLvl w:val="2"/>
        <w:rPr>
          <w:rFonts w:ascii="宋体" w:hAnsi="宋体"/>
          <w:b/>
          <w:color w:val="auto"/>
          <w:sz w:val="24"/>
          <w:highlight w:val="none"/>
        </w:rPr>
      </w:pPr>
      <w:r>
        <w:rPr>
          <w:rFonts w:hint="eastAsia" w:ascii="宋体" w:hAnsi="宋体"/>
          <w:b/>
          <w:color w:val="auto"/>
          <w:sz w:val="24"/>
          <w:highlight w:val="none"/>
        </w:rPr>
        <w:t>（一）供应商</w:t>
      </w:r>
      <w:bookmarkEnd w:id="240"/>
      <w:bookmarkEnd w:id="241"/>
      <w:r>
        <w:rPr>
          <w:rFonts w:hint="eastAsia" w:ascii="宋体" w:hAnsi="宋体"/>
          <w:b/>
          <w:color w:val="auto"/>
          <w:sz w:val="24"/>
          <w:highlight w:val="none"/>
        </w:rPr>
        <w:t>基本情况表</w:t>
      </w:r>
    </w:p>
    <w:tbl>
      <w:tblPr>
        <w:tblStyle w:val="25"/>
        <w:tblW w:w="0" w:type="auto"/>
        <w:tblInd w:w="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28" w:type="dxa"/>
          <w:bottom w:w="28" w:type="dxa"/>
          <w:right w:w="28" w:type="dxa"/>
        </w:tblCellMar>
      </w:tblPr>
      <w:tblGrid>
        <w:gridCol w:w="2079"/>
        <w:gridCol w:w="1058"/>
        <w:gridCol w:w="1199"/>
        <w:gridCol w:w="901"/>
        <w:gridCol w:w="334"/>
        <w:gridCol w:w="262"/>
        <w:gridCol w:w="75"/>
        <w:gridCol w:w="553"/>
        <w:gridCol w:w="695"/>
        <w:gridCol w:w="63"/>
        <w:gridCol w:w="329"/>
        <w:gridCol w:w="1292"/>
      </w:tblGrid>
      <w:tr w14:paraId="1642C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29" w:hRule="atLeast"/>
        </w:trPr>
        <w:tc>
          <w:tcPr>
            <w:tcW w:w="2079" w:type="dxa"/>
            <w:vAlign w:val="center"/>
          </w:tcPr>
          <w:p w14:paraId="20B85FF3">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供应商名称</w:t>
            </w:r>
          </w:p>
        </w:tc>
        <w:tc>
          <w:tcPr>
            <w:tcW w:w="6761" w:type="dxa"/>
            <w:gridSpan w:val="11"/>
            <w:vAlign w:val="center"/>
          </w:tcPr>
          <w:p w14:paraId="77F2A00D">
            <w:pPr>
              <w:autoSpaceDE w:val="0"/>
              <w:autoSpaceDN w:val="0"/>
              <w:jc w:val="center"/>
              <w:rPr>
                <w:color w:val="auto"/>
                <w:kern w:val="0"/>
                <w:sz w:val="24"/>
                <w:highlight w:val="none"/>
              </w:rPr>
            </w:pPr>
          </w:p>
        </w:tc>
      </w:tr>
      <w:tr w14:paraId="2D249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7" w:hRule="atLeast"/>
        </w:trPr>
        <w:tc>
          <w:tcPr>
            <w:tcW w:w="2079" w:type="dxa"/>
            <w:vAlign w:val="center"/>
          </w:tcPr>
          <w:p w14:paraId="1BD90EB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注册地址</w:t>
            </w:r>
          </w:p>
        </w:tc>
        <w:tc>
          <w:tcPr>
            <w:tcW w:w="3754" w:type="dxa"/>
            <w:gridSpan w:val="5"/>
            <w:vAlign w:val="center"/>
          </w:tcPr>
          <w:p w14:paraId="3D32AA0B">
            <w:pPr>
              <w:autoSpaceDE w:val="0"/>
              <w:autoSpaceDN w:val="0"/>
              <w:jc w:val="center"/>
              <w:rPr>
                <w:color w:val="auto"/>
                <w:kern w:val="0"/>
                <w:sz w:val="24"/>
                <w:highlight w:val="none"/>
              </w:rPr>
            </w:pPr>
          </w:p>
        </w:tc>
        <w:tc>
          <w:tcPr>
            <w:tcW w:w="1386" w:type="dxa"/>
            <w:gridSpan w:val="4"/>
            <w:vAlign w:val="center"/>
          </w:tcPr>
          <w:p w14:paraId="397EF171">
            <w:pPr>
              <w:autoSpaceDE w:val="0"/>
              <w:autoSpaceDN w:val="0"/>
              <w:jc w:val="center"/>
              <w:rPr>
                <w:color w:val="auto"/>
                <w:kern w:val="0"/>
                <w:sz w:val="24"/>
                <w:highlight w:val="none"/>
              </w:rPr>
            </w:pPr>
            <w:r>
              <w:rPr>
                <w:rFonts w:hint="eastAsia" w:ascii="宋体" w:cs="宋体"/>
                <w:color w:val="auto"/>
                <w:kern w:val="0"/>
                <w:sz w:val="24"/>
                <w:highlight w:val="none"/>
              </w:rPr>
              <w:t>邮政编码</w:t>
            </w:r>
          </w:p>
        </w:tc>
        <w:tc>
          <w:tcPr>
            <w:tcW w:w="1621" w:type="dxa"/>
            <w:gridSpan w:val="2"/>
            <w:vAlign w:val="center"/>
          </w:tcPr>
          <w:p w14:paraId="03581083">
            <w:pPr>
              <w:autoSpaceDE w:val="0"/>
              <w:autoSpaceDN w:val="0"/>
              <w:jc w:val="center"/>
              <w:rPr>
                <w:color w:val="auto"/>
                <w:kern w:val="0"/>
                <w:sz w:val="24"/>
                <w:highlight w:val="none"/>
              </w:rPr>
            </w:pPr>
          </w:p>
        </w:tc>
      </w:tr>
      <w:tr w14:paraId="7B5FB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23" w:hRule="atLeast"/>
        </w:trPr>
        <w:tc>
          <w:tcPr>
            <w:tcW w:w="2079" w:type="dxa"/>
            <w:vMerge w:val="restart"/>
            <w:vAlign w:val="center"/>
          </w:tcPr>
          <w:p w14:paraId="1C4FC5A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联系方式</w:t>
            </w:r>
          </w:p>
        </w:tc>
        <w:tc>
          <w:tcPr>
            <w:tcW w:w="1058" w:type="dxa"/>
            <w:vAlign w:val="center"/>
          </w:tcPr>
          <w:p w14:paraId="4A219460">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联系人</w:t>
            </w:r>
          </w:p>
        </w:tc>
        <w:tc>
          <w:tcPr>
            <w:tcW w:w="2100" w:type="dxa"/>
            <w:gridSpan w:val="2"/>
            <w:vAlign w:val="center"/>
          </w:tcPr>
          <w:p w14:paraId="5B9812EF">
            <w:pPr>
              <w:autoSpaceDE w:val="0"/>
              <w:autoSpaceDN w:val="0"/>
              <w:jc w:val="center"/>
              <w:rPr>
                <w:color w:val="auto"/>
                <w:kern w:val="0"/>
                <w:sz w:val="24"/>
                <w:highlight w:val="none"/>
              </w:rPr>
            </w:pPr>
          </w:p>
        </w:tc>
        <w:tc>
          <w:tcPr>
            <w:tcW w:w="1224" w:type="dxa"/>
            <w:gridSpan w:val="4"/>
            <w:vAlign w:val="center"/>
          </w:tcPr>
          <w:p w14:paraId="13D48FF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2379" w:type="dxa"/>
            <w:gridSpan w:val="4"/>
            <w:vAlign w:val="center"/>
          </w:tcPr>
          <w:p w14:paraId="3508530A">
            <w:pPr>
              <w:autoSpaceDE w:val="0"/>
              <w:autoSpaceDN w:val="0"/>
              <w:jc w:val="center"/>
              <w:rPr>
                <w:color w:val="auto"/>
                <w:kern w:val="0"/>
                <w:sz w:val="24"/>
                <w:highlight w:val="none"/>
              </w:rPr>
            </w:pPr>
          </w:p>
        </w:tc>
      </w:tr>
      <w:tr w14:paraId="0BF76F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0" w:hRule="atLeast"/>
        </w:trPr>
        <w:tc>
          <w:tcPr>
            <w:tcW w:w="2079" w:type="dxa"/>
            <w:vMerge w:val="continue"/>
            <w:vAlign w:val="center"/>
          </w:tcPr>
          <w:p w14:paraId="17EEF868">
            <w:pPr>
              <w:autoSpaceDE w:val="0"/>
              <w:autoSpaceDN w:val="0"/>
              <w:jc w:val="center"/>
              <w:rPr>
                <w:rFonts w:ascii="宋体" w:cs="宋体"/>
                <w:color w:val="auto"/>
                <w:kern w:val="0"/>
                <w:sz w:val="24"/>
                <w:highlight w:val="none"/>
              </w:rPr>
            </w:pPr>
          </w:p>
        </w:tc>
        <w:tc>
          <w:tcPr>
            <w:tcW w:w="1058" w:type="dxa"/>
            <w:vAlign w:val="center"/>
          </w:tcPr>
          <w:p w14:paraId="4F72620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传真</w:t>
            </w:r>
          </w:p>
        </w:tc>
        <w:tc>
          <w:tcPr>
            <w:tcW w:w="2100" w:type="dxa"/>
            <w:gridSpan w:val="2"/>
            <w:vAlign w:val="center"/>
          </w:tcPr>
          <w:p w14:paraId="3CE52FA1">
            <w:pPr>
              <w:autoSpaceDE w:val="0"/>
              <w:autoSpaceDN w:val="0"/>
              <w:jc w:val="center"/>
              <w:rPr>
                <w:color w:val="auto"/>
                <w:kern w:val="0"/>
                <w:sz w:val="24"/>
                <w:highlight w:val="none"/>
              </w:rPr>
            </w:pPr>
          </w:p>
        </w:tc>
        <w:tc>
          <w:tcPr>
            <w:tcW w:w="1224" w:type="dxa"/>
            <w:gridSpan w:val="4"/>
            <w:vAlign w:val="center"/>
          </w:tcPr>
          <w:p w14:paraId="531E6A7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电子邮箱</w:t>
            </w:r>
          </w:p>
        </w:tc>
        <w:tc>
          <w:tcPr>
            <w:tcW w:w="2379" w:type="dxa"/>
            <w:gridSpan w:val="4"/>
            <w:vAlign w:val="center"/>
          </w:tcPr>
          <w:p w14:paraId="263700A2">
            <w:pPr>
              <w:autoSpaceDE w:val="0"/>
              <w:autoSpaceDN w:val="0"/>
              <w:jc w:val="center"/>
              <w:rPr>
                <w:color w:val="auto"/>
                <w:kern w:val="0"/>
                <w:sz w:val="24"/>
                <w:highlight w:val="none"/>
              </w:rPr>
            </w:pPr>
          </w:p>
        </w:tc>
      </w:tr>
      <w:tr w14:paraId="6A580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4D56438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法定代表人</w:t>
            </w:r>
          </w:p>
        </w:tc>
        <w:tc>
          <w:tcPr>
            <w:tcW w:w="1058" w:type="dxa"/>
            <w:vAlign w:val="center"/>
          </w:tcPr>
          <w:p w14:paraId="759DEA0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1199" w:type="dxa"/>
            <w:vAlign w:val="center"/>
          </w:tcPr>
          <w:p w14:paraId="5CAED6D2">
            <w:pPr>
              <w:autoSpaceDE w:val="0"/>
              <w:autoSpaceDN w:val="0"/>
              <w:jc w:val="center"/>
              <w:rPr>
                <w:rFonts w:ascii="宋体" w:cs="宋体"/>
                <w:color w:val="auto"/>
                <w:kern w:val="0"/>
                <w:sz w:val="24"/>
                <w:highlight w:val="none"/>
              </w:rPr>
            </w:pPr>
          </w:p>
        </w:tc>
        <w:tc>
          <w:tcPr>
            <w:tcW w:w="901" w:type="dxa"/>
            <w:vAlign w:val="center"/>
          </w:tcPr>
          <w:p w14:paraId="4CCC919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职务</w:t>
            </w:r>
          </w:p>
        </w:tc>
        <w:tc>
          <w:tcPr>
            <w:tcW w:w="1224" w:type="dxa"/>
            <w:gridSpan w:val="4"/>
            <w:vAlign w:val="center"/>
          </w:tcPr>
          <w:p w14:paraId="1AB06EB2">
            <w:pPr>
              <w:autoSpaceDE w:val="0"/>
              <w:autoSpaceDN w:val="0"/>
              <w:jc w:val="center"/>
              <w:rPr>
                <w:color w:val="auto"/>
                <w:kern w:val="0"/>
                <w:sz w:val="24"/>
                <w:highlight w:val="none"/>
              </w:rPr>
            </w:pPr>
          </w:p>
        </w:tc>
        <w:tc>
          <w:tcPr>
            <w:tcW w:w="695" w:type="dxa"/>
            <w:vAlign w:val="center"/>
          </w:tcPr>
          <w:p w14:paraId="0E57FB4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1684" w:type="dxa"/>
            <w:gridSpan w:val="3"/>
            <w:vAlign w:val="center"/>
          </w:tcPr>
          <w:p w14:paraId="5B942D62">
            <w:pPr>
              <w:autoSpaceDE w:val="0"/>
              <w:autoSpaceDN w:val="0"/>
              <w:jc w:val="center"/>
              <w:rPr>
                <w:color w:val="auto"/>
                <w:kern w:val="0"/>
                <w:sz w:val="24"/>
                <w:highlight w:val="none"/>
              </w:rPr>
            </w:pPr>
          </w:p>
        </w:tc>
      </w:tr>
      <w:tr w14:paraId="17FB2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 w:hRule="atLeast"/>
        </w:trPr>
        <w:tc>
          <w:tcPr>
            <w:tcW w:w="2079" w:type="dxa"/>
            <w:vAlign w:val="center"/>
          </w:tcPr>
          <w:p w14:paraId="298521F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技术负责人</w:t>
            </w:r>
          </w:p>
        </w:tc>
        <w:tc>
          <w:tcPr>
            <w:tcW w:w="1058" w:type="dxa"/>
            <w:vAlign w:val="center"/>
          </w:tcPr>
          <w:p w14:paraId="2713ECE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1199" w:type="dxa"/>
            <w:vAlign w:val="center"/>
          </w:tcPr>
          <w:p w14:paraId="3861E9A3">
            <w:pPr>
              <w:autoSpaceDE w:val="0"/>
              <w:autoSpaceDN w:val="0"/>
              <w:jc w:val="center"/>
              <w:rPr>
                <w:rFonts w:ascii="宋体" w:cs="宋体"/>
                <w:color w:val="auto"/>
                <w:kern w:val="0"/>
                <w:sz w:val="24"/>
                <w:highlight w:val="none"/>
              </w:rPr>
            </w:pPr>
          </w:p>
        </w:tc>
        <w:tc>
          <w:tcPr>
            <w:tcW w:w="901" w:type="dxa"/>
            <w:vAlign w:val="center"/>
          </w:tcPr>
          <w:p w14:paraId="098666BC">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职称</w:t>
            </w:r>
          </w:p>
        </w:tc>
        <w:tc>
          <w:tcPr>
            <w:tcW w:w="1224" w:type="dxa"/>
            <w:gridSpan w:val="4"/>
            <w:vAlign w:val="center"/>
          </w:tcPr>
          <w:p w14:paraId="19144401">
            <w:pPr>
              <w:autoSpaceDE w:val="0"/>
              <w:autoSpaceDN w:val="0"/>
              <w:jc w:val="center"/>
              <w:rPr>
                <w:color w:val="auto"/>
                <w:kern w:val="0"/>
                <w:sz w:val="24"/>
                <w:highlight w:val="none"/>
              </w:rPr>
            </w:pPr>
          </w:p>
        </w:tc>
        <w:tc>
          <w:tcPr>
            <w:tcW w:w="695" w:type="dxa"/>
            <w:vAlign w:val="center"/>
          </w:tcPr>
          <w:p w14:paraId="36572BA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1684" w:type="dxa"/>
            <w:gridSpan w:val="3"/>
            <w:vAlign w:val="center"/>
          </w:tcPr>
          <w:p w14:paraId="3B51CCE5">
            <w:pPr>
              <w:autoSpaceDE w:val="0"/>
              <w:autoSpaceDN w:val="0"/>
              <w:jc w:val="center"/>
              <w:rPr>
                <w:color w:val="auto"/>
                <w:kern w:val="0"/>
                <w:sz w:val="24"/>
                <w:highlight w:val="none"/>
              </w:rPr>
            </w:pPr>
          </w:p>
        </w:tc>
      </w:tr>
      <w:tr w14:paraId="61DBED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6710330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资质证书</w:t>
            </w:r>
          </w:p>
        </w:tc>
        <w:tc>
          <w:tcPr>
            <w:tcW w:w="6761" w:type="dxa"/>
            <w:gridSpan w:val="11"/>
            <w:vAlign w:val="center"/>
          </w:tcPr>
          <w:p w14:paraId="59ADA08E">
            <w:pPr>
              <w:autoSpaceDE w:val="0"/>
              <w:autoSpaceDN w:val="0"/>
              <w:rPr>
                <w:color w:val="auto"/>
                <w:kern w:val="0"/>
                <w:sz w:val="24"/>
                <w:highlight w:val="none"/>
              </w:rPr>
            </w:pPr>
            <w:r>
              <w:rPr>
                <w:rFonts w:hint="eastAsia"/>
                <w:color w:val="auto"/>
                <w:kern w:val="0"/>
                <w:sz w:val="24"/>
                <w:highlight w:val="none"/>
              </w:rPr>
              <w:t>类型：           等级：           证书号：</w:t>
            </w:r>
          </w:p>
        </w:tc>
      </w:tr>
      <w:tr w14:paraId="22AEA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7788107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质量管理体系证书（如有）</w:t>
            </w:r>
          </w:p>
        </w:tc>
        <w:tc>
          <w:tcPr>
            <w:tcW w:w="6761" w:type="dxa"/>
            <w:gridSpan w:val="11"/>
            <w:vAlign w:val="center"/>
          </w:tcPr>
          <w:p w14:paraId="1D128E21">
            <w:pPr>
              <w:autoSpaceDE w:val="0"/>
              <w:autoSpaceDN w:val="0"/>
              <w:rPr>
                <w:color w:val="auto"/>
                <w:kern w:val="0"/>
                <w:sz w:val="24"/>
                <w:highlight w:val="none"/>
              </w:rPr>
            </w:pPr>
            <w:r>
              <w:rPr>
                <w:rFonts w:hint="eastAsia"/>
                <w:color w:val="auto"/>
                <w:kern w:val="0"/>
                <w:sz w:val="24"/>
                <w:highlight w:val="none"/>
              </w:rPr>
              <w:t>类型：           等级：           证书号：</w:t>
            </w:r>
          </w:p>
        </w:tc>
      </w:tr>
      <w:tr w14:paraId="204DF6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24F6667A">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营业执照号</w:t>
            </w:r>
          </w:p>
        </w:tc>
        <w:tc>
          <w:tcPr>
            <w:tcW w:w="3492" w:type="dxa"/>
            <w:gridSpan w:val="4"/>
            <w:vAlign w:val="center"/>
          </w:tcPr>
          <w:p w14:paraId="5F8A1368">
            <w:pPr>
              <w:autoSpaceDE w:val="0"/>
              <w:autoSpaceDN w:val="0"/>
              <w:jc w:val="center"/>
              <w:rPr>
                <w:color w:val="auto"/>
                <w:kern w:val="0"/>
                <w:sz w:val="24"/>
                <w:highlight w:val="none"/>
              </w:rPr>
            </w:pPr>
          </w:p>
        </w:tc>
        <w:tc>
          <w:tcPr>
            <w:tcW w:w="1977" w:type="dxa"/>
            <w:gridSpan w:val="6"/>
            <w:vAlign w:val="center"/>
          </w:tcPr>
          <w:p w14:paraId="5A96849E">
            <w:pPr>
              <w:autoSpaceDE w:val="0"/>
              <w:autoSpaceDN w:val="0"/>
              <w:jc w:val="center"/>
              <w:rPr>
                <w:color w:val="auto"/>
                <w:kern w:val="0"/>
                <w:sz w:val="24"/>
                <w:highlight w:val="none"/>
              </w:rPr>
            </w:pPr>
            <w:r>
              <w:rPr>
                <w:rFonts w:hint="eastAsia" w:ascii="宋体" w:cs="宋体"/>
                <w:color w:val="auto"/>
                <w:kern w:val="0"/>
                <w:sz w:val="24"/>
                <w:highlight w:val="none"/>
              </w:rPr>
              <w:t>员工总人数</w:t>
            </w:r>
          </w:p>
        </w:tc>
        <w:tc>
          <w:tcPr>
            <w:tcW w:w="1292" w:type="dxa"/>
            <w:vAlign w:val="center"/>
          </w:tcPr>
          <w:p w14:paraId="3CE63332">
            <w:pPr>
              <w:autoSpaceDE w:val="0"/>
              <w:autoSpaceDN w:val="0"/>
              <w:jc w:val="center"/>
              <w:rPr>
                <w:color w:val="auto"/>
                <w:kern w:val="0"/>
                <w:sz w:val="24"/>
                <w:highlight w:val="none"/>
              </w:rPr>
            </w:pPr>
          </w:p>
        </w:tc>
      </w:tr>
      <w:tr w14:paraId="64948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2079" w:type="dxa"/>
            <w:vAlign w:val="center"/>
          </w:tcPr>
          <w:p w14:paraId="02FB2C7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注册资本</w:t>
            </w:r>
          </w:p>
        </w:tc>
        <w:tc>
          <w:tcPr>
            <w:tcW w:w="3492" w:type="dxa"/>
            <w:gridSpan w:val="4"/>
            <w:vAlign w:val="center"/>
          </w:tcPr>
          <w:p w14:paraId="1D9AA782">
            <w:pPr>
              <w:autoSpaceDE w:val="0"/>
              <w:autoSpaceDN w:val="0"/>
              <w:jc w:val="center"/>
              <w:rPr>
                <w:color w:val="auto"/>
                <w:kern w:val="0"/>
                <w:sz w:val="24"/>
                <w:highlight w:val="none"/>
              </w:rPr>
            </w:pPr>
          </w:p>
        </w:tc>
        <w:tc>
          <w:tcPr>
            <w:tcW w:w="337" w:type="dxa"/>
            <w:gridSpan w:val="2"/>
            <w:vMerge w:val="restart"/>
            <w:vAlign w:val="center"/>
          </w:tcPr>
          <w:p w14:paraId="21C67743">
            <w:pPr>
              <w:autoSpaceDE w:val="0"/>
              <w:autoSpaceDN w:val="0"/>
              <w:jc w:val="center"/>
              <w:rPr>
                <w:color w:val="auto"/>
                <w:kern w:val="0"/>
                <w:sz w:val="24"/>
                <w:highlight w:val="none"/>
              </w:rPr>
            </w:pPr>
            <w:r>
              <w:rPr>
                <w:rFonts w:hint="eastAsia" w:ascii="宋体" w:cs="宋体"/>
                <w:color w:val="auto"/>
                <w:kern w:val="0"/>
                <w:sz w:val="24"/>
                <w:highlight w:val="none"/>
              </w:rPr>
              <w:t>其中</w:t>
            </w:r>
          </w:p>
        </w:tc>
        <w:tc>
          <w:tcPr>
            <w:tcW w:w="1640" w:type="dxa"/>
            <w:gridSpan w:val="4"/>
            <w:vAlign w:val="center"/>
          </w:tcPr>
          <w:p w14:paraId="5D639B0F">
            <w:pPr>
              <w:jc w:val="left"/>
              <w:rPr>
                <w:rFonts w:ascii="宋体" w:cs="宋体"/>
                <w:color w:val="auto"/>
                <w:kern w:val="0"/>
                <w:sz w:val="24"/>
                <w:highlight w:val="none"/>
              </w:rPr>
            </w:pPr>
            <w:r>
              <w:rPr>
                <w:rFonts w:hint="eastAsia" w:ascii="宋体" w:cs="宋体"/>
                <w:color w:val="auto"/>
                <w:kern w:val="0"/>
                <w:sz w:val="24"/>
                <w:highlight w:val="none"/>
              </w:rPr>
              <w:t>高级职称人员</w:t>
            </w:r>
          </w:p>
        </w:tc>
        <w:tc>
          <w:tcPr>
            <w:tcW w:w="1292" w:type="dxa"/>
            <w:vAlign w:val="center"/>
          </w:tcPr>
          <w:p w14:paraId="541F3F6B">
            <w:pPr>
              <w:autoSpaceDE w:val="0"/>
              <w:autoSpaceDN w:val="0"/>
              <w:jc w:val="center"/>
              <w:rPr>
                <w:color w:val="auto"/>
                <w:kern w:val="0"/>
                <w:sz w:val="24"/>
                <w:highlight w:val="none"/>
              </w:rPr>
            </w:pPr>
          </w:p>
        </w:tc>
      </w:tr>
      <w:tr w14:paraId="2E4CE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64534C7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成立日期</w:t>
            </w:r>
          </w:p>
        </w:tc>
        <w:tc>
          <w:tcPr>
            <w:tcW w:w="3492" w:type="dxa"/>
            <w:gridSpan w:val="4"/>
            <w:vAlign w:val="center"/>
          </w:tcPr>
          <w:p w14:paraId="281CC583">
            <w:pPr>
              <w:autoSpaceDE w:val="0"/>
              <w:autoSpaceDN w:val="0"/>
              <w:jc w:val="center"/>
              <w:rPr>
                <w:rFonts w:ascii="宋体" w:cs="宋体"/>
                <w:color w:val="auto"/>
                <w:kern w:val="0"/>
                <w:sz w:val="24"/>
                <w:highlight w:val="none"/>
              </w:rPr>
            </w:pPr>
          </w:p>
        </w:tc>
        <w:tc>
          <w:tcPr>
            <w:tcW w:w="337" w:type="dxa"/>
            <w:gridSpan w:val="2"/>
            <w:vMerge w:val="continue"/>
            <w:vAlign w:val="center"/>
          </w:tcPr>
          <w:p w14:paraId="50D9CF47">
            <w:pPr>
              <w:autoSpaceDE w:val="0"/>
              <w:autoSpaceDN w:val="0"/>
              <w:jc w:val="center"/>
              <w:rPr>
                <w:color w:val="auto"/>
                <w:kern w:val="0"/>
                <w:sz w:val="24"/>
                <w:highlight w:val="none"/>
              </w:rPr>
            </w:pPr>
          </w:p>
        </w:tc>
        <w:tc>
          <w:tcPr>
            <w:tcW w:w="1640" w:type="dxa"/>
            <w:gridSpan w:val="4"/>
            <w:vAlign w:val="center"/>
          </w:tcPr>
          <w:p w14:paraId="66FD6A5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中级职称人员</w:t>
            </w:r>
          </w:p>
        </w:tc>
        <w:tc>
          <w:tcPr>
            <w:tcW w:w="1292" w:type="dxa"/>
            <w:vAlign w:val="center"/>
          </w:tcPr>
          <w:p w14:paraId="0932A418">
            <w:pPr>
              <w:autoSpaceDE w:val="0"/>
              <w:autoSpaceDN w:val="0"/>
              <w:jc w:val="center"/>
              <w:rPr>
                <w:color w:val="auto"/>
                <w:kern w:val="0"/>
                <w:sz w:val="24"/>
                <w:highlight w:val="none"/>
              </w:rPr>
            </w:pPr>
          </w:p>
        </w:tc>
      </w:tr>
      <w:tr w14:paraId="71AAB7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 w:hRule="atLeast"/>
        </w:trPr>
        <w:tc>
          <w:tcPr>
            <w:tcW w:w="2079" w:type="dxa"/>
            <w:vAlign w:val="center"/>
          </w:tcPr>
          <w:p w14:paraId="0FB3434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基本账户开户银行</w:t>
            </w:r>
          </w:p>
        </w:tc>
        <w:tc>
          <w:tcPr>
            <w:tcW w:w="3492" w:type="dxa"/>
            <w:gridSpan w:val="4"/>
            <w:vAlign w:val="center"/>
          </w:tcPr>
          <w:p w14:paraId="73BB54BA">
            <w:pPr>
              <w:autoSpaceDE w:val="0"/>
              <w:autoSpaceDN w:val="0"/>
              <w:jc w:val="center"/>
              <w:rPr>
                <w:color w:val="auto"/>
                <w:kern w:val="0"/>
                <w:sz w:val="24"/>
                <w:highlight w:val="none"/>
              </w:rPr>
            </w:pPr>
          </w:p>
        </w:tc>
        <w:tc>
          <w:tcPr>
            <w:tcW w:w="337" w:type="dxa"/>
            <w:gridSpan w:val="2"/>
            <w:vMerge w:val="continue"/>
            <w:vAlign w:val="center"/>
          </w:tcPr>
          <w:p w14:paraId="6DD3B3AE">
            <w:pPr>
              <w:autoSpaceDE w:val="0"/>
              <w:autoSpaceDN w:val="0"/>
              <w:jc w:val="center"/>
              <w:rPr>
                <w:color w:val="auto"/>
                <w:kern w:val="0"/>
                <w:sz w:val="24"/>
                <w:highlight w:val="none"/>
              </w:rPr>
            </w:pPr>
          </w:p>
        </w:tc>
        <w:tc>
          <w:tcPr>
            <w:tcW w:w="1640" w:type="dxa"/>
            <w:gridSpan w:val="4"/>
            <w:vAlign w:val="center"/>
          </w:tcPr>
          <w:p w14:paraId="2292DDA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技术人员数量</w:t>
            </w:r>
          </w:p>
        </w:tc>
        <w:tc>
          <w:tcPr>
            <w:tcW w:w="1292" w:type="dxa"/>
            <w:vAlign w:val="center"/>
          </w:tcPr>
          <w:p w14:paraId="60B50C1F">
            <w:pPr>
              <w:autoSpaceDE w:val="0"/>
              <w:autoSpaceDN w:val="0"/>
              <w:jc w:val="center"/>
              <w:rPr>
                <w:color w:val="auto"/>
                <w:kern w:val="0"/>
                <w:sz w:val="24"/>
                <w:highlight w:val="none"/>
              </w:rPr>
            </w:pPr>
          </w:p>
        </w:tc>
      </w:tr>
      <w:tr w14:paraId="7C282C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34874ED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基本账户银行账号</w:t>
            </w:r>
          </w:p>
        </w:tc>
        <w:tc>
          <w:tcPr>
            <w:tcW w:w="3492" w:type="dxa"/>
            <w:gridSpan w:val="4"/>
            <w:vAlign w:val="center"/>
          </w:tcPr>
          <w:p w14:paraId="24141EC9">
            <w:pPr>
              <w:autoSpaceDE w:val="0"/>
              <w:autoSpaceDN w:val="0"/>
              <w:jc w:val="center"/>
              <w:rPr>
                <w:color w:val="auto"/>
                <w:kern w:val="0"/>
                <w:sz w:val="24"/>
                <w:highlight w:val="none"/>
              </w:rPr>
            </w:pPr>
          </w:p>
        </w:tc>
        <w:tc>
          <w:tcPr>
            <w:tcW w:w="337" w:type="dxa"/>
            <w:gridSpan w:val="2"/>
            <w:vMerge w:val="continue"/>
            <w:vAlign w:val="center"/>
          </w:tcPr>
          <w:p w14:paraId="1E93DFFA">
            <w:pPr>
              <w:autoSpaceDE w:val="0"/>
              <w:autoSpaceDN w:val="0"/>
              <w:jc w:val="center"/>
              <w:rPr>
                <w:color w:val="auto"/>
                <w:kern w:val="0"/>
                <w:sz w:val="24"/>
                <w:highlight w:val="none"/>
              </w:rPr>
            </w:pPr>
          </w:p>
        </w:tc>
        <w:tc>
          <w:tcPr>
            <w:tcW w:w="1640" w:type="dxa"/>
            <w:gridSpan w:val="4"/>
            <w:vAlign w:val="center"/>
          </w:tcPr>
          <w:p w14:paraId="0F933A13">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各类注册人员</w:t>
            </w:r>
          </w:p>
        </w:tc>
        <w:tc>
          <w:tcPr>
            <w:tcW w:w="1292" w:type="dxa"/>
            <w:vAlign w:val="center"/>
          </w:tcPr>
          <w:p w14:paraId="7A5EF026">
            <w:pPr>
              <w:autoSpaceDE w:val="0"/>
              <w:autoSpaceDN w:val="0"/>
              <w:jc w:val="center"/>
              <w:rPr>
                <w:color w:val="auto"/>
                <w:kern w:val="0"/>
                <w:sz w:val="24"/>
                <w:highlight w:val="none"/>
              </w:rPr>
            </w:pPr>
          </w:p>
        </w:tc>
      </w:tr>
      <w:tr w14:paraId="2ADFF0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732" w:hRule="atLeast"/>
        </w:trPr>
        <w:tc>
          <w:tcPr>
            <w:tcW w:w="2079" w:type="dxa"/>
            <w:vAlign w:val="center"/>
          </w:tcPr>
          <w:p w14:paraId="6ED9693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经营范围</w:t>
            </w:r>
          </w:p>
        </w:tc>
        <w:tc>
          <w:tcPr>
            <w:tcW w:w="6761" w:type="dxa"/>
            <w:gridSpan w:val="11"/>
            <w:vAlign w:val="center"/>
          </w:tcPr>
          <w:p w14:paraId="4561ED06">
            <w:pPr>
              <w:autoSpaceDE w:val="0"/>
              <w:autoSpaceDN w:val="0"/>
              <w:jc w:val="center"/>
              <w:rPr>
                <w:color w:val="auto"/>
                <w:kern w:val="0"/>
                <w:sz w:val="24"/>
                <w:highlight w:val="none"/>
              </w:rPr>
            </w:pPr>
          </w:p>
        </w:tc>
      </w:tr>
      <w:tr w14:paraId="6D82BD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2045" w:hRule="atLeast"/>
        </w:trPr>
        <w:tc>
          <w:tcPr>
            <w:tcW w:w="2079" w:type="dxa"/>
            <w:vAlign w:val="center"/>
          </w:tcPr>
          <w:p w14:paraId="27ACC0F1">
            <w:pPr>
              <w:autoSpaceDE w:val="0"/>
              <w:autoSpaceDN w:val="0"/>
              <w:jc w:val="center"/>
              <w:rPr>
                <w:color w:val="auto"/>
                <w:highlight w:val="none"/>
              </w:rPr>
            </w:pPr>
            <w:r>
              <w:rPr>
                <w:rFonts w:hint="eastAsia" w:ascii="宋体" w:cs="宋体"/>
                <w:color w:val="auto"/>
                <w:kern w:val="0"/>
                <w:sz w:val="24"/>
                <w:highlight w:val="none"/>
              </w:rPr>
              <w:t>投标人关联企业情况（包括但不限于与投标人法定代表人为同一人或者存在控股、管理关系的不同单位）</w:t>
            </w:r>
          </w:p>
        </w:tc>
        <w:tc>
          <w:tcPr>
            <w:tcW w:w="6761" w:type="dxa"/>
            <w:gridSpan w:val="11"/>
            <w:vAlign w:val="center"/>
          </w:tcPr>
          <w:p w14:paraId="444C559A">
            <w:pPr>
              <w:autoSpaceDE w:val="0"/>
              <w:autoSpaceDN w:val="0"/>
              <w:jc w:val="center"/>
              <w:rPr>
                <w:color w:val="auto"/>
                <w:kern w:val="0"/>
                <w:sz w:val="24"/>
                <w:highlight w:val="none"/>
              </w:rPr>
            </w:pPr>
          </w:p>
        </w:tc>
      </w:tr>
      <w:tr w14:paraId="3C05F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640" w:hRule="atLeast"/>
        </w:trPr>
        <w:tc>
          <w:tcPr>
            <w:tcW w:w="2079" w:type="dxa"/>
            <w:vAlign w:val="center"/>
          </w:tcPr>
          <w:p w14:paraId="44104A8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c>
          <w:tcPr>
            <w:tcW w:w="6761" w:type="dxa"/>
            <w:gridSpan w:val="11"/>
            <w:vAlign w:val="center"/>
          </w:tcPr>
          <w:p w14:paraId="73EB2D9A">
            <w:pPr>
              <w:autoSpaceDE w:val="0"/>
              <w:autoSpaceDN w:val="0"/>
              <w:jc w:val="center"/>
              <w:rPr>
                <w:color w:val="auto"/>
                <w:kern w:val="0"/>
                <w:sz w:val="24"/>
                <w:highlight w:val="none"/>
              </w:rPr>
            </w:pPr>
          </w:p>
        </w:tc>
      </w:tr>
    </w:tbl>
    <w:p w14:paraId="45EAD322">
      <w:pPr>
        <w:autoSpaceDE w:val="0"/>
        <w:autoSpaceDN w:val="0"/>
        <w:adjustRightInd w:val="0"/>
        <w:spacing w:line="160" w:lineRule="exact"/>
        <w:jc w:val="left"/>
        <w:rPr>
          <w:color w:val="auto"/>
          <w:kern w:val="0"/>
          <w:sz w:val="24"/>
          <w:highlight w:val="none"/>
        </w:rPr>
      </w:pPr>
    </w:p>
    <w:p w14:paraId="5B64D824">
      <w:pPr>
        <w:pStyle w:val="35"/>
        <w:snapToGrid w:val="0"/>
        <w:ind w:left="359" w:hanging="359" w:hangingChars="171"/>
        <w:rPr>
          <w:rFonts w:hint="default" w:hAnsi="宋体" w:cs="仿宋"/>
          <w:color w:val="auto"/>
          <w:sz w:val="21"/>
          <w:szCs w:val="21"/>
          <w:highlight w:val="none"/>
        </w:rPr>
      </w:pPr>
      <w:r>
        <w:rPr>
          <w:rFonts w:hAnsi="宋体" w:cs="仿宋"/>
          <w:color w:val="auto"/>
          <w:sz w:val="21"/>
          <w:szCs w:val="21"/>
          <w:highlight w:val="none"/>
        </w:rPr>
        <w:t>注:在本表后应附企业法人</w:t>
      </w:r>
      <w:r>
        <w:rPr>
          <w:rFonts w:hAnsi="宋体" w:cs="仿宋"/>
          <w:b/>
          <w:bCs/>
          <w:color w:val="auto"/>
          <w:sz w:val="21"/>
          <w:szCs w:val="21"/>
          <w:highlight w:val="none"/>
        </w:rPr>
        <w:t>营业执照</w:t>
      </w:r>
      <w:r>
        <w:rPr>
          <w:rFonts w:hAnsi="宋体" w:cs="仿宋"/>
          <w:color w:val="auto"/>
          <w:sz w:val="21"/>
          <w:szCs w:val="21"/>
          <w:highlight w:val="none"/>
        </w:rPr>
        <w:t>副本或事业单位法人证书、</w:t>
      </w:r>
      <w:r>
        <w:rPr>
          <w:rFonts w:hAnsi="宋体" w:cs="仿宋"/>
          <w:b/>
          <w:bCs/>
          <w:color w:val="auto"/>
          <w:sz w:val="21"/>
          <w:szCs w:val="21"/>
          <w:highlight w:val="none"/>
        </w:rPr>
        <w:t>资质证书</w:t>
      </w:r>
      <w:r>
        <w:rPr>
          <w:rFonts w:hAnsi="宋体" w:cs="仿宋"/>
          <w:color w:val="auto"/>
          <w:sz w:val="21"/>
          <w:szCs w:val="21"/>
          <w:highlight w:val="none"/>
        </w:rPr>
        <w:t>、质量保证体系认证证书等的原件扫描件及</w:t>
      </w:r>
      <w:r>
        <w:rPr>
          <w:rFonts w:hAnsi="宋体" w:cs="仿宋"/>
          <w:b/>
          <w:bCs/>
          <w:color w:val="auto"/>
          <w:sz w:val="21"/>
          <w:szCs w:val="21"/>
          <w:highlight w:val="none"/>
        </w:rPr>
        <w:t>基本账户开户许可证明</w:t>
      </w:r>
      <w:r>
        <w:rPr>
          <w:rFonts w:hAnsi="宋体" w:cs="仿宋"/>
          <w:color w:val="auto"/>
          <w:sz w:val="21"/>
          <w:szCs w:val="21"/>
          <w:highlight w:val="none"/>
        </w:rPr>
        <w:t>的清晰可辨的原件扫描件。上述所有执照、证书扫描件均应</w:t>
      </w:r>
      <w:r>
        <w:rPr>
          <w:rFonts w:hAnsi="宋体" w:cs="仿宋"/>
          <w:b/>
          <w:bCs/>
          <w:color w:val="auto"/>
          <w:sz w:val="21"/>
          <w:szCs w:val="21"/>
          <w:highlight w:val="none"/>
        </w:rPr>
        <w:t>加盖投供应商单位公章</w:t>
      </w:r>
      <w:r>
        <w:rPr>
          <w:rFonts w:hAnsi="宋体" w:cs="仿宋"/>
          <w:color w:val="auto"/>
          <w:sz w:val="21"/>
          <w:szCs w:val="21"/>
          <w:highlight w:val="none"/>
        </w:rPr>
        <w:t>。</w:t>
      </w:r>
    </w:p>
    <w:p w14:paraId="372559D0">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5E6BFB98">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774465F0">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4E2F96AE">
      <w:pPr>
        <w:snapToGrid w:val="0"/>
        <w:ind w:left="482"/>
        <w:rPr>
          <w:rFonts w:ascii="宋体" w:hAnsi="宋体"/>
          <w:b/>
          <w:bCs/>
          <w:color w:val="auto"/>
          <w:sz w:val="24"/>
          <w:highlight w:val="none"/>
        </w:rPr>
      </w:pPr>
      <w:r>
        <w:rPr>
          <w:rFonts w:hint="eastAsia" w:ascii="宋体" w:hAnsi="宋体"/>
          <w:b/>
          <w:bCs/>
          <w:color w:val="auto"/>
          <w:sz w:val="24"/>
          <w:highlight w:val="none"/>
        </w:rPr>
        <w:br w:type="page"/>
      </w:r>
    </w:p>
    <w:p w14:paraId="008F7443">
      <w:pPr>
        <w:pStyle w:val="20"/>
        <w:snapToGrid w:val="0"/>
        <w:ind w:left="482" w:hanging="482"/>
        <w:rPr>
          <w:rFonts w:ascii="宋体" w:hAnsi="宋体"/>
          <w:b/>
          <w:bCs/>
          <w:color w:val="auto"/>
          <w:sz w:val="24"/>
          <w:highlight w:val="none"/>
        </w:rPr>
      </w:pPr>
    </w:p>
    <w:p w14:paraId="02F4208F">
      <w:pPr>
        <w:snapToGrid w:val="0"/>
        <w:spacing w:before="120" w:beforeLines="50" w:after="50"/>
        <w:jc w:val="center"/>
        <w:outlineLvl w:val="2"/>
        <w:rPr>
          <w:rFonts w:ascii="宋体" w:hAnsi="宋体"/>
          <w:b/>
          <w:color w:val="auto"/>
          <w:sz w:val="24"/>
          <w:highlight w:val="none"/>
        </w:rPr>
      </w:pPr>
      <w:r>
        <w:rPr>
          <w:rFonts w:hint="eastAsia" w:ascii="宋体" w:hAnsi="宋体"/>
          <w:b/>
          <w:color w:val="auto"/>
          <w:sz w:val="24"/>
          <w:highlight w:val="none"/>
        </w:rPr>
        <w:t>（二）近年的业绩证明文件</w:t>
      </w:r>
    </w:p>
    <w:p w14:paraId="588FD340">
      <w:pPr>
        <w:jc w:val="center"/>
        <w:outlineLvl w:val="3"/>
        <w:rPr>
          <w:rFonts w:ascii="黑体" w:hAnsi="宋体" w:eastAsia="黑体"/>
          <w:b/>
          <w:bCs/>
          <w:color w:val="auto"/>
          <w:sz w:val="24"/>
          <w:highlight w:val="none"/>
        </w:rPr>
      </w:pPr>
      <w:r>
        <w:rPr>
          <w:rFonts w:hint="eastAsia" w:ascii="黑体" w:hAnsi="宋体" w:eastAsia="黑体"/>
          <w:b/>
          <w:bCs/>
          <w:color w:val="auto"/>
          <w:sz w:val="24"/>
          <w:highlight w:val="none"/>
        </w:rPr>
        <w:t xml:space="preserve">1.近 </w:t>
      </w:r>
      <w:r>
        <w:rPr>
          <w:rFonts w:hint="eastAsia" w:ascii="黑体" w:hAnsi="宋体" w:eastAsia="黑体"/>
          <w:b/>
          <w:bCs/>
          <w:color w:val="auto"/>
          <w:sz w:val="24"/>
          <w:highlight w:val="none"/>
          <w:lang w:val="en-US" w:eastAsia="zh-CN"/>
        </w:rPr>
        <w:t>5</w:t>
      </w:r>
      <w:r>
        <w:rPr>
          <w:rFonts w:hint="eastAsia" w:ascii="黑体" w:hAnsi="宋体" w:eastAsia="黑体"/>
          <w:b/>
          <w:bCs/>
          <w:color w:val="auto"/>
          <w:sz w:val="24"/>
          <w:highlight w:val="none"/>
        </w:rPr>
        <w:t xml:space="preserve"> 年</w:t>
      </w:r>
      <w:r>
        <w:rPr>
          <w:rFonts w:ascii="黑体" w:hAnsi="宋体" w:eastAsia="黑体"/>
          <w:b/>
          <w:bCs/>
          <w:color w:val="auto"/>
          <w:sz w:val="24"/>
          <w:highlight w:val="none"/>
        </w:rPr>
        <w:t>类似项目情况汇总表</w:t>
      </w:r>
    </w:p>
    <w:tbl>
      <w:tblPr>
        <w:tblStyle w:val="25"/>
        <w:tblW w:w="0" w:type="auto"/>
        <w:tblInd w:w="0" w:type="dxa"/>
        <w:tblLayout w:type="fixed"/>
        <w:tblCellMar>
          <w:top w:w="0" w:type="dxa"/>
          <w:left w:w="0" w:type="dxa"/>
          <w:bottom w:w="0" w:type="dxa"/>
          <w:right w:w="0" w:type="dxa"/>
        </w:tblCellMar>
      </w:tblPr>
      <w:tblGrid>
        <w:gridCol w:w="1437"/>
        <w:gridCol w:w="1430"/>
        <w:gridCol w:w="2516"/>
        <w:gridCol w:w="2330"/>
        <w:gridCol w:w="1387"/>
      </w:tblGrid>
      <w:tr w14:paraId="588A92D9">
        <w:tblPrEx>
          <w:tblCellMar>
            <w:top w:w="0" w:type="dxa"/>
            <w:left w:w="0" w:type="dxa"/>
            <w:bottom w:w="0" w:type="dxa"/>
            <w:right w:w="0" w:type="dxa"/>
          </w:tblCellMar>
        </w:tblPrEx>
        <w:trPr>
          <w:trHeight w:val="561" w:hRule="atLeast"/>
        </w:trPr>
        <w:tc>
          <w:tcPr>
            <w:tcW w:w="1437" w:type="dxa"/>
            <w:tcBorders>
              <w:top w:val="single" w:color="auto" w:sz="12" w:space="0"/>
              <w:left w:val="single" w:color="auto" w:sz="12" w:space="0"/>
              <w:bottom w:val="single" w:color="auto" w:sz="8" w:space="0"/>
              <w:right w:val="single" w:color="auto" w:sz="8" w:space="0"/>
            </w:tcBorders>
            <w:vAlign w:val="center"/>
          </w:tcPr>
          <w:p w14:paraId="13BCE5D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项目名称</w:t>
            </w:r>
          </w:p>
        </w:tc>
        <w:tc>
          <w:tcPr>
            <w:tcW w:w="1430" w:type="dxa"/>
            <w:tcBorders>
              <w:top w:val="single" w:color="auto" w:sz="12" w:space="0"/>
              <w:left w:val="single" w:color="auto" w:sz="8" w:space="0"/>
              <w:bottom w:val="single" w:color="auto" w:sz="8" w:space="0"/>
              <w:right w:val="single" w:color="auto" w:sz="8" w:space="0"/>
            </w:tcBorders>
            <w:vAlign w:val="center"/>
          </w:tcPr>
          <w:p w14:paraId="72728FD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起讫时间</w:t>
            </w:r>
          </w:p>
        </w:tc>
        <w:tc>
          <w:tcPr>
            <w:tcW w:w="2516" w:type="dxa"/>
            <w:tcBorders>
              <w:top w:val="single" w:color="auto" w:sz="12" w:space="0"/>
              <w:left w:val="single" w:color="auto" w:sz="8" w:space="0"/>
              <w:bottom w:val="single" w:color="auto" w:sz="8" w:space="0"/>
              <w:right w:val="single" w:color="auto" w:sz="8" w:space="0"/>
            </w:tcBorders>
            <w:vAlign w:val="center"/>
          </w:tcPr>
          <w:p w14:paraId="6B1AC1F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w:t>
            </w:r>
          </w:p>
        </w:tc>
        <w:tc>
          <w:tcPr>
            <w:tcW w:w="2330" w:type="dxa"/>
            <w:tcBorders>
              <w:top w:val="single" w:color="auto" w:sz="12" w:space="0"/>
              <w:left w:val="single" w:color="auto" w:sz="8" w:space="0"/>
              <w:bottom w:val="single" w:color="auto" w:sz="8" w:space="0"/>
              <w:right w:val="single" w:color="auto" w:sz="8" w:space="0"/>
            </w:tcBorders>
            <w:vAlign w:val="center"/>
          </w:tcPr>
          <w:p w14:paraId="4A1C49A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完成情况</w:t>
            </w:r>
          </w:p>
        </w:tc>
        <w:tc>
          <w:tcPr>
            <w:tcW w:w="1387" w:type="dxa"/>
            <w:tcBorders>
              <w:top w:val="single" w:color="auto" w:sz="12" w:space="0"/>
              <w:left w:val="single" w:color="auto" w:sz="8" w:space="0"/>
              <w:bottom w:val="single" w:color="auto" w:sz="8" w:space="0"/>
              <w:right w:val="single" w:color="auto" w:sz="12" w:space="0"/>
            </w:tcBorders>
            <w:vAlign w:val="center"/>
          </w:tcPr>
          <w:p w14:paraId="0F0173B7">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r>
      <w:tr w14:paraId="297D3ADB">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7FC4C37">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254A9B90">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2724BD30">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7F9BEF1D">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6CDFD1A5">
            <w:pPr>
              <w:autoSpaceDE w:val="0"/>
              <w:autoSpaceDN w:val="0"/>
              <w:rPr>
                <w:color w:val="auto"/>
                <w:kern w:val="0"/>
                <w:sz w:val="24"/>
                <w:highlight w:val="none"/>
              </w:rPr>
            </w:pPr>
          </w:p>
        </w:tc>
      </w:tr>
      <w:tr w14:paraId="1CF3FEC9">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3C1CA4D">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51CA7D9E">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14E64D28">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5EB1538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A0CCDEA">
            <w:pPr>
              <w:autoSpaceDE w:val="0"/>
              <w:autoSpaceDN w:val="0"/>
              <w:rPr>
                <w:color w:val="auto"/>
                <w:kern w:val="0"/>
                <w:sz w:val="24"/>
                <w:highlight w:val="none"/>
              </w:rPr>
            </w:pPr>
          </w:p>
        </w:tc>
      </w:tr>
      <w:tr w14:paraId="429AE0E0">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42ADDFC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52542736">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24766861">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12DFA7D1">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2D390D30">
            <w:pPr>
              <w:autoSpaceDE w:val="0"/>
              <w:autoSpaceDN w:val="0"/>
              <w:rPr>
                <w:color w:val="auto"/>
                <w:kern w:val="0"/>
                <w:sz w:val="24"/>
                <w:highlight w:val="none"/>
              </w:rPr>
            </w:pPr>
          </w:p>
        </w:tc>
      </w:tr>
      <w:tr w14:paraId="095FD209">
        <w:tblPrEx>
          <w:tblCellMar>
            <w:top w:w="0" w:type="dxa"/>
            <w:left w:w="0" w:type="dxa"/>
            <w:bottom w:w="0" w:type="dxa"/>
            <w:right w:w="0" w:type="dxa"/>
          </w:tblCellMar>
        </w:tblPrEx>
        <w:trPr>
          <w:trHeight w:val="566" w:hRule="atLeast"/>
        </w:trPr>
        <w:tc>
          <w:tcPr>
            <w:tcW w:w="1437" w:type="dxa"/>
            <w:tcBorders>
              <w:top w:val="single" w:color="auto" w:sz="8" w:space="0"/>
              <w:left w:val="single" w:color="auto" w:sz="12" w:space="0"/>
              <w:bottom w:val="single" w:color="auto" w:sz="8" w:space="0"/>
              <w:right w:val="single" w:color="auto" w:sz="8" w:space="0"/>
            </w:tcBorders>
          </w:tcPr>
          <w:p w14:paraId="3C19706F">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9DEAC2B">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74D154A">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640D9513">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84702BB">
            <w:pPr>
              <w:autoSpaceDE w:val="0"/>
              <w:autoSpaceDN w:val="0"/>
              <w:rPr>
                <w:color w:val="auto"/>
                <w:kern w:val="0"/>
                <w:sz w:val="24"/>
                <w:highlight w:val="none"/>
              </w:rPr>
            </w:pPr>
          </w:p>
        </w:tc>
      </w:tr>
      <w:tr w14:paraId="44A8CAC0">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BBB9FD2">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43576CB1">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6BDFC29D">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6033D02">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0078A0D2">
            <w:pPr>
              <w:autoSpaceDE w:val="0"/>
              <w:autoSpaceDN w:val="0"/>
              <w:rPr>
                <w:color w:val="auto"/>
                <w:kern w:val="0"/>
                <w:sz w:val="24"/>
                <w:highlight w:val="none"/>
              </w:rPr>
            </w:pPr>
          </w:p>
        </w:tc>
      </w:tr>
      <w:tr w14:paraId="10076D8E">
        <w:tblPrEx>
          <w:tblCellMar>
            <w:top w:w="0" w:type="dxa"/>
            <w:left w:w="0" w:type="dxa"/>
            <w:bottom w:w="0" w:type="dxa"/>
            <w:right w:w="0" w:type="dxa"/>
          </w:tblCellMar>
        </w:tblPrEx>
        <w:trPr>
          <w:trHeight w:val="780" w:hRule="atLeast"/>
        </w:trPr>
        <w:tc>
          <w:tcPr>
            <w:tcW w:w="1437" w:type="dxa"/>
            <w:tcBorders>
              <w:top w:val="single" w:color="auto" w:sz="8" w:space="0"/>
              <w:left w:val="single" w:color="auto" w:sz="12" w:space="0"/>
              <w:bottom w:val="single" w:color="auto" w:sz="8" w:space="0"/>
              <w:right w:val="single" w:color="auto" w:sz="8" w:space="0"/>
            </w:tcBorders>
          </w:tcPr>
          <w:p w14:paraId="79AFE8F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BDB347F">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30D0D783">
            <w:pPr>
              <w:autoSpaceDE w:val="0"/>
              <w:autoSpaceDN w:val="0"/>
              <w:rPr>
                <w:rFonts w:ascii="宋体" w:cs="宋体"/>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4BDB0863">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00E469EB">
            <w:pPr>
              <w:autoSpaceDE w:val="0"/>
              <w:autoSpaceDN w:val="0"/>
              <w:rPr>
                <w:color w:val="auto"/>
                <w:kern w:val="0"/>
                <w:sz w:val="24"/>
                <w:highlight w:val="none"/>
              </w:rPr>
            </w:pPr>
          </w:p>
        </w:tc>
      </w:tr>
      <w:tr w14:paraId="0DFBD747">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575B6562">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36A3D559">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18B6234">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216E73A">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882F812">
            <w:pPr>
              <w:autoSpaceDE w:val="0"/>
              <w:autoSpaceDN w:val="0"/>
              <w:rPr>
                <w:color w:val="auto"/>
                <w:kern w:val="0"/>
                <w:sz w:val="24"/>
                <w:highlight w:val="none"/>
              </w:rPr>
            </w:pPr>
          </w:p>
        </w:tc>
      </w:tr>
      <w:tr w14:paraId="66C62E4D">
        <w:tblPrEx>
          <w:tblCellMar>
            <w:top w:w="0" w:type="dxa"/>
            <w:left w:w="0" w:type="dxa"/>
            <w:bottom w:w="0" w:type="dxa"/>
            <w:right w:w="0" w:type="dxa"/>
          </w:tblCellMar>
        </w:tblPrEx>
        <w:trPr>
          <w:trHeight w:val="566" w:hRule="atLeast"/>
        </w:trPr>
        <w:tc>
          <w:tcPr>
            <w:tcW w:w="1437" w:type="dxa"/>
            <w:tcBorders>
              <w:top w:val="single" w:color="auto" w:sz="8" w:space="0"/>
              <w:left w:val="single" w:color="auto" w:sz="12" w:space="0"/>
              <w:bottom w:val="single" w:color="auto" w:sz="8" w:space="0"/>
              <w:right w:val="single" w:color="auto" w:sz="8" w:space="0"/>
            </w:tcBorders>
          </w:tcPr>
          <w:p w14:paraId="6E89CC7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1196F89B">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30DD7E18">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04A7E110">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39295B3F">
            <w:pPr>
              <w:autoSpaceDE w:val="0"/>
              <w:autoSpaceDN w:val="0"/>
              <w:rPr>
                <w:color w:val="auto"/>
                <w:kern w:val="0"/>
                <w:sz w:val="24"/>
                <w:highlight w:val="none"/>
              </w:rPr>
            </w:pPr>
          </w:p>
        </w:tc>
      </w:tr>
      <w:tr w14:paraId="5CF49477">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3DFF5DAF">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486371DD">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17B83CDB">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2488F0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5DFA6EEF">
            <w:pPr>
              <w:autoSpaceDE w:val="0"/>
              <w:autoSpaceDN w:val="0"/>
              <w:rPr>
                <w:color w:val="auto"/>
                <w:kern w:val="0"/>
                <w:sz w:val="24"/>
                <w:highlight w:val="none"/>
              </w:rPr>
            </w:pPr>
          </w:p>
        </w:tc>
      </w:tr>
      <w:tr w14:paraId="79A206C5">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6F56771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AA476AA">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DE23D10">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5FB52BE0">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591A6D1C">
            <w:pPr>
              <w:autoSpaceDE w:val="0"/>
              <w:autoSpaceDN w:val="0"/>
              <w:rPr>
                <w:color w:val="auto"/>
                <w:kern w:val="0"/>
                <w:sz w:val="24"/>
                <w:highlight w:val="none"/>
              </w:rPr>
            </w:pPr>
          </w:p>
        </w:tc>
      </w:tr>
      <w:tr w14:paraId="62155C74">
        <w:tblPrEx>
          <w:tblCellMar>
            <w:top w:w="0" w:type="dxa"/>
            <w:left w:w="0" w:type="dxa"/>
            <w:bottom w:w="0" w:type="dxa"/>
            <w:right w:w="0" w:type="dxa"/>
          </w:tblCellMar>
        </w:tblPrEx>
        <w:trPr>
          <w:trHeight w:val="602" w:hRule="atLeast"/>
        </w:trPr>
        <w:tc>
          <w:tcPr>
            <w:tcW w:w="1437" w:type="dxa"/>
            <w:tcBorders>
              <w:top w:val="single" w:color="auto" w:sz="8" w:space="0"/>
              <w:left w:val="single" w:color="auto" w:sz="12" w:space="0"/>
              <w:bottom w:val="single" w:color="auto" w:sz="12" w:space="0"/>
              <w:right w:val="single" w:color="auto" w:sz="8" w:space="0"/>
            </w:tcBorders>
          </w:tcPr>
          <w:p w14:paraId="17D64671">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12" w:space="0"/>
              <w:right w:val="single" w:color="auto" w:sz="8" w:space="0"/>
            </w:tcBorders>
          </w:tcPr>
          <w:p w14:paraId="03AC6C68">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12" w:space="0"/>
              <w:right w:val="single" w:color="auto" w:sz="8" w:space="0"/>
            </w:tcBorders>
          </w:tcPr>
          <w:p w14:paraId="7B842493">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12" w:space="0"/>
              <w:right w:val="single" w:color="auto" w:sz="8" w:space="0"/>
            </w:tcBorders>
          </w:tcPr>
          <w:p w14:paraId="6C7B3A2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12" w:space="0"/>
              <w:right w:val="single" w:color="auto" w:sz="12" w:space="0"/>
            </w:tcBorders>
          </w:tcPr>
          <w:p w14:paraId="3F24C16E">
            <w:pPr>
              <w:autoSpaceDE w:val="0"/>
              <w:autoSpaceDN w:val="0"/>
              <w:rPr>
                <w:color w:val="auto"/>
                <w:kern w:val="0"/>
                <w:sz w:val="24"/>
                <w:highlight w:val="none"/>
              </w:rPr>
            </w:pPr>
          </w:p>
        </w:tc>
      </w:tr>
    </w:tbl>
    <w:p w14:paraId="0852D63A">
      <w:pPr>
        <w:autoSpaceDE w:val="0"/>
        <w:autoSpaceDN w:val="0"/>
        <w:adjustRightInd w:val="0"/>
        <w:jc w:val="left"/>
        <w:rPr>
          <w:color w:val="auto"/>
          <w:kern w:val="0"/>
          <w:sz w:val="24"/>
          <w:highlight w:val="none"/>
        </w:rPr>
      </w:pPr>
    </w:p>
    <w:p w14:paraId="3C031BA4">
      <w:pPr>
        <w:snapToGrid w:val="0"/>
        <w:spacing w:before="50" w:after="50"/>
        <w:rPr>
          <w:rFonts w:ascii="宋体" w:hAnsi="宋体"/>
          <w:color w:val="auto"/>
          <w:szCs w:val="21"/>
          <w:highlight w:val="none"/>
        </w:rPr>
      </w:pPr>
    </w:p>
    <w:p w14:paraId="32C04C0B">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62DEC56">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63EE8259">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65F00846">
      <w:pPr>
        <w:snapToGrid w:val="0"/>
        <w:spacing w:before="120" w:beforeLines="50" w:after="50"/>
        <w:jc w:val="left"/>
        <w:rPr>
          <w:rFonts w:ascii="宋体" w:hAnsi="宋体"/>
          <w:color w:val="auto"/>
          <w:szCs w:val="21"/>
          <w:highlight w:val="none"/>
        </w:rPr>
      </w:pPr>
    </w:p>
    <w:p w14:paraId="62469DAE">
      <w:pPr>
        <w:snapToGrid w:val="0"/>
        <w:spacing w:before="120" w:beforeLines="50" w:after="50"/>
        <w:jc w:val="left"/>
        <w:rPr>
          <w:rFonts w:ascii="宋体" w:hAnsi="宋体"/>
          <w:color w:val="auto"/>
          <w:szCs w:val="21"/>
          <w:highlight w:val="none"/>
        </w:rPr>
      </w:pPr>
    </w:p>
    <w:p w14:paraId="36026572">
      <w:pPr>
        <w:jc w:val="center"/>
        <w:outlineLvl w:val="3"/>
        <w:rPr>
          <w:rFonts w:ascii="黑体" w:hAnsi="宋体" w:eastAsia="黑体"/>
          <w:color w:val="auto"/>
          <w:sz w:val="24"/>
          <w:highlight w:val="none"/>
        </w:rPr>
      </w:pPr>
      <w:r>
        <w:rPr>
          <w:rFonts w:hint="eastAsia" w:ascii="宋体" w:hAnsi="宋体"/>
          <w:b/>
          <w:color w:val="auto"/>
          <w:sz w:val="24"/>
          <w:highlight w:val="none"/>
        </w:rPr>
        <w:br w:type="page"/>
      </w:r>
      <w:r>
        <w:rPr>
          <w:rFonts w:hint="eastAsia" w:ascii="宋体" w:hAnsi="宋体"/>
          <w:b/>
          <w:color w:val="auto"/>
          <w:sz w:val="24"/>
          <w:highlight w:val="none"/>
        </w:rPr>
        <w:t>2.</w:t>
      </w:r>
      <w:r>
        <w:rPr>
          <w:rFonts w:ascii="黑体" w:hAnsi="宋体" w:eastAsia="黑体"/>
          <w:b/>
          <w:bCs/>
          <w:color w:val="auto"/>
          <w:sz w:val="24"/>
          <w:highlight w:val="none"/>
        </w:rPr>
        <w:t>近</w:t>
      </w:r>
      <w:r>
        <w:rPr>
          <w:rFonts w:hint="eastAsia" w:ascii="黑体" w:hAnsi="宋体" w:eastAsia="黑体"/>
          <w:b/>
          <w:bCs/>
          <w:color w:val="auto"/>
          <w:sz w:val="24"/>
          <w:highlight w:val="none"/>
          <w:lang w:val="en-US" w:eastAsia="zh-CN"/>
        </w:rPr>
        <w:t>5</w:t>
      </w:r>
      <w:r>
        <w:rPr>
          <w:rFonts w:ascii="黑体" w:hAnsi="宋体" w:eastAsia="黑体"/>
          <w:b/>
          <w:bCs/>
          <w:color w:val="auto"/>
          <w:sz w:val="24"/>
          <w:highlight w:val="none"/>
        </w:rPr>
        <w:t xml:space="preserve"> 年类似项目情况详表</w:t>
      </w:r>
    </w:p>
    <w:p w14:paraId="5A0E0A27">
      <w:pPr>
        <w:rPr>
          <w:rFonts w:ascii="黑体" w:hAnsi="宋体" w:eastAsia="黑体"/>
          <w:color w:val="auto"/>
          <w:sz w:val="24"/>
          <w:highlight w:val="none"/>
        </w:rPr>
      </w:pPr>
    </w:p>
    <w:tbl>
      <w:tblPr>
        <w:tblStyle w:val="25"/>
        <w:tblW w:w="0" w:type="auto"/>
        <w:tblInd w:w="0" w:type="dxa"/>
        <w:tblLayout w:type="fixed"/>
        <w:tblCellMar>
          <w:top w:w="0" w:type="dxa"/>
          <w:left w:w="0" w:type="dxa"/>
          <w:bottom w:w="0" w:type="dxa"/>
          <w:right w:w="0" w:type="dxa"/>
        </w:tblCellMar>
      </w:tblPr>
      <w:tblGrid>
        <w:gridCol w:w="2700"/>
        <w:gridCol w:w="6465"/>
      </w:tblGrid>
      <w:tr w14:paraId="284A9F59">
        <w:tblPrEx>
          <w:tblCellMar>
            <w:top w:w="0" w:type="dxa"/>
            <w:left w:w="0" w:type="dxa"/>
            <w:bottom w:w="0" w:type="dxa"/>
            <w:right w:w="0" w:type="dxa"/>
          </w:tblCellMar>
        </w:tblPrEx>
        <w:trPr>
          <w:trHeight w:val="432" w:hRule="atLeast"/>
        </w:trPr>
        <w:tc>
          <w:tcPr>
            <w:tcW w:w="2700" w:type="dxa"/>
            <w:tcBorders>
              <w:top w:val="single" w:color="auto" w:sz="12" w:space="0"/>
              <w:left w:val="single" w:color="auto" w:sz="12" w:space="0"/>
              <w:bottom w:val="single" w:color="auto" w:sz="8" w:space="0"/>
              <w:right w:val="single" w:color="auto" w:sz="8" w:space="0"/>
            </w:tcBorders>
            <w:vAlign w:val="center"/>
          </w:tcPr>
          <w:p w14:paraId="79D8106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项目名称</w:t>
            </w:r>
          </w:p>
        </w:tc>
        <w:tc>
          <w:tcPr>
            <w:tcW w:w="6465" w:type="dxa"/>
            <w:tcBorders>
              <w:top w:val="single" w:color="auto" w:sz="12" w:space="0"/>
              <w:left w:val="single" w:color="auto" w:sz="8" w:space="0"/>
              <w:bottom w:val="single" w:color="auto" w:sz="8" w:space="0"/>
              <w:right w:val="single" w:color="auto" w:sz="12" w:space="0"/>
            </w:tcBorders>
          </w:tcPr>
          <w:p w14:paraId="354E00E9">
            <w:pPr>
              <w:autoSpaceDE w:val="0"/>
              <w:autoSpaceDN w:val="0"/>
              <w:rPr>
                <w:color w:val="auto"/>
                <w:kern w:val="0"/>
                <w:sz w:val="24"/>
                <w:highlight w:val="none"/>
              </w:rPr>
            </w:pPr>
          </w:p>
        </w:tc>
      </w:tr>
      <w:tr w14:paraId="70951C06">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7660178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项目所在地</w:t>
            </w:r>
          </w:p>
        </w:tc>
        <w:tc>
          <w:tcPr>
            <w:tcW w:w="6465" w:type="dxa"/>
            <w:tcBorders>
              <w:top w:val="single" w:color="auto" w:sz="8" w:space="0"/>
              <w:left w:val="single" w:color="auto" w:sz="8" w:space="0"/>
              <w:bottom w:val="single" w:color="auto" w:sz="8" w:space="0"/>
              <w:right w:val="single" w:color="auto" w:sz="12" w:space="0"/>
            </w:tcBorders>
          </w:tcPr>
          <w:p w14:paraId="4F9EA828">
            <w:pPr>
              <w:autoSpaceDE w:val="0"/>
              <w:autoSpaceDN w:val="0"/>
              <w:rPr>
                <w:color w:val="auto"/>
                <w:kern w:val="0"/>
                <w:sz w:val="24"/>
                <w:highlight w:val="none"/>
              </w:rPr>
            </w:pPr>
          </w:p>
        </w:tc>
      </w:tr>
      <w:tr w14:paraId="3E48EE0E">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8" w:space="0"/>
              <w:right w:val="single" w:color="auto" w:sz="8" w:space="0"/>
            </w:tcBorders>
            <w:vAlign w:val="center"/>
          </w:tcPr>
          <w:p w14:paraId="0FE35490">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发包人名称</w:t>
            </w:r>
          </w:p>
        </w:tc>
        <w:tc>
          <w:tcPr>
            <w:tcW w:w="6465" w:type="dxa"/>
            <w:tcBorders>
              <w:top w:val="single" w:color="auto" w:sz="8" w:space="0"/>
              <w:left w:val="single" w:color="auto" w:sz="8" w:space="0"/>
              <w:bottom w:val="single" w:color="auto" w:sz="8" w:space="0"/>
              <w:right w:val="single" w:color="auto" w:sz="12" w:space="0"/>
            </w:tcBorders>
          </w:tcPr>
          <w:p w14:paraId="390F7861">
            <w:pPr>
              <w:autoSpaceDE w:val="0"/>
              <w:autoSpaceDN w:val="0"/>
              <w:rPr>
                <w:color w:val="auto"/>
                <w:kern w:val="0"/>
                <w:sz w:val="24"/>
                <w:highlight w:val="none"/>
              </w:rPr>
            </w:pPr>
          </w:p>
        </w:tc>
      </w:tr>
      <w:tr w14:paraId="4C7FE252">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1DE342A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发包人地址</w:t>
            </w:r>
          </w:p>
        </w:tc>
        <w:tc>
          <w:tcPr>
            <w:tcW w:w="6465" w:type="dxa"/>
            <w:tcBorders>
              <w:top w:val="single" w:color="auto" w:sz="8" w:space="0"/>
              <w:left w:val="single" w:color="auto" w:sz="8" w:space="0"/>
              <w:bottom w:val="single" w:color="auto" w:sz="8" w:space="0"/>
              <w:right w:val="single" w:color="auto" w:sz="12" w:space="0"/>
            </w:tcBorders>
          </w:tcPr>
          <w:p w14:paraId="77A35335">
            <w:pPr>
              <w:autoSpaceDE w:val="0"/>
              <w:autoSpaceDN w:val="0"/>
              <w:rPr>
                <w:color w:val="auto"/>
                <w:kern w:val="0"/>
                <w:sz w:val="24"/>
                <w:highlight w:val="none"/>
              </w:rPr>
            </w:pPr>
          </w:p>
        </w:tc>
      </w:tr>
      <w:tr w14:paraId="5253E74E">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606D539C">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发包人电话</w:t>
            </w:r>
          </w:p>
        </w:tc>
        <w:tc>
          <w:tcPr>
            <w:tcW w:w="6465" w:type="dxa"/>
            <w:tcBorders>
              <w:top w:val="single" w:color="auto" w:sz="8" w:space="0"/>
              <w:left w:val="single" w:color="auto" w:sz="8" w:space="0"/>
              <w:bottom w:val="single" w:color="auto" w:sz="8" w:space="0"/>
              <w:right w:val="single" w:color="auto" w:sz="12" w:space="0"/>
            </w:tcBorders>
          </w:tcPr>
          <w:p w14:paraId="2D42A198">
            <w:pPr>
              <w:autoSpaceDE w:val="0"/>
              <w:autoSpaceDN w:val="0"/>
              <w:rPr>
                <w:color w:val="auto"/>
                <w:kern w:val="0"/>
                <w:sz w:val="24"/>
                <w:highlight w:val="none"/>
              </w:rPr>
            </w:pPr>
          </w:p>
        </w:tc>
      </w:tr>
      <w:tr w14:paraId="73E77B7A">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5A2611A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项目规模</w:t>
            </w:r>
          </w:p>
        </w:tc>
        <w:tc>
          <w:tcPr>
            <w:tcW w:w="6465" w:type="dxa"/>
            <w:tcBorders>
              <w:top w:val="single" w:color="auto" w:sz="8" w:space="0"/>
              <w:left w:val="single" w:color="auto" w:sz="8" w:space="0"/>
              <w:bottom w:val="single" w:color="auto" w:sz="8" w:space="0"/>
              <w:right w:val="single" w:color="auto" w:sz="12" w:space="0"/>
            </w:tcBorders>
          </w:tcPr>
          <w:p w14:paraId="31665DCB">
            <w:pPr>
              <w:autoSpaceDE w:val="0"/>
              <w:autoSpaceDN w:val="0"/>
              <w:rPr>
                <w:color w:val="auto"/>
                <w:kern w:val="0"/>
                <w:sz w:val="24"/>
                <w:highlight w:val="none"/>
              </w:rPr>
            </w:pPr>
          </w:p>
        </w:tc>
      </w:tr>
      <w:tr w14:paraId="3B867471">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8" w:space="0"/>
              <w:right w:val="single" w:color="auto" w:sz="8" w:space="0"/>
            </w:tcBorders>
            <w:vAlign w:val="center"/>
          </w:tcPr>
          <w:p w14:paraId="6703137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项目总投资</w:t>
            </w:r>
          </w:p>
        </w:tc>
        <w:tc>
          <w:tcPr>
            <w:tcW w:w="6465" w:type="dxa"/>
            <w:tcBorders>
              <w:top w:val="single" w:color="auto" w:sz="8" w:space="0"/>
              <w:left w:val="single" w:color="auto" w:sz="8" w:space="0"/>
              <w:bottom w:val="single" w:color="auto" w:sz="8" w:space="0"/>
              <w:right w:val="single" w:color="auto" w:sz="12" w:space="0"/>
            </w:tcBorders>
          </w:tcPr>
          <w:p w14:paraId="3AA739B4">
            <w:pPr>
              <w:autoSpaceDE w:val="0"/>
              <w:autoSpaceDN w:val="0"/>
              <w:rPr>
                <w:rFonts w:ascii="宋体" w:cs="宋体"/>
                <w:color w:val="auto"/>
                <w:kern w:val="0"/>
                <w:sz w:val="24"/>
                <w:highlight w:val="none"/>
              </w:rPr>
            </w:pPr>
          </w:p>
        </w:tc>
      </w:tr>
      <w:tr w14:paraId="2CF37D5E">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046AC53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承担的工作</w:t>
            </w:r>
          </w:p>
        </w:tc>
        <w:tc>
          <w:tcPr>
            <w:tcW w:w="6465" w:type="dxa"/>
            <w:tcBorders>
              <w:top w:val="single" w:color="auto" w:sz="8" w:space="0"/>
              <w:left w:val="single" w:color="auto" w:sz="8" w:space="0"/>
              <w:bottom w:val="single" w:color="auto" w:sz="8" w:space="0"/>
              <w:right w:val="single" w:color="auto" w:sz="12" w:space="0"/>
            </w:tcBorders>
          </w:tcPr>
          <w:p w14:paraId="3392345D">
            <w:pPr>
              <w:autoSpaceDE w:val="0"/>
              <w:autoSpaceDN w:val="0"/>
              <w:rPr>
                <w:color w:val="auto"/>
                <w:kern w:val="0"/>
                <w:sz w:val="24"/>
                <w:highlight w:val="none"/>
              </w:rPr>
            </w:pPr>
          </w:p>
        </w:tc>
      </w:tr>
      <w:tr w14:paraId="5CE2B5E6">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069ED021">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工期</w:t>
            </w:r>
          </w:p>
        </w:tc>
        <w:tc>
          <w:tcPr>
            <w:tcW w:w="6465" w:type="dxa"/>
            <w:tcBorders>
              <w:top w:val="single" w:color="auto" w:sz="8" w:space="0"/>
              <w:left w:val="single" w:color="auto" w:sz="8" w:space="0"/>
              <w:bottom w:val="single" w:color="auto" w:sz="8" w:space="0"/>
              <w:right w:val="single" w:color="auto" w:sz="12" w:space="0"/>
            </w:tcBorders>
          </w:tcPr>
          <w:p w14:paraId="4362EE0C">
            <w:pPr>
              <w:autoSpaceDE w:val="0"/>
              <w:autoSpaceDN w:val="0"/>
              <w:rPr>
                <w:color w:val="auto"/>
                <w:kern w:val="0"/>
                <w:sz w:val="24"/>
                <w:highlight w:val="none"/>
              </w:rPr>
            </w:pPr>
          </w:p>
        </w:tc>
      </w:tr>
      <w:tr w14:paraId="1C5A08CD">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378AB98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项目负责人</w:t>
            </w:r>
          </w:p>
        </w:tc>
        <w:tc>
          <w:tcPr>
            <w:tcW w:w="6465" w:type="dxa"/>
            <w:tcBorders>
              <w:top w:val="single" w:color="auto" w:sz="8" w:space="0"/>
              <w:left w:val="single" w:color="auto" w:sz="8" w:space="0"/>
              <w:bottom w:val="single" w:color="auto" w:sz="8" w:space="0"/>
              <w:right w:val="single" w:color="auto" w:sz="12" w:space="0"/>
            </w:tcBorders>
          </w:tcPr>
          <w:p w14:paraId="159F0760">
            <w:pPr>
              <w:autoSpaceDE w:val="0"/>
              <w:autoSpaceDN w:val="0"/>
              <w:rPr>
                <w:color w:val="auto"/>
                <w:kern w:val="0"/>
                <w:sz w:val="24"/>
                <w:highlight w:val="none"/>
              </w:rPr>
            </w:pPr>
          </w:p>
        </w:tc>
      </w:tr>
      <w:tr w14:paraId="5F3B50E2">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3FD2AC91">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项目完成情况</w:t>
            </w:r>
          </w:p>
        </w:tc>
        <w:tc>
          <w:tcPr>
            <w:tcW w:w="6465" w:type="dxa"/>
            <w:tcBorders>
              <w:top w:val="single" w:color="auto" w:sz="8" w:space="0"/>
              <w:left w:val="single" w:color="auto" w:sz="8" w:space="0"/>
              <w:bottom w:val="single" w:color="auto" w:sz="8" w:space="0"/>
              <w:right w:val="single" w:color="auto" w:sz="12" w:space="0"/>
            </w:tcBorders>
          </w:tcPr>
          <w:p w14:paraId="31065ABC">
            <w:pPr>
              <w:autoSpaceDE w:val="0"/>
              <w:autoSpaceDN w:val="0"/>
              <w:rPr>
                <w:color w:val="auto"/>
                <w:kern w:val="0"/>
                <w:sz w:val="24"/>
                <w:highlight w:val="none"/>
              </w:rPr>
            </w:pPr>
          </w:p>
        </w:tc>
      </w:tr>
      <w:tr w14:paraId="1F8EA860">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2BAA1FED">
            <w:pPr>
              <w:autoSpaceDE w:val="0"/>
              <w:autoSpaceDN w:val="0"/>
              <w:jc w:val="center"/>
              <w:rPr>
                <w:rFonts w:ascii="宋体" w:cs="宋体"/>
                <w:color w:val="auto"/>
                <w:kern w:val="0"/>
                <w:sz w:val="24"/>
                <w:highlight w:val="none"/>
              </w:rPr>
            </w:pPr>
            <w:r>
              <w:rPr>
                <w:rFonts w:hint="eastAsia" w:ascii="宋体" w:hAnsi="宋体" w:cs="宋体"/>
                <w:color w:val="auto"/>
                <w:kern w:val="0"/>
                <w:sz w:val="24"/>
                <w:highlight w:val="none"/>
              </w:rPr>
              <w:t>成果文件完成时间</w:t>
            </w:r>
          </w:p>
        </w:tc>
        <w:tc>
          <w:tcPr>
            <w:tcW w:w="6465" w:type="dxa"/>
            <w:tcBorders>
              <w:top w:val="single" w:color="auto" w:sz="8" w:space="0"/>
              <w:left w:val="single" w:color="auto" w:sz="8" w:space="0"/>
              <w:bottom w:val="single" w:color="auto" w:sz="8" w:space="0"/>
              <w:right w:val="single" w:color="auto" w:sz="12" w:space="0"/>
            </w:tcBorders>
          </w:tcPr>
          <w:p w14:paraId="55757DC6">
            <w:pPr>
              <w:autoSpaceDE w:val="0"/>
              <w:autoSpaceDN w:val="0"/>
              <w:rPr>
                <w:color w:val="auto"/>
                <w:kern w:val="0"/>
                <w:sz w:val="24"/>
                <w:highlight w:val="none"/>
              </w:rPr>
            </w:pPr>
          </w:p>
        </w:tc>
      </w:tr>
      <w:tr w14:paraId="4D41A5C8">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12" w:space="0"/>
              <w:right w:val="single" w:color="auto" w:sz="8" w:space="0"/>
            </w:tcBorders>
            <w:vAlign w:val="center"/>
          </w:tcPr>
          <w:p w14:paraId="5D78E08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c>
          <w:tcPr>
            <w:tcW w:w="6465" w:type="dxa"/>
            <w:tcBorders>
              <w:top w:val="single" w:color="auto" w:sz="8" w:space="0"/>
              <w:left w:val="single" w:color="auto" w:sz="8" w:space="0"/>
              <w:bottom w:val="single" w:color="auto" w:sz="12" w:space="0"/>
              <w:right w:val="single" w:color="auto" w:sz="12" w:space="0"/>
            </w:tcBorders>
          </w:tcPr>
          <w:p w14:paraId="127B830A">
            <w:pPr>
              <w:autoSpaceDE w:val="0"/>
              <w:autoSpaceDN w:val="0"/>
              <w:rPr>
                <w:color w:val="auto"/>
                <w:kern w:val="0"/>
                <w:sz w:val="24"/>
                <w:highlight w:val="none"/>
              </w:rPr>
            </w:pPr>
          </w:p>
        </w:tc>
      </w:tr>
    </w:tbl>
    <w:p w14:paraId="01DB3DE1">
      <w:pPr>
        <w:autoSpaceDE w:val="0"/>
        <w:autoSpaceDN w:val="0"/>
        <w:adjustRightInd w:val="0"/>
        <w:spacing w:line="160" w:lineRule="exact"/>
        <w:jc w:val="left"/>
        <w:rPr>
          <w:color w:val="auto"/>
          <w:kern w:val="0"/>
          <w:sz w:val="24"/>
          <w:highlight w:val="none"/>
        </w:rPr>
      </w:pPr>
    </w:p>
    <w:p w14:paraId="1B41761E">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注：每个项目填写一张表</w:t>
      </w:r>
    </w:p>
    <w:p w14:paraId="3E25A3CC">
      <w:pPr>
        <w:spacing w:line="360" w:lineRule="auto"/>
        <w:ind w:left="420"/>
        <w:rPr>
          <w:rFonts w:hAnsi="宋体" w:cs="仿宋"/>
          <w:color w:val="auto"/>
          <w:szCs w:val="21"/>
          <w:highlight w:val="none"/>
        </w:rPr>
      </w:pPr>
      <w:r>
        <w:rPr>
          <w:rFonts w:hint="eastAsia" w:hAnsi="宋体" w:cs="仿宋"/>
          <w:color w:val="auto"/>
          <w:szCs w:val="21"/>
          <w:highlight w:val="none"/>
        </w:rPr>
        <w:t>①投标人应将</w:t>
      </w:r>
      <w:r>
        <w:rPr>
          <w:rFonts w:hint="eastAsia" w:hAnsi="宋体" w:cs="仿宋"/>
          <w:b/>
          <w:color w:val="auto"/>
          <w:szCs w:val="21"/>
          <w:highlight w:val="none"/>
          <w:u w:val="single"/>
        </w:rPr>
        <w:t xml:space="preserve"> 202</w:t>
      </w:r>
      <w:r>
        <w:rPr>
          <w:rFonts w:hint="eastAsia" w:hAnsi="宋体" w:cs="仿宋"/>
          <w:b/>
          <w:color w:val="auto"/>
          <w:szCs w:val="21"/>
          <w:highlight w:val="none"/>
          <w:u w:val="single"/>
          <w:lang w:val="en-US" w:eastAsia="zh-CN"/>
        </w:rPr>
        <w:t>1</w:t>
      </w:r>
      <w:r>
        <w:rPr>
          <w:rFonts w:hint="eastAsia" w:hAnsi="宋体" w:cs="仿宋"/>
          <w:b/>
          <w:color w:val="auto"/>
          <w:szCs w:val="21"/>
          <w:highlight w:val="none"/>
          <w:u w:val="single"/>
        </w:rPr>
        <w:t xml:space="preserve">年1月 </w:t>
      </w:r>
      <w:r>
        <w:rPr>
          <w:rFonts w:hint="eastAsia" w:hAnsi="宋体" w:cs="仿宋"/>
          <w:color w:val="auto"/>
          <w:szCs w:val="21"/>
          <w:highlight w:val="none"/>
        </w:rPr>
        <w:t>以来已完成的类似项目情况填入本表中，</w:t>
      </w:r>
    </w:p>
    <w:p w14:paraId="78E24D46">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②</w:t>
      </w:r>
      <w:r>
        <w:rPr>
          <w:rFonts w:hAnsi="宋体" w:cs="仿宋"/>
          <w:color w:val="auto"/>
          <w:szCs w:val="21"/>
          <w:highlight w:val="none"/>
        </w:rPr>
        <w:t>本表后须</w:t>
      </w:r>
      <w:r>
        <w:rPr>
          <w:rFonts w:hAnsi="宋体" w:cs="仿宋"/>
          <w:b/>
          <w:color w:val="auto"/>
          <w:szCs w:val="21"/>
          <w:highlight w:val="none"/>
        </w:rPr>
        <w:t>应附合同协议书或委托书</w:t>
      </w:r>
      <w:r>
        <w:rPr>
          <w:rFonts w:hAnsi="宋体" w:cs="仿宋"/>
          <w:color w:val="auto"/>
          <w:szCs w:val="21"/>
          <w:highlight w:val="none"/>
        </w:rPr>
        <w:t>等的</w:t>
      </w:r>
      <w:r>
        <w:rPr>
          <w:rFonts w:hint="eastAsia" w:hAnsi="宋体" w:cs="仿宋"/>
          <w:color w:val="auto"/>
          <w:szCs w:val="21"/>
          <w:highlight w:val="none"/>
        </w:rPr>
        <w:t>扫描件</w:t>
      </w:r>
      <w:r>
        <w:rPr>
          <w:rFonts w:hAnsi="宋体" w:cs="仿宋"/>
          <w:color w:val="auto"/>
          <w:szCs w:val="21"/>
          <w:highlight w:val="none"/>
        </w:rPr>
        <w:t>；</w:t>
      </w:r>
    </w:p>
    <w:p w14:paraId="581A4DFD">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③</w:t>
      </w:r>
      <w:r>
        <w:rPr>
          <w:rFonts w:hAnsi="宋体" w:cs="仿宋"/>
          <w:color w:val="auto"/>
          <w:szCs w:val="21"/>
          <w:highlight w:val="none"/>
        </w:rPr>
        <w:t>近年来，</w:t>
      </w:r>
      <w:r>
        <w:rPr>
          <w:rFonts w:hint="eastAsia" w:hAnsi="宋体" w:cs="仿宋"/>
          <w:color w:val="auto"/>
          <w:szCs w:val="21"/>
          <w:highlight w:val="none"/>
        </w:rPr>
        <w:t>供应商</w:t>
      </w:r>
      <w:r>
        <w:rPr>
          <w:rFonts w:hAnsi="宋体" w:cs="仿宋"/>
          <w:color w:val="auto"/>
          <w:szCs w:val="21"/>
          <w:highlight w:val="none"/>
        </w:rPr>
        <w:t>法人机构发生合法变更或重组或法人名称变更时，应提供相关部门的合法批件及其他相关证明材料来证明其所附业绩的继承性；</w:t>
      </w:r>
    </w:p>
    <w:p w14:paraId="2266DA76">
      <w:pPr>
        <w:spacing w:line="360" w:lineRule="auto"/>
        <w:ind w:firstLine="420" w:firstLineChars="200"/>
        <w:rPr>
          <w:rFonts w:ascii="宋体" w:hAnsi="宋体"/>
          <w:color w:val="auto"/>
          <w:sz w:val="24"/>
          <w:highlight w:val="none"/>
        </w:rPr>
      </w:pPr>
      <w:r>
        <w:rPr>
          <w:rFonts w:hint="eastAsia" w:hAnsi="宋体" w:cs="仿宋"/>
          <w:color w:val="auto"/>
          <w:szCs w:val="21"/>
          <w:highlight w:val="none"/>
        </w:rPr>
        <w:t>④</w:t>
      </w:r>
      <w:r>
        <w:rPr>
          <w:rFonts w:hint="eastAsia" w:hAnsi="宋体" w:cs="仿宋"/>
          <w:color w:val="auto"/>
          <w:highlight w:val="none"/>
        </w:rPr>
        <w:t>须附有效证明材料，有效证明材料具体要求见第四章评审办法。</w:t>
      </w:r>
    </w:p>
    <w:p w14:paraId="39317B16">
      <w:pPr>
        <w:rPr>
          <w:rFonts w:ascii="黑体" w:hAnsi="宋体" w:eastAsia="黑体"/>
          <w:color w:val="auto"/>
          <w:sz w:val="24"/>
          <w:highlight w:val="none"/>
        </w:rPr>
      </w:pPr>
    </w:p>
    <w:p w14:paraId="256C2301">
      <w:pPr>
        <w:snapToGrid w:val="0"/>
        <w:spacing w:before="120" w:beforeLines="50" w:after="50"/>
        <w:jc w:val="center"/>
        <w:outlineLvl w:val="2"/>
        <w:rPr>
          <w:rFonts w:ascii="宋体" w:hAnsi="宋体"/>
          <w:b/>
          <w:bCs/>
          <w:color w:val="auto"/>
          <w:sz w:val="24"/>
          <w:highlight w:val="none"/>
        </w:rPr>
      </w:pPr>
      <w:r>
        <w:rPr>
          <w:rFonts w:hint="eastAsia" w:ascii="宋体" w:hAnsi="宋体"/>
          <w:b/>
          <w:color w:val="auto"/>
          <w:sz w:val="24"/>
          <w:highlight w:val="none"/>
        </w:rPr>
        <w:br w:type="page"/>
      </w:r>
      <w:bookmarkStart w:id="242" w:name="_Toc5907"/>
      <w:bookmarkStart w:id="243" w:name="_Toc11569"/>
      <w:bookmarkStart w:id="244" w:name="_Toc212"/>
      <w:bookmarkStart w:id="245" w:name="_Toc12138"/>
      <w:r>
        <w:rPr>
          <w:rFonts w:hint="eastAsia" w:ascii="宋体" w:hAnsi="宋体"/>
          <w:b/>
          <w:bCs/>
          <w:color w:val="auto"/>
          <w:sz w:val="24"/>
          <w:highlight w:val="none"/>
        </w:rPr>
        <w:t>（三）供应商信用及守法证明材料</w:t>
      </w:r>
      <w:bookmarkEnd w:id="242"/>
      <w:bookmarkEnd w:id="243"/>
      <w:bookmarkEnd w:id="244"/>
      <w:bookmarkEnd w:id="245"/>
    </w:p>
    <w:p w14:paraId="67F396E3">
      <w:pPr>
        <w:snapToGrid w:val="0"/>
        <w:spacing w:before="120" w:beforeLines="50" w:after="50"/>
        <w:ind w:left="142"/>
        <w:jc w:val="left"/>
        <w:rPr>
          <w:rFonts w:ascii="宋体" w:hAnsi="宋体"/>
          <w:b/>
          <w:color w:val="auto"/>
          <w:sz w:val="24"/>
          <w:highlight w:val="none"/>
        </w:rPr>
      </w:pPr>
    </w:p>
    <w:p w14:paraId="265000D7">
      <w:pPr>
        <w:jc w:val="center"/>
        <w:outlineLvl w:val="3"/>
        <w:rPr>
          <w:rFonts w:ascii="黑体" w:hAnsi="宋体" w:eastAsia="黑体"/>
          <w:color w:val="auto"/>
          <w:sz w:val="24"/>
          <w:highlight w:val="none"/>
        </w:rPr>
      </w:pPr>
      <w:r>
        <w:rPr>
          <w:rFonts w:hint="eastAsia" w:ascii="黑体" w:hAnsi="宋体" w:eastAsia="黑体"/>
          <w:color w:val="auto"/>
          <w:sz w:val="24"/>
          <w:highlight w:val="none"/>
        </w:rPr>
        <w:t>根据采购文件规定提供。</w:t>
      </w:r>
    </w:p>
    <w:p w14:paraId="0740E190">
      <w:pPr>
        <w:rPr>
          <w:rFonts w:ascii="宋体" w:hAnsi="宋体"/>
          <w:color w:val="auto"/>
          <w:sz w:val="24"/>
          <w:highlight w:val="none"/>
        </w:rPr>
      </w:pPr>
    </w:p>
    <w:p w14:paraId="466FC222">
      <w:pPr>
        <w:rPr>
          <w:rFonts w:ascii="宋体" w:hAnsi="宋体"/>
          <w:color w:val="auto"/>
          <w:sz w:val="24"/>
          <w:highlight w:val="none"/>
        </w:rPr>
      </w:pPr>
    </w:p>
    <w:p w14:paraId="137396B0">
      <w:pPr>
        <w:snapToGrid w:val="0"/>
        <w:spacing w:before="120" w:beforeLines="50" w:after="50"/>
        <w:jc w:val="left"/>
        <w:rPr>
          <w:rFonts w:ascii="宋体" w:hAnsi="宋体"/>
          <w:color w:val="auto"/>
          <w:szCs w:val="21"/>
          <w:highlight w:val="none"/>
        </w:rPr>
      </w:pPr>
    </w:p>
    <w:p w14:paraId="4F6475C5">
      <w:pPr>
        <w:snapToGrid w:val="0"/>
        <w:spacing w:before="120" w:beforeLines="50" w:after="50"/>
        <w:jc w:val="center"/>
        <w:outlineLvl w:val="2"/>
        <w:rPr>
          <w:rFonts w:ascii="宋体" w:hAnsi="宋体"/>
          <w:b/>
          <w:bCs/>
          <w:color w:val="auto"/>
          <w:sz w:val="24"/>
          <w:highlight w:val="none"/>
        </w:rPr>
      </w:pPr>
      <w:r>
        <w:rPr>
          <w:rFonts w:hint="eastAsia" w:ascii="宋体" w:hAnsi="宋体"/>
          <w:b/>
          <w:color w:val="auto"/>
          <w:sz w:val="24"/>
          <w:highlight w:val="none"/>
        </w:rPr>
        <w:br w:type="page"/>
      </w:r>
      <w:bookmarkStart w:id="246" w:name="_Toc5115"/>
      <w:bookmarkStart w:id="247" w:name="_Toc27275"/>
      <w:r>
        <w:rPr>
          <w:rFonts w:hint="eastAsia" w:ascii="宋体" w:hAnsi="宋体"/>
          <w:b/>
          <w:bCs/>
          <w:color w:val="auto"/>
          <w:sz w:val="24"/>
          <w:highlight w:val="none"/>
        </w:rPr>
        <w:t>（四）拟投入的主要人员表</w:t>
      </w:r>
      <w:bookmarkEnd w:id="246"/>
      <w:bookmarkEnd w:id="247"/>
    </w:p>
    <w:p w14:paraId="5591F511">
      <w:pPr>
        <w:jc w:val="center"/>
        <w:rPr>
          <w:rFonts w:ascii="黑体" w:hAnsi="宋体" w:eastAsia="黑体"/>
          <w:color w:val="auto"/>
          <w:sz w:val="24"/>
          <w:highlight w:val="none"/>
        </w:rPr>
      </w:pPr>
    </w:p>
    <w:tbl>
      <w:tblPr>
        <w:tblStyle w:val="25"/>
        <w:tblW w:w="9165" w:type="dxa"/>
        <w:tblInd w:w="15" w:type="dxa"/>
        <w:tblLayout w:type="fixed"/>
        <w:tblCellMar>
          <w:top w:w="0" w:type="dxa"/>
          <w:left w:w="0" w:type="dxa"/>
          <w:bottom w:w="0" w:type="dxa"/>
          <w:right w:w="0" w:type="dxa"/>
        </w:tblCellMar>
      </w:tblPr>
      <w:tblGrid>
        <w:gridCol w:w="712"/>
        <w:gridCol w:w="720"/>
        <w:gridCol w:w="1815"/>
        <w:gridCol w:w="1267"/>
        <w:gridCol w:w="1267"/>
        <w:gridCol w:w="1267"/>
        <w:gridCol w:w="2117"/>
      </w:tblGrid>
      <w:tr w14:paraId="2BBC686A">
        <w:tblPrEx>
          <w:tblCellMar>
            <w:top w:w="0" w:type="dxa"/>
            <w:left w:w="0" w:type="dxa"/>
            <w:bottom w:w="0" w:type="dxa"/>
            <w:right w:w="0" w:type="dxa"/>
          </w:tblCellMar>
        </w:tblPrEx>
        <w:trPr>
          <w:trHeight w:val="900" w:hRule="atLeast"/>
        </w:trPr>
        <w:tc>
          <w:tcPr>
            <w:tcW w:w="712" w:type="dxa"/>
            <w:tcBorders>
              <w:top w:val="single" w:color="auto" w:sz="12" w:space="0"/>
              <w:left w:val="single" w:color="auto" w:sz="12" w:space="0"/>
              <w:bottom w:val="single" w:color="auto" w:sz="8" w:space="0"/>
              <w:right w:val="single" w:color="auto" w:sz="8" w:space="0"/>
            </w:tcBorders>
            <w:vAlign w:val="center"/>
          </w:tcPr>
          <w:p w14:paraId="0154C57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720" w:type="dxa"/>
            <w:tcBorders>
              <w:top w:val="single" w:color="auto" w:sz="12" w:space="0"/>
              <w:left w:val="single" w:color="auto" w:sz="8" w:space="0"/>
              <w:bottom w:val="single" w:color="auto" w:sz="8" w:space="0"/>
              <w:right w:val="single" w:color="auto" w:sz="8" w:space="0"/>
            </w:tcBorders>
            <w:vAlign w:val="center"/>
          </w:tcPr>
          <w:p w14:paraId="50EB8DB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年龄</w:t>
            </w:r>
          </w:p>
        </w:tc>
        <w:tc>
          <w:tcPr>
            <w:tcW w:w="1815" w:type="dxa"/>
            <w:tcBorders>
              <w:top w:val="single" w:color="auto" w:sz="12" w:space="0"/>
              <w:left w:val="single" w:color="auto" w:sz="8" w:space="0"/>
              <w:bottom w:val="single" w:color="auto" w:sz="8" w:space="0"/>
              <w:right w:val="single" w:color="auto" w:sz="8" w:space="0"/>
            </w:tcBorders>
            <w:vAlign w:val="center"/>
          </w:tcPr>
          <w:p w14:paraId="366AE62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拟在本项目中</w:t>
            </w:r>
          </w:p>
          <w:p w14:paraId="46F995C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担任的职务</w:t>
            </w:r>
          </w:p>
        </w:tc>
        <w:tc>
          <w:tcPr>
            <w:tcW w:w="1267" w:type="dxa"/>
            <w:tcBorders>
              <w:top w:val="single" w:color="auto" w:sz="12" w:space="0"/>
              <w:left w:val="single" w:color="auto" w:sz="8" w:space="0"/>
              <w:bottom w:val="single" w:color="auto" w:sz="8" w:space="0"/>
              <w:right w:val="single" w:color="auto" w:sz="8" w:space="0"/>
            </w:tcBorders>
            <w:vAlign w:val="center"/>
          </w:tcPr>
          <w:p w14:paraId="34F16B4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技术职称</w:t>
            </w:r>
          </w:p>
        </w:tc>
        <w:tc>
          <w:tcPr>
            <w:tcW w:w="1267" w:type="dxa"/>
            <w:tcBorders>
              <w:top w:val="single" w:color="auto" w:sz="12" w:space="0"/>
              <w:left w:val="single" w:color="auto" w:sz="8" w:space="0"/>
              <w:bottom w:val="single" w:color="auto" w:sz="8" w:space="0"/>
              <w:right w:val="single" w:color="auto" w:sz="8" w:space="0"/>
            </w:tcBorders>
            <w:vAlign w:val="center"/>
          </w:tcPr>
          <w:p w14:paraId="5A6FE56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从事专业</w:t>
            </w:r>
          </w:p>
        </w:tc>
        <w:tc>
          <w:tcPr>
            <w:tcW w:w="1267" w:type="dxa"/>
            <w:tcBorders>
              <w:top w:val="single" w:color="auto" w:sz="12" w:space="0"/>
              <w:left w:val="single" w:color="auto" w:sz="8" w:space="0"/>
              <w:bottom w:val="single" w:color="auto" w:sz="8" w:space="0"/>
              <w:right w:val="single" w:color="auto" w:sz="8" w:space="0"/>
            </w:tcBorders>
            <w:vAlign w:val="center"/>
          </w:tcPr>
          <w:p w14:paraId="59B72A7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工作年限</w:t>
            </w:r>
          </w:p>
        </w:tc>
        <w:tc>
          <w:tcPr>
            <w:tcW w:w="2117" w:type="dxa"/>
            <w:tcBorders>
              <w:top w:val="single" w:color="auto" w:sz="12" w:space="0"/>
              <w:left w:val="single" w:color="auto" w:sz="8" w:space="0"/>
              <w:bottom w:val="single" w:color="auto" w:sz="8" w:space="0"/>
              <w:right w:val="single" w:color="auto" w:sz="12" w:space="0"/>
            </w:tcBorders>
            <w:vAlign w:val="center"/>
          </w:tcPr>
          <w:p w14:paraId="1AF1A77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类似项目</w:t>
            </w:r>
          </w:p>
          <w:p w14:paraId="3448A327">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经验年限</w:t>
            </w:r>
          </w:p>
        </w:tc>
      </w:tr>
      <w:tr w14:paraId="23ADAD81">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8" w:space="0"/>
              <w:right w:val="single" w:color="auto" w:sz="8" w:space="0"/>
            </w:tcBorders>
            <w:vAlign w:val="center"/>
          </w:tcPr>
          <w:p w14:paraId="62962B74">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7F06F3F4">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4F65DB6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02F44D9F">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0DC8E2E4">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617AB747">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5C4F00AF">
            <w:pPr>
              <w:autoSpaceDE w:val="0"/>
              <w:autoSpaceDN w:val="0"/>
              <w:jc w:val="center"/>
              <w:rPr>
                <w:color w:val="auto"/>
                <w:kern w:val="0"/>
                <w:sz w:val="24"/>
                <w:highlight w:val="none"/>
              </w:rPr>
            </w:pPr>
          </w:p>
        </w:tc>
      </w:tr>
      <w:tr w14:paraId="5F6DE498">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52B5E562">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310F5DF4">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3EA512CC">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3CE6D287">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72C64620">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5E659CF4">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200FC717">
            <w:pPr>
              <w:autoSpaceDE w:val="0"/>
              <w:autoSpaceDN w:val="0"/>
              <w:jc w:val="center"/>
              <w:rPr>
                <w:color w:val="auto"/>
                <w:kern w:val="0"/>
                <w:sz w:val="24"/>
                <w:highlight w:val="none"/>
              </w:rPr>
            </w:pPr>
          </w:p>
        </w:tc>
      </w:tr>
      <w:tr w14:paraId="7F51402D">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42B19576">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1A5D5F8E">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10466E73">
            <w:pPr>
              <w:autoSpaceDE w:val="0"/>
              <w:autoSpaceDN w:val="0"/>
              <w:jc w:val="center"/>
              <w:rPr>
                <w:rFonts w:ascii="宋体" w:cs="宋体"/>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71288B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10FBE29E">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6D4A13D6">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775DE3C6">
            <w:pPr>
              <w:autoSpaceDE w:val="0"/>
              <w:autoSpaceDN w:val="0"/>
              <w:jc w:val="center"/>
              <w:rPr>
                <w:color w:val="auto"/>
                <w:kern w:val="0"/>
                <w:sz w:val="24"/>
                <w:highlight w:val="none"/>
              </w:rPr>
            </w:pPr>
          </w:p>
        </w:tc>
      </w:tr>
      <w:tr w14:paraId="2C54B01D">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8" w:space="0"/>
              <w:right w:val="single" w:color="auto" w:sz="8" w:space="0"/>
            </w:tcBorders>
            <w:vAlign w:val="center"/>
          </w:tcPr>
          <w:p w14:paraId="4BF8FFF8">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779C21BB">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366C55A8">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508E030F">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EFC7279">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6DD28FB">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656424B7">
            <w:pPr>
              <w:autoSpaceDE w:val="0"/>
              <w:autoSpaceDN w:val="0"/>
              <w:jc w:val="center"/>
              <w:rPr>
                <w:color w:val="auto"/>
                <w:kern w:val="0"/>
                <w:sz w:val="24"/>
                <w:highlight w:val="none"/>
              </w:rPr>
            </w:pPr>
          </w:p>
        </w:tc>
      </w:tr>
      <w:tr w14:paraId="39C94D08">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461EED76">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3F8BD988">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7D8C603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2A3658AE">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2BF6CFBC">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7E044422">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027C0E7C">
            <w:pPr>
              <w:autoSpaceDE w:val="0"/>
              <w:autoSpaceDN w:val="0"/>
              <w:jc w:val="center"/>
              <w:rPr>
                <w:color w:val="auto"/>
                <w:kern w:val="0"/>
                <w:sz w:val="24"/>
                <w:highlight w:val="none"/>
              </w:rPr>
            </w:pPr>
          </w:p>
        </w:tc>
      </w:tr>
      <w:tr w14:paraId="7AA7E91E">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12" w:space="0"/>
              <w:right w:val="single" w:color="auto" w:sz="8" w:space="0"/>
            </w:tcBorders>
            <w:vAlign w:val="center"/>
          </w:tcPr>
          <w:p w14:paraId="7E509DF7">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12" w:space="0"/>
              <w:right w:val="single" w:color="auto" w:sz="8" w:space="0"/>
            </w:tcBorders>
            <w:vAlign w:val="center"/>
          </w:tcPr>
          <w:p w14:paraId="3662A328">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12" w:space="0"/>
              <w:right w:val="single" w:color="auto" w:sz="8" w:space="0"/>
            </w:tcBorders>
            <w:vAlign w:val="center"/>
          </w:tcPr>
          <w:p w14:paraId="12225B19">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01F95D62">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1FEC1428">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5FE00AF1">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12" w:space="0"/>
              <w:right w:val="single" w:color="auto" w:sz="12" w:space="0"/>
            </w:tcBorders>
            <w:vAlign w:val="center"/>
          </w:tcPr>
          <w:p w14:paraId="76DEC0EB">
            <w:pPr>
              <w:autoSpaceDE w:val="0"/>
              <w:autoSpaceDN w:val="0"/>
              <w:jc w:val="center"/>
              <w:rPr>
                <w:color w:val="auto"/>
                <w:kern w:val="0"/>
                <w:sz w:val="24"/>
                <w:highlight w:val="none"/>
              </w:rPr>
            </w:pPr>
          </w:p>
        </w:tc>
      </w:tr>
    </w:tbl>
    <w:p w14:paraId="231C856B">
      <w:pPr>
        <w:spacing w:line="360" w:lineRule="auto"/>
        <w:rPr>
          <w:rFonts w:hAnsi="宋体" w:cs="仿宋"/>
          <w:color w:val="auto"/>
          <w:szCs w:val="21"/>
          <w:highlight w:val="none"/>
        </w:rPr>
      </w:pPr>
      <w:r>
        <w:rPr>
          <w:rFonts w:hint="eastAsia" w:hAnsi="宋体" w:cs="仿宋"/>
          <w:color w:val="auto"/>
          <w:szCs w:val="21"/>
          <w:highlight w:val="none"/>
        </w:rPr>
        <w:t>注：①项目负责人及各专业负责人均应填写；</w:t>
      </w:r>
    </w:p>
    <w:p w14:paraId="67FA5801">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①</w:t>
      </w:r>
      <w:r>
        <w:rPr>
          <w:rFonts w:hAnsi="宋体" w:cs="仿宋"/>
          <w:color w:val="auto"/>
          <w:szCs w:val="21"/>
          <w:highlight w:val="none"/>
        </w:rPr>
        <w:t>本表人员应附</w:t>
      </w:r>
      <w:r>
        <w:rPr>
          <w:rFonts w:hAnsi="宋体" w:cs="仿宋"/>
          <w:b/>
          <w:color w:val="auto"/>
          <w:szCs w:val="21"/>
          <w:highlight w:val="none"/>
        </w:rPr>
        <w:t>身份证、毕业证、职称证、执业资格证书</w:t>
      </w:r>
      <w:r>
        <w:rPr>
          <w:rFonts w:hint="eastAsia" w:hAnsi="宋体" w:cs="仿宋"/>
          <w:b/>
          <w:color w:val="auto"/>
          <w:szCs w:val="21"/>
          <w:highlight w:val="none"/>
        </w:rPr>
        <w:t>（如有）</w:t>
      </w:r>
      <w:r>
        <w:rPr>
          <w:rFonts w:hAnsi="宋体" w:cs="仿宋"/>
          <w:color w:val="auto"/>
          <w:szCs w:val="21"/>
          <w:highlight w:val="none"/>
        </w:rPr>
        <w:t>以及资格审查条件所要求的其他相关证书的</w:t>
      </w:r>
      <w:r>
        <w:rPr>
          <w:rFonts w:hint="eastAsia" w:hAnsi="宋体" w:cs="仿宋"/>
          <w:color w:val="auto"/>
          <w:szCs w:val="21"/>
          <w:highlight w:val="none"/>
        </w:rPr>
        <w:t>原件扫描</w:t>
      </w:r>
      <w:r>
        <w:rPr>
          <w:rFonts w:hAnsi="宋体" w:cs="仿宋"/>
          <w:color w:val="auto"/>
          <w:szCs w:val="21"/>
          <w:highlight w:val="none"/>
        </w:rPr>
        <w:t>件。</w:t>
      </w:r>
    </w:p>
    <w:p w14:paraId="14C670B9">
      <w:pPr>
        <w:spacing w:line="360" w:lineRule="auto"/>
        <w:ind w:firstLine="420" w:firstLineChars="200"/>
        <w:rPr>
          <w:rFonts w:hAnsi="宋体" w:cs="仿宋"/>
          <w:color w:val="auto"/>
          <w:szCs w:val="21"/>
          <w:highlight w:val="none"/>
        </w:rPr>
      </w:pPr>
      <w:r>
        <w:rPr>
          <w:rFonts w:hAnsi="宋体" w:cs="仿宋"/>
          <w:color w:val="auto"/>
          <w:szCs w:val="21"/>
          <w:highlight w:val="none"/>
        </w:rPr>
        <w:t>②</w:t>
      </w:r>
      <w:r>
        <w:rPr>
          <w:rFonts w:hint="eastAsia" w:hAnsi="宋体" w:cs="仿宋"/>
          <w:color w:val="auto"/>
          <w:szCs w:val="21"/>
          <w:highlight w:val="none"/>
        </w:rPr>
        <w:t>供应商拟安排参与本工程的人员必须是在供应商处进行岗位登记[要求出具近半年来连续三个月的社保缴费证明或参加社保的有效证明材料]。</w:t>
      </w:r>
    </w:p>
    <w:p w14:paraId="137C67FA">
      <w:pPr>
        <w:spacing w:line="360" w:lineRule="auto"/>
        <w:ind w:firstLine="420" w:firstLineChars="200"/>
        <w:rPr>
          <w:rFonts w:hAnsi="宋体" w:cs="仿宋"/>
          <w:color w:val="auto"/>
          <w:szCs w:val="21"/>
          <w:highlight w:val="none"/>
        </w:rPr>
      </w:pPr>
      <w:r>
        <w:rPr>
          <w:rFonts w:hint="eastAsia" w:ascii="微软雅黑" w:hAnsi="微软雅黑" w:eastAsia="微软雅黑" w:cs="微软雅黑"/>
          <w:color w:val="auto"/>
          <w:szCs w:val="21"/>
          <w:highlight w:val="none"/>
        </w:rPr>
        <w:t>③</w:t>
      </w:r>
      <w:r>
        <w:rPr>
          <w:rFonts w:hint="eastAsia" w:hAnsi="宋体" w:cs="仿宋"/>
          <w:color w:val="auto"/>
          <w:szCs w:val="21"/>
          <w:highlight w:val="none"/>
        </w:rPr>
        <w:t>须附有效证明材料，如成果文件签名页面等，有效证明材料具体要求见</w:t>
      </w:r>
      <w:r>
        <w:rPr>
          <w:rFonts w:hint="eastAsia" w:hAnsi="宋体" w:cs="仿宋"/>
          <w:color w:val="auto"/>
          <w:highlight w:val="none"/>
        </w:rPr>
        <w:t>第四章评审办法</w:t>
      </w:r>
      <w:r>
        <w:rPr>
          <w:rFonts w:hint="eastAsia" w:hAnsi="宋体" w:cs="仿宋"/>
          <w:color w:val="auto"/>
          <w:szCs w:val="21"/>
          <w:highlight w:val="none"/>
        </w:rPr>
        <w:t>。</w:t>
      </w:r>
    </w:p>
    <w:p w14:paraId="103B3BDC">
      <w:pPr>
        <w:snapToGrid w:val="0"/>
        <w:spacing w:before="50" w:after="50"/>
        <w:rPr>
          <w:rFonts w:ascii="宋体" w:hAnsi="宋体"/>
          <w:color w:val="auto"/>
          <w:szCs w:val="21"/>
          <w:highlight w:val="none"/>
        </w:rPr>
      </w:pPr>
    </w:p>
    <w:p w14:paraId="3619F61A">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FCB0EEE">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762C3CA8">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71F30320">
      <w:pPr>
        <w:snapToGrid w:val="0"/>
        <w:spacing w:before="50" w:after="120" w:afterLines="50"/>
        <w:jc w:val="left"/>
        <w:rPr>
          <w:rFonts w:ascii="宋体" w:hAnsi="宋体"/>
          <w:color w:val="auto"/>
          <w:sz w:val="24"/>
          <w:szCs w:val="20"/>
          <w:highlight w:val="none"/>
        </w:rPr>
      </w:pPr>
    </w:p>
    <w:p w14:paraId="331F3929">
      <w:pPr>
        <w:rPr>
          <w:rFonts w:ascii="黑体" w:hAnsi="宋体" w:eastAsia="黑体"/>
          <w:b/>
          <w:color w:val="auto"/>
          <w:sz w:val="24"/>
          <w:highlight w:val="none"/>
        </w:rPr>
      </w:pPr>
      <w:r>
        <w:rPr>
          <w:rFonts w:ascii="黑体" w:hAnsi="宋体" w:eastAsia="黑体"/>
          <w:b/>
          <w:color w:val="auto"/>
          <w:sz w:val="24"/>
          <w:highlight w:val="none"/>
        </w:rPr>
        <w:br w:type="page"/>
      </w:r>
    </w:p>
    <w:p w14:paraId="131F5919">
      <w:pPr>
        <w:pStyle w:val="10"/>
        <w:rPr>
          <w:color w:val="auto"/>
          <w:highlight w:val="none"/>
        </w:rPr>
      </w:pPr>
    </w:p>
    <w:p w14:paraId="2C6CEF86">
      <w:pPr>
        <w:snapToGrid w:val="0"/>
        <w:spacing w:line="360" w:lineRule="auto"/>
        <w:jc w:val="center"/>
        <w:outlineLvl w:val="1"/>
        <w:rPr>
          <w:rFonts w:ascii="黑体" w:hAnsi="黑体" w:eastAsia="黑体" w:cs="黑体"/>
          <w:color w:val="auto"/>
          <w:sz w:val="36"/>
          <w:szCs w:val="36"/>
          <w:highlight w:val="none"/>
        </w:rPr>
      </w:pPr>
      <w:bookmarkStart w:id="248" w:name="_Toc19324"/>
      <w:bookmarkStart w:id="249" w:name="_Toc11791"/>
      <w:bookmarkStart w:id="250" w:name="_Toc18160"/>
      <w:bookmarkStart w:id="251" w:name="_Toc7403"/>
      <w:bookmarkStart w:id="252" w:name="_Toc7933"/>
      <w:bookmarkStart w:id="253" w:name="_Toc30890"/>
      <w:bookmarkStart w:id="254" w:name="_Toc32417"/>
      <w:bookmarkStart w:id="255" w:name="_Toc1235"/>
      <w:bookmarkStart w:id="256" w:name="_Toc15898"/>
      <w:bookmarkStart w:id="257" w:name="_Toc23861"/>
      <w:bookmarkStart w:id="258" w:name="_Toc12864"/>
      <w:bookmarkStart w:id="259" w:name="_Toc31978"/>
      <w:bookmarkStart w:id="260" w:name="_Toc16743"/>
      <w:bookmarkStart w:id="261" w:name="_Toc28647"/>
      <w:bookmarkStart w:id="262" w:name="_Toc5620"/>
      <w:r>
        <w:rPr>
          <w:rFonts w:hint="eastAsia" w:ascii="黑体" w:hAnsi="黑体" w:eastAsia="黑体" w:cs="黑体"/>
          <w:color w:val="auto"/>
          <w:sz w:val="36"/>
          <w:szCs w:val="36"/>
          <w:highlight w:val="none"/>
          <w:lang w:eastAsia="zh-CN"/>
        </w:rPr>
        <w:t>五</w:t>
      </w:r>
      <w:r>
        <w:rPr>
          <w:rFonts w:hint="eastAsia" w:ascii="黑体" w:hAnsi="黑体" w:eastAsia="黑体" w:cs="黑体"/>
          <w:color w:val="auto"/>
          <w:sz w:val="36"/>
          <w:szCs w:val="36"/>
          <w:highlight w:val="none"/>
        </w:rPr>
        <w:t>、</w:t>
      </w:r>
      <w:bookmarkEnd w:id="248"/>
      <w:bookmarkEnd w:id="249"/>
      <w:bookmarkEnd w:id="250"/>
      <w:r>
        <w:rPr>
          <w:rFonts w:hint="eastAsia" w:ascii="黑体" w:hAnsi="黑体" w:eastAsia="黑体" w:cs="黑体"/>
          <w:color w:val="auto"/>
          <w:sz w:val="36"/>
          <w:szCs w:val="36"/>
          <w:highlight w:val="none"/>
          <w:lang w:eastAsia="zh-CN"/>
        </w:rPr>
        <w:t>专题研究</w:t>
      </w:r>
      <w:r>
        <w:rPr>
          <w:rFonts w:hint="eastAsia" w:ascii="黑体" w:hAnsi="黑体" w:eastAsia="黑体" w:cs="黑体"/>
          <w:color w:val="auto"/>
          <w:sz w:val="36"/>
          <w:szCs w:val="36"/>
          <w:highlight w:val="none"/>
        </w:rPr>
        <w:t>方案</w:t>
      </w:r>
      <w:bookmarkEnd w:id="251"/>
      <w:bookmarkEnd w:id="252"/>
      <w:bookmarkEnd w:id="253"/>
      <w:bookmarkEnd w:id="254"/>
      <w:bookmarkEnd w:id="255"/>
      <w:bookmarkEnd w:id="256"/>
      <w:bookmarkEnd w:id="257"/>
      <w:bookmarkEnd w:id="258"/>
      <w:bookmarkEnd w:id="259"/>
      <w:bookmarkEnd w:id="260"/>
      <w:bookmarkEnd w:id="261"/>
      <w:bookmarkEnd w:id="262"/>
      <w:r>
        <w:rPr>
          <w:rFonts w:hint="eastAsia" w:ascii="黑体" w:hAnsi="黑体" w:eastAsia="黑体" w:cs="黑体"/>
          <w:color w:val="auto"/>
          <w:sz w:val="36"/>
          <w:szCs w:val="36"/>
          <w:highlight w:val="none"/>
        </w:rPr>
        <w:t xml:space="preserve"> </w:t>
      </w:r>
    </w:p>
    <w:p w14:paraId="341B0739">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专题研究方案应包括(但不限于)下列内容：</w:t>
      </w:r>
    </w:p>
    <w:p w14:paraId="6F8B8092">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一、</w:t>
      </w:r>
      <w:r>
        <w:rPr>
          <w:rFonts w:hint="eastAsia" w:ascii="宋体" w:hAnsi="宋体" w:cs="宋体"/>
          <w:bCs/>
          <w:color w:val="auto"/>
          <w:kern w:val="0"/>
          <w:sz w:val="24"/>
          <w:highlight w:val="none"/>
          <w:lang w:eastAsia="zh-CN"/>
        </w:rPr>
        <w:t>项目</w:t>
      </w:r>
      <w:r>
        <w:rPr>
          <w:rFonts w:hint="eastAsia" w:ascii="宋体" w:hAnsi="宋体" w:cs="宋体"/>
          <w:bCs/>
          <w:color w:val="auto"/>
          <w:kern w:val="0"/>
          <w:sz w:val="24"/>
          <w:highlight w:val="none"/>
        </w:rPr>
        <w:t>概况；</w:t>
      </w:r>
    </w:p>
    <w:p w14:paraId="3D80F30A">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二、研究范围和内容；</w:t>
      </w:r>
    </w:p>
    <w:p w14:paraId="5E927DB1">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三、研究依据、工作目标和进度计划；</w:t>
      </w:r>
    </w:p>
    <w:p w14:paraId="00657A04">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四、机构设置(框图)、岗位职责；</w:t>
      </w:r>
    </w:p>
    <w:p w14:paraId="31D4A2F6">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五、拟投入的人员；</w:t>
      </w:r>
    </w:p>
    <w:p w14:paraId="0F559585">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六、工作重点、难点分析；</w:t>
      </w:r>
    </w:p>
    <w:p w14:paraId="3F43CB78">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七、</w:t>
      </w:r>
      <w:r>
        <w:rPr>
          <w:rFonts w:hint="eastAsia" w:ascii="宋体" w:hAnsi="宋体" w:cs="宋体"/>
          <w:bCs/>
          <w:color w:val="auto"/>
          <w:kern w:val="0"/>
          <w:sz w:val="24"/>
          <w:highlight w:val="none"/>
          <w:lang w:eastAsia="zh-CN"/>
        </w:rPr>
        <w:t>研究</w:t>
      </w:r>
      <w:r>
        <w:rPr>
          <w:rFonts w:hint="eastAsia" w:ascii="宋体" w:hAnsi="宋体" w:cs="宋体"/>
          <w:bCs/>
          <w:color w:val="auto"/>
          <w:kern w:val="0"/>
          <w:sz w:val="24"/>
          <w:highlight w:val="none"/>
        </w:rPr>
        <w:t>方案及说明；</w:t>
      </w:r>
    </w:p>
    <w:p w14:paraId="63839BD2">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八、工作质量、进度、保密等</w:t>
      </w:r>
      <w:r>
        <w:rPr>
          <w:rFonts w:hint="eastAsia" w:ascii="宋体" w:hAnsi="宋体" w:cs="宋体"/>
          <w:bCs/>
          <w:color w:val="auto"/>
          <w:kern w:val="0"/>
          <w:sz w:val="24"/>
          <w:highlight w:val="none"/>
          <w:lang w:eastAsia="zh-CN"/>
        </w:rPr>
        <w:t>保障</w:t>
      </w:r>
      <w:r>
        <w:rPr>
          <w:rFonts w:hint="eastAsia" w:ascii="宋体" w:hAnsi="宋体" w:cs="宋体"/>
          <w:bCs/>
          <w:color w:val="auto"/>
          <w:kern w:val="0"/>
          <w:sz w:val="24"/>
          <w:highlight w:val="none"/>
        </w:rPr>
        <w:t>措施；</w:t>
      </w:r>
    </w:p>
    <w:p w14:paraId="6E18D6DE">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九、安全保证措施；</w:t>
      </w:r>
    </w:p>
    <w:p w14:paraId="6F99F0F5">
      <w:pPr>
        <w:jc w:val="left"/>
        <w:rPr>
          <w:rFonts w:hint="eastAsia"/>
          <w:color w:val="auto"/>
          <w:highlight w:val="none"/>
        </w:rPr>
      </w:pPr>
      <w:r>
        <w:rPr>
          <w:rFonts w:hint="eastAsia" w:ascii="宋体" w:hAnsi="宋体" w:cs="宋体"/>
          <w:bCs/>
          <w:color w:val="auto"/>
          <w:kern w:val="0"/>
          <w:sz w:val="24"/>
          <w:highlight w:val="none"/>
        </w:rPr>
        <w:t>十、对本工程的合理化建议。</w:t>
      </w:r>
    </w:p>
    <w:p w14:paraId="43A2CAFF">
      <w:pPr>
        <w:jc w:val="left"/>
        <w:rPr>
          <w:color w:val="auto"/>
          <w:highlight w:val="none"/>
        </w:rPr>
      </w:pPr>
      <w:r>
        <w:rPr>
          <w:color w:val="auto"/>
          <w:highlight w:val="none"/>
        </w:rPr>
        <w:br w:type="page"/>
      </w:r>
    </w:p>
    <w:p w14:paraId="59C2384B">
      <w:pPr>
        <w:pStyle w:val="10"/>
        <w:rPr>
          <w:color w:val="auto"/>
          <w:highlight w:val="none"/>
        </w:rPr>
      </w:pPr>
    </w:p>
    <w:p w14:paraId="35841E38">
      <w:pPr>
        <w:snapToGrid w:val="0"/>
        <w:spacing w:line="360" w:lineRule="auto"/>
        <w:jc w:val="center"/>
        <w:outlineLvl w:val="1"/>
        <w:rPr>
          <w:rFonts w:ascii="黑体" w:hAnsi="黑体" w:eastAsia="黑体" w:cs="黑体"/>
          <w:color w:val="auto"/>
          <w:sz w:val="36"/>
          <w:szCs w:val="36"/>
          <w:highlight w:val="none"/>
        </w:rPr>
      </w:pPr>
      <w:bookmarkStart w:id="263" w:name="_Toc25988"/>
      <w:bookmarkStart w:id="264" w:name="_Toc6982"/>
      <w:bookmarkStart w:id="265" w:name="_Toc17660"/>
      <w:bookmarkStart w:id="266" w:name="_Toc22873"/>
      <w:bookmarkStart w:id="267" w:name="_Toc9181"/>
      <w:bookmarkStart w:id="268" w:name="_Toc18158"/>
      <w:bookmarkStart w:id="269" w:name="_Toc18260"/>
      <w:bookmarkStart w:id="270" w:name="_Toc11398"/>
      <w:bookmarkStart w:id="271" w:name="_Toc17357"/>
      <w:bookmarkStart w:id="272" w:name="_Toc7160"/>
      <w:bookmarkStart w:id="273" w:name="_Toc21629"/>
      <w:bookmarkStart w:id="274" w:name="_Toc24713"/>
      <w:bookmarkStart w:id="275" w:name="_Toc10700"/>
      <w:bookmarkStart w:id="276" w:name="_Toc28438"/>
      <w:bookmarkStart w:id="277" w:name="_Toc17885"/>
      <w:r>
        <w:rPr>
          <w:rFonts w:hint="eastAsia" w:ascii="黑体" w:hAnsi="黑体" w:eastAsia="黑体" w:cs="黑体"/>
          <w:color w:val="auto"/>
          <w:sz w:val="36"/>
          <w:szCs w:val="36"/>
          <w:highlight w:val="none"/>
          <w:lang w:eastAsia="zh-CN"/>
        </w:rPr>
        <w:t>六</w:t>
      </w:r>
      <w:r>
        <w:rPr>
          <w:rFonts w:hint="eastAsia" w:ascii="黑体" w:hAnsi="黑体" w:eastAsia="黑体" w:cs="黑体"/>
          <w:color w:val="auto"/>
          <w:sz w:val="36"/>
          <w:szCs w:val="36"/>
          <w:highlight w:val="none"/>
        </w:rPr>
        <w:t>、其他资料</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67DE7135">
      <w:pPr>
        <w:pStyle w:val="10"/>
        <w:rPr>
          <w:color w:val="auto"/>
          <w:highlight w:val="none"/>
        </w:rPr>
      </w:pPr>
      <w:r>
        <w:rPr>
          <w:rFonts w:hint="eastAsia"/>
          <w:color w:val="auto"/>
          <w:highlight w:val="none"/>
        </w:rPr>
        <w:t>供应商认为需提供的其他资料。</w:t>
      </w:r>
    </w:p>
    <w:p w14:paraId="00C078C4">
      <w:pPr>
        <w:pStyle w:val="10"/>
        <w:rPr>
          <w:color w:val="auto"/>
          <w:highlight w:val="none"/>
        </w:rPr>
      </w:pPr>
    </w:p>
    <w:p w14:paraId="0425D9A0">
      <w:pPr>
        <w:autoSpaceDE w:val="0"/>
        <w:autoSpaceDN w:val="0"/>
        <w:spacing w:line="360" w:lineRule="auto"/>
        <w:ind w:firstLine="4080" w:firstLineChars="1700"/>
        <w:rPr>
          <w:rFonts w:ascii="宋体" w:hAnsi="宋体" w:cs="宋体"/>
          <w:color w:val="auto"/>
          <w:kern w:val="0"/>
          <w:sz w:val="24"/>
          <w:highlight w:val="none"/>
          <w:lang w:val="zh-CN"/>
        </w:rPr>
        <w:sectPr>
          <w:pgSz w:w="11910" w:h="16840"/>
          <w:pgMar w:top="1340" w:right="1389" w:bottom="1185" w:left="1508" w:header="720" w:footer="720" w:gutter="0"/>
          <w:cols w:space="720" w:num="1"/>
        </w:sectPr>
      </w:pPr>
    </w:p>
    <w:p w14:paraId="47E04EE1">
      <w:pPr>
        <w:pStyle w:val="2"/>
        <w:jc w:val="center"/>
        <w:rPr>
          <w:color w:val="auto"/>
          <w:highlight w:val="none"/>
        </w:rPr>
      </w:pPr>
      <w:bookmarkStart w:id="278" w:name="_Toc24538"/>
      <w:bookmarkStart w:id="279" w:name="_Toc3404"/>
      <w:bookmarkStart w:id="280" w:name="_Toc340"/>
      <w:bookmarkStart w:id="281" w:name="_Toc26207"/>
      <w:bookmarkStart w:id="282" w:name="_Toc20250"/>
      <w:bookmarkStart w:id="283" w:name="_Toc19259"/>
      <w:bookmarkStart w:id="284" w:name="_Toc10231"/>
      <w:bookmarkStart w:id="285" w:name="_Toc10311"/>
      <w:bookmarkStart w:id="286" w:name="_Toc13982"/>
      <w:bookmarkStart w:id="287" w:name="_Toc28124"/>
      <w:bookmarkStart w:id="288" w:name="_Toc20211"/>
      <w:bookmarkStart w:id="289" w:name="_Toc12521"/>
      <w:bookmarkStart w:id="290" w:name="_Toc2825"/>
      <w:bookmarkStart w:id="291" w:name="_Toc7406"/>
      <w:bookmarkStart w:id="292" w:name="_Toc32704"/>
      <w:bookmarkStart w:id="293" w:name="_Toc1605"/>
      <w:bookmarkStart w:id="294" w:name="_Toc10937"/>
      <w:bookmarkStart w:id="295" w:name="_Toc24357"/>
      <w:bookmarkStart w:id="296" w:name="_Toc10947"/>
      <w:bookmarkStart w:id="297" w:name="_Toc5554"/>
      <w:r>
        <w:rPr>
          <w:rFonts w:hint="eastAsia"/>
          <w:color w:val="auto"/>
          <w:highlight w:val="none"/>
        </w:rPr>
        <w:t>第六章 合同条款</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17528656">
      <w:pPr>
        <w:pStyle w:val="45"/>
        <w:spacing w:line="360" w:lineRule="auto"/>
        <w:jc w:val="center"/>
        <w:rPr>
          <w:rFonts w:ascii="宋体" w:hAnsi="宋体" w:cs="宋体"/>
          <w:b/>
          <w:bCs/>
          <w:color w:val="auto"/>
          <w:sz w:val="44"/>
          <w:szCs w:val="28"/>
          <w:highlight w:val="none"/>
        </w:rPr>
      </w:pPr>
      <w:bookmarkStart w:id="298" w:name="_Toc26106"/>
      <w:bookmarkStart w:id="299" w:name="_Toc22523"/>
      <w:bookmarkStart w:id="300" w:name="_Toc21039"/>
      <w:bookmarkStart w:id="301" w:name="_Toc25321"/>
      <w:bookmarkStart w:id="302" w:name="_Toc4827"/>
      <w:bookmarkStart w:id="303" w:name="_Toc6445"/>
      <w:r>
        <w:rPr>
          <w:rFonts w:hint="eastAsia" w:ascii="宋体" w:hAnsi="宋体" w:cs="宋体"/>
          <w:bCs/>
          <w:color w:val="auto"/>
          <w:sz w:val="44"/>
          <w:szCs w:val="40"/>
          <w:highlight w:val="none"/>
        </w:rPr>
        <w:t>红水河（曹渡河口至桥巩）三级航道工程船舶操纵仿真模拟试验专题</w:t>
      </w:r>
      <w:r>
        <w:rPr>
          <w:rFonts w:hint="eastAsia" w:ascii="宋体" w:hAnsi="宋体" w:cs="宋体"/>
          <w:bCs/>
          <w:color w:val="auto"/>
          <w:sz w:val="44"/>
          <w:szCs w:val="40"/>
          <w:highlight w:val="none"/>
          <w:lang w:eastAsia="zh-CN"/>
        </w:rPr>
        <w:t>研究</w:t>
      </w:r>
      <w:r>
        <w:rPr>
          <w:rFonts w:hint="eastAsia" w:ascii="宋体" w:hAnsi="宋体" w:cs="宋体"/>
          <w:bCs/>
          <w:color w:val="auto"/>
          <w:sz w:val="44"/>
          <w:szCs w:val="40"/>
          <w:highlight w:val="none"/>
        </w:rPr>
        <w:t>服务合同</w:t>
      </w:r>
    </w:p>
    <w:p w14:paraId="09218CD7">
      <w:pPr>
        <w:pStyle w:val="45"/>
        <w:spacing w:line="360" w:lineRule="auto"/>
        <w:jc w:val="center"/>
        <w:rPr>
          <w:rFonts w:ascii="宋体" w:hAnsi="宋体" w:cs="宋体"/>
          <w:color w:val="auto"/>
          <w:sz w:val="44"/>
          <w:szCs w:val="28"/>
          <w:highlight w:val="none"/>
        </w:rPr>
      </w:pPr>
    </w:p>
    <w:p w14:paraId="421574BC">
      <w:pPr>
        <w:pStyle w:val="45"/>
        <w:spacing w:line="360" w:lineRule="auto"/>
        <w:jc w:val="center"/>
        <w:rPr>
          <w:rFonts w:ascii="宋体" w:hAnsi="宋体" w:cs="宋体"/>
          <w:color w:val="auto"/>
          <w:sz w:val="44"/>
          <w:szCs w:val="28"/>
          <w:highlight w:val="none"/>
        </w:rPr>
      </w:pPr>
    </w:p>
    <w:p w14:paraId="25358FEE">
      <w:pPr>
        <w:pStyle w:val="45"/>
        <w:jc w:val="center"/>
        <w:rPr>
          <w:rFonts w:eastAsia="楷体_GB2312"/>
          <w:color w:val="auto"/>
          <w:sz w:val="36"/>
          <w:highlight w:val="none"/>
        </w:rPr>
      </w:pPr>
    </w:p>
    <w:p w14:paraId="54962498">
      <w:pPr>
        <w:pStyle w:val="45"/>
        <w:spacing w:line="360" w:lineRule="auto"/>
        <w:ind w:firstLine="640" w:firstLineChars="200"/>
        <w:rPr>
          <w:rFonts w:ascii="宋体" w:hAnsi="宋体"/>
          <w:bCs/>
          <w:color w:val="auto"/>
          <w:sz w:val="32"/>
          <w:highlight w:val="none"/>
        </w:rPr>
      </w:pPr>
      <w:r>
        <w:rPr>
          <w:rFonts w:hint="eastAsia" w:ascii="宋体" w:hAnsi="宋体"/>
          <w:bCs/>
          <w:color w:val="auto"/>
          <w:sz w:val="32"/>
          <w:highlight w:val="none"/>
        </w:rPr>
        <w:t>甲方：</w:t>
      </w:r>
      <w:r>
        <w:rPr>
          <w:rFonts w:hint="eastAsia" w:ascii="宋体" w:hAnsi="宋体"/>
          <w:bCs/>
          <w:color w:val="auto"/>
          <w:sz w:val="32"/>
          <w:highlight w:val="none"/>
          <w:u w:val="single"/>
          <w:lang w:eastAsia="zh-CN"/>
        </w:rPr>
        <w:t>广西壮族自治区水运发展中心</w:t>
      </w:r>
      <w:r>
        <w:rPr>
          <w:rFonts w:hint="eastAsia" w:ascii="宋体" w:hAnsi="宋体"/>
          <w:bCs/>
          <w:color w:val="auto"/>
          <w:sz w:val="32"/>
          <w:highlight w:val="none"/>
          <w:u w:val="single"/>
        </w:rPr>
        <w:t xml:space="preserve"> </w:t>
      </w:r>
      <w:r>
        <w:rPr>
          <w:rFonts w:ascii="宋体" w:hAnsi="宋体"/>
          <w:bCs/>
          <w:color w:val="auto"/>
          <w:sz w:val="32"/>
          <w:highlight w:val="none"/>
          <w:u w:val="single"/>
        </w:rPr>
        <w:t xml:space="preserve"> </w:t>
      </w:r>
    </w:p>
    <w:p w14:paraId="45321449">
      <w:pPr>
        <w:pStyle w:val="45"/>
        <w:spacing w:line="360" w:lineRule="auto"/>
        <w:ind w:left="2558" w:leftChars="304" w:hanging="1920" w:hangingChars="600"/>
        <w:rPr>
          <w:rFonts w:ascii="宋体" w:hAnsi="宋体"/>
          <w:bCs/>
          <w:color w:val="auto"/>
          <w:sz w:val="36"/>
          <w:highlight w:val="none"/>
        </w:rPr>
      </w:pPr>
      <w:r>
        <w:rPr>
          <w:rFonts w:hint="eastAsia" w:ascii="宋体" w:hAnsi="宋体"/>
          <w:bCs/>
          <w:color w:val="auto"/>
          <w:sz w:val="32"/>
          <w:highlight w:val="none"/>
        </w:rPr>
        <w:t>乙方：</w:t>
      </w:r>
      <w:r>
        <w:rPr>
          <w:rFonts w:ascii="宋体" w:hAnsi="宋体"/>
          <w:bCs/>
          <w:color w:val="auto"/>
          <w:sz w:val="32"/>
          <w:highlight w:val="none"/>
          <w:u w:val="single"/>
        </w:rPr>
        <w:t xml:space="preserve">                      </w:t>
      </w:r>
      <w:r>
        <w:rPr>
          <w:rFonts w:hint="eastAsia" w:ascii="宋体" w:hAnsi="宋体"/>
          <w:bCs/>
          <w:color w:val="auto"/>
          <w:sz w:val="32"/>
          <w:highlight w:val="none"/>
          <w:u w:val="single"/>
        </w:rPr>
        <w:t xml:space="preserve"> </w:t>
      </w:r>
      <w:r>
        <w:rPr>
          <w:rFonts w:ascii="宋体" w:hAnsi="宋体"/>
          <w:bCs/>
          <w:color w:val="auto"/>
          <w:sz w:val="32"/>
          <w:highlight w:val="none"/>
          <w:u w:val="single"/>
        </w:rPr>
        <w:t xml:space="preserve"> </w:t>
      </w:r>
      <w:r>
        <w:rPr>
          <w:rFonts w:ascii="宋体" w:hAnsi="宋体"/>
          <w:bCs/>
          <w:color w:val="auto"/>
          <w:sz w:val="36"/>
          <w:highlight w:val="none"/>
        </w:rPr>
        <w:t xml:space="preserve">     </w:t>
      </w:r>
    </w:p>
    <w:p w14:paraId="50ED1F5F">
      <w:pPr>
        <w:pStyle w:val="45"/>
        <w:spacing w:line="360" w:lineRule="auto"/>
        <w:ind w:firstLine="640" w:firstLineChars="200"/>
        <w:rPr>
          <w:rFonts w:ascii="宋体" w:hAnsi="宋体"/>
          <w:bCs/>
          <w:color w:val="auto"/>
          <w:sz w:val="32"/>
          <w:highlight w:val="none"/>
        </w:rPr>
      </w:pPr>
      <w:r>
        <w:rPr>
          <w:rFonts w:hint="eastAsia" w:ascii="宋体" w:hAnsi="宋体"/>
          <w:bCs/>
          <w:color w:val="auto"/>
          <w:sz w:val="32"/>
          <w:highlight w:val="none"/>
        </w:rPr>
        <w:t>签订时间：</w:t>
      </w:r>
      <w:r>
        <w:rPr>
          <w:rFonts w:ascii="宋体" w:hAnsi="宋体"/>
          <w:bCs/>
          <w:color w:val="auto"/>
          <w:sz w:val="32"/>
          <w:highlight w:val="none"/>
          <w:u w:val="single"/>
        </w:rPr>
        <w:t xml:space="preserve">      年    月    日</w:t>
      </w:r>
      <w:r>
        <w:rPr>
          <w:rFonts w:ascii="宋体" w:hAnsi="宋体"/>
          <w:bCs/>
          <w:color w:val="auto"/>
          <w:sz w:val="32"/>
          <w:highlight w:val="none"/>
        </w:rPr>
        <w:t xml:space="preserve">                </w:t>
      </w:r>
    </w:p>
    <w:p w14:paraId="2B2F8ECE">
      <w:pPr>
        <w:pStyle w:val="45"/>
        <w:spacing w:line="360" w:lineRule="auto"/>
        <w:ind w:firstLine="640" w:firstLineChars="200"/>
        <w:rPr>
          <w:rFonts w:ascii="宋体" w:hAnsi="宋体"/>
          <w:b/>
          <w:color w:val="auto"/>
          <w:sz w:val="32"/>
          <w:highlight w:val="none"/>
        </w:rPr>
      </w:pPr>
      <w:r>
        <w:rPr>
          <w:rFonts w:hint="eastAsia" w:ascii="宋体" w:hAnsi="宋体"/>
          <w:bCs/>
          <w:color w:val="auto"/>
          <w:sz w:val="32"/>
          <w:highlight w:val="none"/>
        </w:rPr>
        <w:t>签订地点：</w:t>
      </w:r>
      <w:r>
        <w:rPr>
          <w:rFonts w:ascii="宋体" w:hAnsi="宋体"/>
          <w:bCs/>
          <w:color w:val="auto"/>
          <w:sz w:val="32"/>
          <w:highlight w:val="none"/>
          <w:u w:val="single"/>
        </w:rPr>
        <w:t xml:space="preserve">      </w:t>
      </w:r>
      <w:r>
        <w:rPr>
          <w:rFonts w:hint="eastAsia" w:ascii="宋体" w:hAnsi="宋体"/>
          <w:bCs/>
          <w:color w:val="auto"/>
          <w:sz w:val="32"/>
          <w:highlight w:val="none"/>
          <w:u w:val="single"/>
        </w:rPr>
        <w:t xml:space="preserve">南宁市 </w:t>
      </w:r>
      <w:r>
        <w:rPr>
          <w:rFonts w:ascii="宋体" w:hAnsi="宋体"/>
          <w:bCs/>
          <w:color w:val="auto"/>
          <w:sz w:val="32"/>
          <w:highlight w:val="none"/>
          <w:u w:val="single"/>
        </w:rPr>
        <w:t xml:space="preserve">   </w:t>
      </w:r>
      <w:r>
        <w:rPr>
          <w:rFonts w:ascii="宋体" w:hAnsi="宋体"/>
          <w:bCs/>
          <w:color w:val="auto"/>
          <w:sz w:val="32"/>
          <w:highlight w:val="none"/>
        </w:rPr>
        <w:t xml:space="preserve">     </w:t>
      </w:r>
      <w:r>
        <w:rPr>
          <w:rFonts w:ascii="宋体" w:hAnsi="宋体"/>
          <w:b/>
          <w:color w:val="auto"/>
          <w:sz w:val="32"/>
          <w:highlight w:val="none"/>
        </w:rPr>
        <w:t xml:space="preserve">              </w:t>
      </w:r>
    </w:p>
    <w:p w14:paraId="4531D64F">
      <w:pPr>
        <w:pStyle w:val="45"/>
        <w:rPr>
          <w:rFonts w:ascii="宋体" w:hAnsi="宋体"/>
          <w:color w:val="auto"/>
          <w:sz w:val="36"/>
          <w:highlight w:val="none"/>
        </w:rPr>
      </w:pPr>
    </w:p>
    <w:p w14:paraId="37330C8C">
      <w:pPr>
        <w:pStyle w:val="45"/>
        <w:rPr>
          <w:rFonts w:ascii="宋体" w:hAnsi="宋体"/>
          <w:color w:val="auto"/>
          <w:sz w:val="36"/>
          <w:highlight w:val="none"/>
        </w:rPr>
      </w:pPr>
    </w:p>
    <w:p w14:paraId="1EEA579C">
      <w:pPr>
        <w:pStyle w:val="45"/>
        <w:rPr>
          <w:rFonts w:ascii="宋体" w:hAnsi="宋体"/>
          <w:color w:val="auto"/>
          <w:sz w:val="36"/>
          <w:highlight w:val="none"/>
        </w:rPr>
      </w:pPr>
    </w:p>
    <w:p w14:paraId="46E9509E">
      <w:pPr>
        <w:pStyle w:val="10"/>
        <w:rPr>
          <w:rFonts w:ascii="宋体" w:hAnsi="宋体"/>
          <w:color w:val="auto"/>
          <w:sz w:val="36"/>
          <w:highlight w:val="none"/>
        </w:rPr>
      </w:pPr>
    </w:p>
    <w:p w14:paraId="4813EB47">
      <w:pPr>
        <w:pStyle w:val="10"/>
        <w:rPr>
          <w:rFonts w:ascii="宋体" w:hAnsi="宋体"/>
          <w:color w:val="auto"/>
          <w:sz w:val="36"/>
          <w:highlight w:val="none"/>
        </w:rPr>
      </w:pPr>
    </w:p>
    <w:p w14:paraId="6E0FA860">
      <w:pPr>
        <w:pStyle w:val="10"/>
        <w:rPr>
          <w:rFonts w:ascii="宋体" w:hAnsi="宋体"/>
          <w:color w:val="auto"/>
          <w:sz w:val="36"/>
          <w:highlight w:val="none"/>
        </w:rPr>
      </w:pPr>
    </w:p>
    <w:p w14:paraId="59BC1C78">
      <w:pPr>
        <w:pStyle w:val="10"/>
        <w:rPr>
          <w:rFonts w:ascii="宋体" w:hAnsi="宋体"/>
          <w:color w:val="auto"/>
          <w:sz w:val="36"/>
          <w:highlight w:val="none"/>
        </w:rPr>
      </w:pPr>
    </w:p>
    <w:p w14:paraId="422F662F">
      <w:pPr>
        <w:pStyle w:val="45"/>
        <w:jc w:val="center"/>
        <w:rPr>
          <w:rFonts w:eastAsia="黑体"/>
          <w:color w:val="auto"/>
          <w:sz w:val="44"/>
          <w:highlight w:val="none"/>
        </w:rPr>
      </w:pPr>
    </w:p>
    <w:p w14:paraId="672A5234">
      <w:pPr>
        <w:spacing w:before="156" w:beforeLines="50" w:after="156" w:afterLines="50" w:line="360" w:lineRule="auto"/>
        <w:jc w:val="center"/>
        <w:outlineLvl w:val="1"/>
        <w:rPr>
          <w:rFonts w:hint="eastAsia" w:ascii="宋体" w:hAnsi="宋体" w:cs="宋体"/>
          <w:b/>
          <w:szCs w:val="21"/>
        </w:rPr>
      </w:pPr>
      <w:r>
        <w:rPr>
          <w:rFonts w:hint="eastAsia" w:eastAsia="黑体"/>
          <w:color w:val="auto"/>
          <w:sz w:val="44"/>
          <w:highlight w:val="none"/>
        </w:rPr>
        <w:br w:type="page"/>
      </w:r>
      <w:bookmarkStart w:id="304" w:name="_Toc29652"/>
      <w:bookmarkStart w:id="305" w:name="_Toc12851"/>
      <w:bookmarkStart w:id="306" w:name="_Toc18620"/>
      <w:bookmarkStart w:id="307" w:name="_Toc20596"/>
      <w:bookmarkStart w:id="308" w:name="_Toc3027"/>
      <w:bookmarkStart w:id="309" w:name="_Toc29798"/>
      <w:bookmarkStart w:id="310" w:name="_Toc9537"/>
      <w:bookmarkStart w:id="311" w:name="_Toc21923"/>
      <w:bookmarkStart w:id="312" w:name="_Toc3598"/>
      <w:bookmarkStart w:id="313" w:name="_Toc24465"/>
      <w:bookmarkStart w:id="314" w:name="_Toc8495"/>
      <w:bookmarkStart w:id="315" w:name="_Toc24311"/>
      <w:bookmarkStart w:id="316" w:name="_Toc4799"/>
      <w:bookmarkStart w:id="317" w:name="_Toc5621"/>
      <w:bookmarkStart w:id="318" w:name="_Toc1890"/>
      <w:r>
        <w:rPr>
          <w:rFonts w:hint="eastAsia" w:ascii="黑体" w:hAnsi="宋体" w:eastAsia="黑体"/>
          <w:sz w:val="32"/>
          <w:szCs w:val="32"/>
        </w:rPr>
        <w:t>合同协议书</w:t>
      </w:r>
      <w:bookmarkEnd w:id="304"/>
      <w:bookmarkEnd w:id="305"/>
      <w:bookmarkEnd w:id="306"/>
      <w:bookmarkEnd w:id="307"/>
      <w:bookmarkEnd w:id="308"/>
      <w:bookmarkEnd w:id="309"/>
      <w:bookmarkEnd w:id="310"/>
      <w:bookmarkEnd w:id="311"/>
      <w:bookmarkEnd w:id="312"/>
      <w:bookmarkEnd w:id="313"/>
      <w:bookmarkEnd w:id="314"/>
      <w:bookmarkEnd w:id="315"/>
    </w:p>
    <w:p w14:paraId="4D00D2E4">
      <w:pPr>
        <w:pStyle w:val="45"/>
        <w:spacing w:line="360" w:lineRule="auto"/>
        <w:ind w:firstLine="482" w:firstLineChars="200"/>
        <w:rPr>
          <w:rFonts w:hint="eastAsia" w:ascii="宋体" w:hAnsi="宋体" w:cs="宋体"/>
          <w:color w:val="000000"/>
          <w:sz w:val="24"/>
          <w:szCs w:val="24"/>
        </w:rPr>
      </w:pPr>
      <w:r>
        <w:rPr>
          <w:rFonts w:hint="eastAsia" w:ascii="宋体" w:hAnsi="宋体" w:cs="宋体"/>
          <w:b/>
          <w:color w:val="000000"/>
          <w:sz w:val="24"/>
          <w:szCs w:val="24"/>
        </w:rPr>
        <w:t>甲方</w:t>
      </w:r>
      <w:r>
        <w:rPr>
          <w:rFonts w:hint="eastAsia" w:ascii="宋体" w:hAnsi="宋体" w:cs="宋体"/>
          <w:color w:val="000000"/>
          <w:sz w:val="24"/>
          <w:szCs w:val="24"/>
        </w:rPr>
        <w:t>：广西壮族自治区水运发展中心</w:t>
      </w:r>
    </w:p>
    <w:p w14:paraId="23ABEB5A">
      <w:pPr>
        <w:pStyle w:val="45"/>
        <w:spacing w:line="360" w:lineRule="auto"/>
        <w:ind w:left="963" w:leftChars="229" w:hanging="482" w:hangingChars="200"/>
        <w:rPr>
          <w:rFonts w:hint="eastAsia" w:ascii="宋体" w:hAnsi="宋体" w:eastAsia="宋体" w:cs="宋体"/>
          <w:color w:val="000000"/>
          <w:sz w:val="24"/>
          <w:szCs w:val="24"/>
          <w:lang w:eastAsia="zh-CN"/>
        </w:rPr>
      </w:pPr>
      <w:r>
        <w:rPr>
          <w:rFonts w:hint="eastAsia" w:ascii="宋体" w:hAnsi="宋体" w:cs="宋体"/>
          <w:b/>
          <w:color w:val="000000"/>
          <w:sz w:val="24"/>
          <w:szCs w:val="24"/>
        </w:rPr>
        <w:t>乙方</w:t>
      </w:r>
      <w:r>
        <w:rPr>
          <w:rFonts w:hint="eastAsia" w:ascii="宋体" w:hAnsi="宋体" w:cs="宋体"/>
          <w:color w:val="000000"/>
          <w:sz w:val="24"/>
          <w:szCs w:val="24"/>
        </w:rPr>
        <w:t>：</w:t>
      </w:r>
      <w:r>
        <w:rPr>
          <w:rFonts w:hint="eastAsia" w:ascii="宋体" w:hAnsi="宋体" w:cs="宋体"/>
          <w:color w:val="000000"/>
          <w:sz w:val="24"/>
          <w:szCs w:val="24"/>
          <w:lang w:val="en-US" w:eastAsia="zh-CN"/>
        </w:rPr>
        <w:t xml:space="preserve"> </w:t>
      </w:r>
    </w:p>
    <w:p w14:paraId="6162817C">
      <w:pPr>
        <w:pStyle w:val="45"/>
        <w:spacing w:line="360" w:lineRule="auto"/>
        <w:ind w:firstLine="480" w:firstLineChars="200"/>
        <w:rPr>
          <w:rFonts w:hint="eastAsia" w:ascii="宋体" w:hAnsi="宋体" w:cs="宋体"/>
          <w:color w:val="000000"/>
          <w:sz w:val="24"/>
          <w:szCs w:val="24"/>
        </w:rPr>
      </w:pPr>
    </w:p>
    <w:p w14:paraId="594F8DD6">
      <w:pPr>
        <w:pStyle w:val="45"/>
        <w:spacing w:line="360" w:lineRule="auto"/>
        <w:ind w:firstLine="480" w:firstLineChars="200"/>
        <w:jc w:val="left"/>
        <w:rPr>
          <w:rFonts w:hint="eastAsia" w:ascii="宋体" w:hAnsi="宋体" w:cs="宋体"/>
          <w:sz w:val="24"/>
          <w:szCs w:val="24"/>
          <w:u w:val="single"/>
        </w:rPr>
      </w:pPr>
      <w:r>
        <w:rPr>
          <w:rFonts w:hint="eastAsia" w:ascii="宋体" w:hAnsi="宋体" w:cs="宋体"/>
          <w:sz w:val="24"/>
          <w:szCs w:val="24"/>
        </w:rPr>
        <w:t>甲方通过公开采购的方式委托乙方承担</w:t>
      </w:r>
      <w:r>
        <w:rPr>
          <w:rFonts w:hint="eastAsia" w:ascii="宋体" w:hAnsi="宋体" w:cs="宋体"/>
          <w:bCs/>
          <w:sz w:val="24"/>
          <w:szCs w:val="24"/>
          <w:u w:val="single"/>
        </w:rPr>
        <w:t>红水河（曹渡河口至桥巩）三级航道工程船舶操纵仿真模拟试验专题</w:t>
      </w:r>
      <w:r>
        <w:rPr>
          <w:rFonts w:hint="eastAsia" w:ascii="宋体" w:hAnsi="宋体" w:cs="宋体"/>
          <w:bCs/>
          <w:sz w:val="24"/>
          <w:szCs w:val="24"/>
          <w:u w:val="single"/>
          <w:lang w:eastAsia="zh-CN"/>
        </w:rPr>
        <w:t>研究</w:t>
      </w:r>
      <w:r>
        <w:rPr>
          <w:rFonts w:hint="eastAsia" w:ascii="宋体" w:hAnsi="宋体" w:cs="宋体"/>
          <w:bCs/>
          <w:sz w:val="24"/>
          <w:szCs w:val="24"/>
          <w:u w:val="single"/>
        </w:rPr>
        <w:t xml:space="preserve">服务 </w:t>
      </w:r>
      <w:r>
        <w:rPr>
          <w:rFonts w:hint="eastAsia" w:ascii="宋体" w:hAnsi="宋体" w:cs="宋体"/>
          <w:bCs/>
          <w:sz w:val="24"/>
          <w:szCs w:val="24"/>
        </w:rPr>
        <w:t>工作</w:t>
      </w:r>
      <w:r>
        <w:rPr>
          <w:rFonts w:hint="eastAsia" w:ascii="宋体" w:hAnsi="宋体" w:cs="宋体"/>
          <w:sz w:val="24"/>
          <w:szCs w:val="24"/>
        </w:rPr>
        <w:t>，并支付相应的服务报酬。双方经过平等协商，在真实、充分地表达各自意愿的基础上，根据《中华人民共和国民法典》的规定，达成如下协议，并由双方共同恪守。</w:t>
      </w:r>
    </w:p>
    <w:p w14:paraId="72E9E454">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第一条 下列文件一起构成合同文件：</w:t>
      </w:r>
    </w:p>
    <w:p w14:paraId="0045D60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1.合同协议书；</w:t>
      </w:r>
    </w:p>
    <w:p w14:paraId="15F372B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2.中标通知书；</w:t>
      </w:r>
    </w:p>
    <w:p w14:paraId="75C4CA0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3.投标函；</w:t>
      </w:r>
    </w:p>
    <w:p w14:paraId="6378564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4.采购需求；</w:t>
      </w:r>
    </w:p>
    <w:p w14:paraId="137BBB7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5.报价清单；</w:t>
      </w:r>
    </w:p>
    <w:p w14:paraId="074E163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w:t>
      </w:r>
      <w:r>
        <w:rPr>
          <w:rFonts w:hint="eastAsia" w:ascii="宋体" w:hAnsi="宋体" w:cs="宋体"/>
          <w:sz w:val="24"/>
          <w:szCs w:val="24"/>
          <w:lang w:eastAsia="zh-CN"/>
        </w:rPr>
        <w:t>专题研究</w:t>
      </w:r>
      <w:r>
        <w:rPr>
          <w:rFonts w:hint="eastAsia" w:ascii="宋体" w:hAnsi="宋体" w:cs="宋体"/>
          <w:sz w:val="24"/>
          <w:szCs w:val="24"/>
        </w:rPr>
        <w:t>方案；</w:t>
      </w:r>
    </w:p>
    <w:p w14:paraId="1F61B63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7.构成本合同组成部分的其他文件(补遗书、澄清函)。</w:t>
      </w:r>
    </w:p>
    <w:p w14:paraId="0B48F7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上述合同文件互相补充和解释。如果合同文件之间存在矛盾或不一致之处，以上述文件的排列顺序在先者为准。</w:t>
      </w:r>
    </w:p>
    <w:p w14:paraId="782824A7">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第二条 甲方委托乙方进行服务的内容如下：</w:t>
      </w:r>
    </w:p>
    <w:p w14:paraId="4224C88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1．项目名称：</w:t>
      </w:r>
      <w:r>
        <w:rPr>
          <w:rFonts w:hint="eastAsia" w:ascii="宋体" w:hAnsi="宋体" w:cs="宋体"/>
          <w:bCs/>
          <w:sz w:val="24"/>
          <w:szCs w:val="24"/>
          <w:u w:val="single"/>
        </w:rPr>
        <w:t>红水河（曹渡河口至桥巩）三级航道工程船舶操纵仿真模拟试验专题</w:t>
      </w:r>
      <w:r>
        <w:rPr>
          <w:rFonts w:hint="eastAsia" w:ascii="宋体" w:hAnsi="宋体" w:cs="宋体"/>
          <w:bCs/>
          <w:sz w:val="24"/>
          <w:szCs w:val="24"/>
          <w:u w:val="single"/>
          <w:lang w:eastAsia="zh-CN"/>
        </w:rPr>
        <w:t>研究</w:t>
      </w:r>
      <w:r>
        <w:rPr>
          <w:rFonts w:hint="eastAsia" w:ascii="宋体" w:hAnsi="宋体" w:cs="宋体"/>
          <w:bCs/>
          <w:sz w:val="24"/>
          <w:szCs w:val="24"/>
          <w:u w:val="single"/>
        </w:rPr>
        <w:t>服务</w:t>
      </w:r>
    </w:p>
    <w:p w14:paraId="31FB9243">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2．服务的内容：红水河（曹渡河口至桥巩）三级航道工程船舶操纵仿真模拟试验专题</w:t>
      </w:r>
      <w:r>
        <w:rPr>
          <w:rFonts w:hint="eastAsia" w:ascii="宋体" w:hAnsi="宋体" w:cs="宋体"/>
          <w:sz w:val="24"/>
          <w:szCs w:val="24"/>
          <w:lang w:eastAsia="zh-CN"/>
        </w:rPr>
        <w:t>研究</w:t>
      </w:r>
      <w:r>
        <w:rPr>
          <w:rFonts w:hint="eastAsia" w:ascii="宋体" w:hAnsi="宋体" w:cs="宋体"/>
          <w:sz w:val="24"/>
          <w:szCs w:val="24"/>
        </w:rPr>
        <w:t>服务</w:t>
      </w:r>
      <w:r>
        <w:rPr>
          <w:rFonts w:hint="eastAsia" w:ascii="宋体" w:hAnsi="宋体" w:cs="宋体"/>
          <w:sz w:val="24"/>
          <w:szCs w:val="24"/>
          <w:lang w:eastAsia="zh-CN"/>
        </w:rPr>
        <w:t>，</w:t>
      </w:r>
      <w:r>
        <w:rPr>
          <w:rFonts w:hint="eastAsia" w:ascii="宋体" w:hAnsi="宋体" w:cs="宋体"/>
          <w:sz w:val="24"/>
          <w:szCs w:val="24"/>
        </w:rPr>
        <w:t>包括重点滩段及典型桥区船舶操纵仿真模拟试验</w:t>
      </w:r>
      <w:r>
        <w:rPr>
          <w:rFonts w:hint="eastAsia" w:ascii="宋体" w:hAnsi="宋体" w:cs="宋体"/>
          <w:sz w:val="24"/>
          <w:szCs w:val="24"/>
          <w:lang w:eastAsia="zh-CN"/>
        </w:rPr>
        <w:t>，研究设计代表船型在航道典型水文气象条件下的航行状态，进一步优化航道设计方案，为航道工程研究设计提供技术支撑</w:t>
      </w:r>
      <w:r>
        <w:rPr>
          <w:rFonts w:hint="eastAsia" w:ascii="宋体" w:hAnsi="宋体" w:cs="宋体"/>
          <w:sz w:val="24"/>
          <w:szCs w:val="24"/>
        </w:rPr>
        <w:t>。</w:t>
      </w:r>
    </w:p>
    <w:p w14:paraId="548C67F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3．服务的标准：</w:t>
      </w:r>
      <w:r>
        <w:rPr>
          <w:rFonts w:hint="eastAsia" w:ascii="宋体" w:hAnsi="宋体" w:cs="宋体"/>
          <w:sz w:val="24"/>
          <w:szCs w:val="24"/>
          <w:u w:val="single"/>
        </w:rPr>
        <w:t>执行国家和行业现行相关的技术标准、规范和规程。在项目实施过程中，如国家或有关部门颁布了新的技术标准，则</w:t>
      </w:r>
      <w:r>
        <w:rPr>
          <w:rFonts w:hint="eastAsia" w:ascii="宋体" w:hAnsi="宋体" w:cs="宋体"/>
          <w:sz w:val="24"/>
          <w:szCs w:val="24"/>
          <w:u w:val="single"/>
          <w:lang w:eastAsia="zh-CN"/>
        </w:rPr>
        <w:t>乙方</w:t>
      </w:r>
      <w:r>
        <w:rPr>
          <w:rFonts w:hint="eastAsia" w:ascii="宋体" w:hAnsi="宋体" w:cs="宋体"/>
          <w:sz w:val="24"/>
          <w:szCs w:val="24"/>
          <w:u w:val="single"/>
        </w:rPr>
        <w:t>应采用新的标准。</w:t>
      </w:r>
      <w:r>
        <w:rPr>
          <w:rFonts w:hint="eastAsia" w:ascii="宋体" w:hAnsi="宋体" w:cs="宋体"/>
          <w:sz w:val="24"/>
          <w:szCs w:val="24"/>
          <w:u w:val="single"/>
          <w:lang w:eastAsia="zh-CN"/>
        </w:rPr>
        <w:t>工作</w:t>
      </w:r>
      <w:r>
        <w:rPr>
          <w:rFonts w:hint="eastAsia" w:ascii="宋体" w:hAnsi="宋体" w:cs="宋体"/>
          <w:sz w:val="24"/>
          <w:szCs w:val="24"/>
          <w:u w:val="single"/>
        </w:rPr>
        <w:t>成果</w:t>
      </w:r>
      <w:r>
        <w:rPr>
          <w:rFonts w:hint="eastAsia" w:ascii="宋体" w:hAnsi="宋体" w:cs="宋体"/>
          <w:sz w:val="24"/>
          <w:szCs w:val="24"/>
          <w:u w:val="single"/>
          <w:lang w:val="en-GB"/>
        </w:rPr>
        <w:t>通过专家评审</w:t>
      </w:r>
      <w:r>
        <w:rPr>
          <w:rFonts w:hint="eastAsia" w:ascii="宋体" w:hAnsi="宋体" w:cs="宋体"/>
          <w:sz w:val="24"/>
          <w:szCs w:val="24"/>
          <w:u w:val="single"/>
          <w:lang w:val="en-GB" w:eastAsia="zh-CN"/>
        </w:rPr>
        <w:t>、</w:t>
      </w:r>
      <w:r>
        <w:rPr>
          <w:rFonts w:hint="eastAsia" w:ascii="宋体" w:hAnsi="宋体" w:cs="宋体"/>
          <w:sz w:val="24"/>
          <w:szCs w:val="24"/>
          <w:u w:val="single"/>
          <w:lang w:val="en-GB"/>
        </w:rPr>
        <w:t>验收合格</w:t>
      </w:r>
      <w:r>
        <w:rPr>
          <w:rFonts w:hint="eastAsia" w:ascii="宋体" w:hAnsi="宋体" w:cs="宋体"/>
          <w:sz w:val="24"/>
          <w:szCs w:val="24"/>
          <w:u w:val="single"/>
        </w:rPr>
        <w:t>。</w:t>
      </w:r>
      <w:r>
        <w:rPr>
          <w:rFonts w:hint="eastAsia" w:ascii="宋体" w:hAnsi="宋体" w:cs="宋体"/>
          <w:sz w:val="24"/>
          <w:szCs w:val="24"/>
        </w:rPr>
        <w:t xml:space="preserve"> </w:t>
      </w:r>
    </w:p>
    <w:p w14:paraId="49C7F7E5">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第三条 乙方应按下列要求完成服务工作：</w:t>
      </w:r>
    </w:p>
    <w:p w14:paraId="194BBF54">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1．服务地点：</w:t>
      </w:r>
      <w:r>
        <w:rPr>
          <w:rFonts w:hint="eastAsia" w:ascii="宋体" w:hAnsi="宋体" w:cs="宋体"/>
          <w:sz w:val="24"/>
          <w:szCs w:val="24"/>
          <w:u w:val="single"/>
        </w:rPr>
        <w:t xml:space="preserve"> 采购人办公地点。采购人可根据需要指定其他地点  </w:t>
      </w:r>
      <w:r>
        <w:rPr>
          <w:rFonts w:hint="eastAsia" w:ascii="宋体" w:hAnsi="宋体" w:cs="宋体"/>
          <w:sz w:val="24"/>
          <w:szCs w:val="24"/>
        </w:rPr>
        <w:t>。</w:t>
      </w:r>
    </w:p>
    <w:p w14:paraId="482B1EF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2．服务期限：</w:t>
      </w:r>
    </w:p>
    <w:p w14:paraId="7759C45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总工期为</w:t>
      </w:r>
      <w:r>
        <w:rPr>
          <w:rFonts w:hint="eastAsia" w:ascii="宋体" w:hAnsi="宋体" w:cs="宋体"/>
          <w:sz w:val="24"/>
          <w:szCs w:val="24"/>
          <w:lang w:val="en-US" w:eastAsia="zh-CN"/>
        </w:rPr>
        <w:t>8</w:t>
      </w:r>
      <w:r>
        <w:rPr>
          <w:rFonts w:hint="eastAsia" w:ascii="宋体" w:hAnsi="宋体" w:cs="宋体"/>
          <w:sz w:val="24"/>
          <w:szCs w:val="24"/>
        </w:rPr>
        <w:t>0日历天。具体如下：合同签订后60日历天内提交专题研究报告送审稿，并在专题研究报告评审会后20日内完成</w:t>
      </w:r>
      <w:r>
        <w:rPr>
          <w:rFonts w:hint="eastAsia" w:ascii="宋体" w:hAnsi="宋体" w:cs="宋体"/>
          <w:sz w:val="24"/>
          <w:szCs w:val="24"/>
          <w:lang w:eastAsia="zh-CN"/>
        </w:rPr>
        <w:t>最终</w:t>
      </w:r>
      <w:r>
        <w:rPr>
          <w:rFonts w:hint="eastAsia" w:ascii="宋体" w:hAnsi="宋体" w:cs="宋体"/>
          <w:sz w:val="24"/>
          <w:szCs w:val="24"/>
        </w:rPr>
        <w:t>稿。</w:t>
      </w:r>
    </w:p>
    <w:p w14:paraId="4BDEB1B8">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成果</w:t>
      </w:r>
      <w:r>
        <w:rPr>
          <w:rFonts w:hint="eastAsia" w:ascii="宋体" w:hAnsi="宋体" w:cs="宋体"/>
          <w:sz w:val="24"/>
          <w:szCs w:val="24"/>
          <w:lang w:eastAsia="zh-CN"/>
        </w:rPr>
        <w:t>评审</w:t>
      </w:r>
      <w:r>
        <w:rPr>
          <w:rFonts w:hint="eastAsia" w:ascii="宋体" w:hAnsi="宋体" w:cs="宋体"/>
          <w:sz w:val="24"/>
          <w:szCs w:val="24"/>
        </w:rPr>
        <w:t>验收时间另行计算，不计入总工期</w:t>
      </w:r>
      <w:r>
        <w:rPr>
          <w:rFonts w:hint="eastAsia" w:ascii="宋体" w:hAnsi="宋体" w:cs="宋体"/>
          <w:b/>
          <w:bCs/>
          <w:sz w:val="24"/>
          <w:szCs w:val="24"/>
        </w:rPr>
        <w:t>。</w:t>
      </w:r>
    </w:p>
    <w:p w14:paraId="338E77C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3．提交成果要求：</w:t>
      </w:r>
    </w:p>
    <w:p w14:paraId="4A86CC53">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（1）</w:t>
      </w:r>
      <w:r>
        <w:rPr>
          <w:rFonts w:hint="eastAsia" w:ascii="宋体" w:hAnsi="宋体" w:cs="宋体"/>
          <w:b/>
          <w:bCs/>
          <w:sz w:val="24"/>
          <w:szCs w:val="24"/>
        </w:rPr>
        <w:t>成果内容</w:t>
      </w:r>
    </w:p>
    <w:p w14:paraId="1AA971D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eastAsia="zh-CN"/>
        </w:rPr>
        <w:t>成果内容包括：</w:t>
      </w:r>
      <w:r>
        <w:rPr>
          <w:rFonts w:hint="eastAsia" w:ascii="宋体" w:hAnsi="宋体" w:cs="宋体"/>
          <w:b/>
          <w:bCs/>
          <w:sz w:val="24"/>
          <w:szCs w:val="24"/>
        </w:rPr>
        <w:t>《红水河（曹渡河口至桥巩）三级航道工程船舶操纵仿真模拟试验专题</w:t>
      </w:r>
      <w:r>
        <w:rPr>
          <w:rFonts w:hint="eastAsia" w:ascii="宋体" w:hAnsi="宋体" w:cs="宋体"/>
          <w:b/>
          <w:bCs/>
          <w:sz w:val="24"/>
          <w:szCs w:val="24"/>
          <w:lang w:eastAsia="zh-CN"/>
        </w:rPr>
        <w:t>研究</w:t>
      </w:r>
      <w:r>
        <w:rPr>
          <w:rFonts w:hint="eastAsia" w:ascii="宋体" w:hAnsi="宋体" w:cs="宋体"/>
          <w:b/>
          <w:bCs/>
          <w:sz w:val="24"/>
          <w:szCs w:val="24"/>
        </w:rPr>
        <w:t>报告》。</w:t>
      </w:r>
    </w:p>
    <w:p w14:paraId="057CAF5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（2）成果形式要求</w:t>
      </w:r>
    </w:p>
    <w:p w14:paraId="1CBE663C">
      <w:pPr>
        <w:pStyle w:val="45"/>
        <w:spacing w:line="360" w:lineRule="auto"/>
        <w:ind w:firstLine="482" w:firstLineChars="200"/>
        <w:rPr>
          <w:rFonts w:hint="eastAsia" w:ascii="宋体" w:hAnsi="宋体" w:cs="宋体"/>
          <w:b/>
          <w:bCs/>
          <w:sz w:val="24"/>
          <w:szCs w:val="24"/>
          <w:lang w:eastAsia="zh-CN"/>
        </w:rPr>
      </w:pPr>
      <w:r>
        <w:rPr>
          <w:rFonts w:hint="eastAsia" w:ascii="宋体" w:hAnsi="宋体" w:cs="宋体"/>
          <w:b/>
          <w:bCs/>
          <w:sz w:val="24"/>
          <w:szCs w:val="24"/>
        </w:rPr>
        <w:t>成果形式</w:t>
      </w:r>
      <w:r>
        <w:rPr>
          <w:rFonts w:hint="eastAsia" w:ascii="宋体" w:hAnsi="宋体" w:cs="宋体"/>
          <w:b/>
          <w:bCs/>
          <w:sz w:val="24"/>
          <w:szCs w:val="24"/>
          <w:lang w:eastAsia="zh-CN"/>
        </w:rPr>
        <w:t>包括：纸质成果和电子成果。要求如下：</w:t>
      </w:r>
    </w:p>
    <w:p w14:paraId="3C163684">
      <w:pPr>
        <w:pStyle w:val="45"/>
        <w:spacing w:line="360" w:lineRule="auto"/>
        <w:ind w:firstLine="482" w:firstLineChars="200"/>
        <w:rPr>
          <w:rFonts w:hint="eastAsia" w:ascii="宋体" w:hAnsi="宋体" w:cs="宋体"/>
          <w:b/>
          <w:bCs/>
          <w:sz w:val="24"/>
          <w:szCs w:val="24"/>
          <w:lang w:eastAsia="zh-CN"/>
        </w:rPr>
      </w:pPr>
      <w:r>
        <w:rPr>
          <w:rFonts w:hint="eastAsia" w:ascii="宋体" w:hAnsi="宋体" w:eastAsia="宋体" w:cs="宋体"/>
          <w:b/>
          <w:bCs/>
          <w:sz w:val="24"/>
          <w:szCs w:val="24"/>
          <w:lang w:eastAsia="zh-CN"/>
        </w:rPr>
        <w:t>①</w:t>
      </w:r>
      <w:r>
        <w:rPr>
          <w:rFonts w:hint="eastAsia" w:ascii="宋体" w:hAnsi="宋体" w:cs="宋体"/>
          <w:b/>
          <w:bCs/>
          <w:sz w:val="24"/>
          <w:szCs w:val="24"/>
        </w:rPr>
        <w:t>纸质成果：最终成果文</w:t>
      </w:r>
      <w:r>
        <w:rPr>
          <w:rFonts w:hint="eastAsia" w:ascii="宋体" w:hAnsi="宋体" w:cs="宋体"/>
          <w:b/>
          <w:bCs/>
          <w:sz w:val="24"/>
          <w:szCs w:val="24"/>
          <w:lang w:eastAsia="zh-CN"/>
        </w:rPr>
        <w:t>件需按规定签字或签章，并加盖单位公章</w:t>
      </w:r>
      <w:r>
        <w:rPr>
          <w:rFonts w:hint="eastAsia" w:ascii="宋体" w:hAnsi="宋体" w:cs="宋体"/>
          <w:b/>
          <w:bCs/>
          <w:sz w:val="24"/>
          <w:szCs w:val="24"/>
        </w:rPr>
        <w:t>。</w:t>
      </w:r>
    </w:p>
    <w:p w14:paraId="4024D142">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eastAsia="zh-CN"/>
        </w:rPr>
        <w:t>②</w:t>
      </w:r>
      <w:r>
        <w:rPr>
          <w:rFonts w:hint="eastAsia" w:ascii="宋体" w:hAnsi="宋体" w:cs="宋体"/>
          <w:b/>
          <w:bCs/>
          <w:sz w:val="24"/>
          <w:szCs w:val="24"/>
        </w:rPr>
        <w:t>电子成果：</w:t>
      </w:r>
      <w:r>
        <w:rPr>
          <w:rFonts w:hint="eastAsia" w:ascii="宋体" w:hAnsi="宋体" w:cs="宋体"/>
          <w:b/>
          <w:bCs/>
          <w:sz w:val="24"/>
          <w:szCs w:val="24"/>
          <w:lang w:val="en-US" w:eastAsia="zh-CN"/>
        </w:rPr>
        <w:t>所有最终成果应提供电子文件，包括可编辑文档（</w:t>
      </w:r>
      <w:r>
        <w:rPr>
          <w:rFonts w:hint="eastAsia" w:ascii="宋体" w:hAnsi="宋体" w:cs="宋体"/>
          <w:b/>
          <w:bCs/>
          <w:sz w:val="24"/>
          <w:szCs w:val="24"/>
        </w:rPr>
        <w:t>文字为WORD格式、图纸为可编辑的CAD格式</w:t>
      </w:r>
      <w:r>
        <w:rPr>
          <w:rFonts w:hint="eastAsia" w:ascii="宋体" w:hAnsi="宋体" w:cs="宋体"/>
          <w:b/>
          <w:bCs/>
          <w:sz w:val="24"/>
          <w:szCs w:val="24"/>
          <w:lang w:val="en-US" w:eastAsia="zh-CN"/>
        </w:rPr>
        <w:t>）和按要求签字、签章的成果文件PDF或扫描件。</w:t>
      </w:r>
    </w:p>
    <w:p w14:paraId="37A8996B">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（3）成果交付份数</w:t>
      </w:r>
    </w:p>
    <w:p w14:paraId="4ADDFA79">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①</w:t>
      </w:r>
      <w:r>
        <w:rPr>
          <w:rFonts w:hint="eastAsia" w:ascii="宋体" w:hAnsi="宋体" w:cs="宋体"/>
          <w:b/>
          <w:bCs/>
          <w:sz w:val="24"/>
          <w:szCs w:val="24"/>
          <w:lang w:val="en-US" w:eastAsia="zh-CN"/>
        </w:rPr>
        <w:t>中间成果报告，一式30份，或者满足报告评审的需要。</w:t>
      </w:r>
    </w:p>
    <w:p w14:paraId="5F47F80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②</w:t>
      </w:r>
      <w:r>
        <w:rPr>
          <w:rFonts w:hint="eastAsia" w:ascii="宋体" w:hAnsi="宋体" w:cs="宋体"/>
          <w:b/>
          <w:bCs/>
          <w:sz w:val="24"/>
          <w:szCs w:val="24"/>
          <w:lang w:val="en-US" w:eastAsia="zh-CN"/>
        </w:rPr>
        <w:t>最终成果报告纸质文件各10份。</w:t>
      </w:r>
    </w:p>
    <w:p w14:paraId="4F856CE6">
      <w:pPr>
        <w:pStyle w:val="45"/>
        <w:spacing w:line="360" w:lineRule="auto"/>
        <w:ind w:firstLine="482" w:firstLineChars="200"/>
        <w:rPr>
          <w:rFonts w:hint="eastAsia" w:ascii="宋体" w:hAnsi="宋体" w:cs="宋体"/>
          <w:b/>
          <w:bCs/>
          <w:sz w:val="24"/>
          <w:szCs w:val="24"/>
          <w:lang w:eastAsia="zh-CN"/>
        </w:rPr>
      </w:pPr>
      <w:r>
        <w:rPr>
          <w:rFonts w:hint="eastAsia" w:ascii="宋体" w:hAnsi="宋体" w:eastAsia="宋体" w:cs="宋体"/>
          <w:b/>
          <w:bCs/>
          <w:sz w:val="24"/>
          <w:szCs w:val="24"/>
          <w:lang w:eastAsia="zh-CN"/>
        </w:rPr>
        <w:t>③</w:t>
      </w:r>
      <w:r>
        <w:rPr>
          <w:rFonts w:hint="eastAsia" w:ascii="宋体" w:hAnsi="宋体" w:cs="宋体"/>
          <w:b/>
          <w:bCs/>
          <w:sz w:val="24"/>
          <w:szCs w:val="24"/>
          <w:lang w:val="en-US" w:eastAsia="zh-CN"/>
        </w:rPr>
        <w:t>最终成果电子文件（包括可编辑文档和按要求签章的成果文件的PDF或扫描件）一式2份，光盘和U盘各1份贮存。</w:t>
      </w:r>
    </w:p>
    <w:p w14:paraId="6147D3E9">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（4）</w:t>
      </w:r>
      <w:r>
        <w:rPr>
          <w:rFonts w:hint="eastAsia" w:ascii="宋体" w:hAnsi="宋体" w:cs="宋体"/>
          <w:b/>
          <w:bCs/>
          <w:sz w:val="24"/>
          <w:szCs w:val="24"/>
        </w:rPr>
        <w:t>成果交付地点</w:t>
      </w:r>
    </w:p>
    <w:p w14:paraId="7F3C0083">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eastAsia="zh-CN"/>
        </w:rPr>
        <w:t>成果交付地点为甲方</w:t>
      </w:r>
      <w:r>
        <w:rPr>
          <w:rFonts w:hint="eastAsia" w:ascii="宋体" w:hAnsi="宋体" w:cs="宋体"/>
          <w:b/>
          <w:bCs/>
          <w:sz w:val="24"/>
          <w:szCs w:val="24"/>
        </w:rPr>
        <w:t>办公地点</w:t>
      </w:r>
      <w:r>
        <w:rPr>
          <w:rFonts w:hint="eastAsia" w:ascii="宋体" w:hAnsi="宋体" w:cs="宋体"/>
          <w:b/>
          <w:bCs/>
          <w:sz w:val="24"/>
          <w:szCs w:val="24"/>
          <w:lang w:eastAsia="zh-CN"/>
        </w:rPr>
        <w:t>，甲方</w:t>
      </w:r>
      <w:r>
        <w:rPr>
          <w:rFonts w:hint="eastAsia" w:ascii="宋体" w:hAnsi="宋体" w:cs="宋体"/>
          <w:b/>
          <w:bCs/>
          <w:sz w:val="24"/>
          <w:szCs w:val="24"/>
        </w:rPr>
        <w:t>可根据需要指定其他地点。</w:t>
      </w:r>
    </w:p>
    <w:p w14:paraId="73BF0B21">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（5）成果验收</w:t>
      </w:r>
    </w:p>
    <w:p w14:paraId="1404DCEC">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eastAsia="zh-CN"/>
        </w:rPr>
        <w:t>乙方</w:t>
      </w:r>
      <w:r>
        <w:rPr>
          <w:rFonts w:hint="eastAsia" w:ascii="宋体" w:hAnsi="宋体" w:cs="宋体"/>
          <w:b/>
          <w:bCs/>
          <w:sz w:val="24"/>
          <w:szCs w:val="24"/>
        </w:rPr>
        <w:t>按要求提</w:t>
      </w:r>
      <w:r>
        <w:rPr>
          <w:rFonts w:hint="eastAsia" w:ascii="宋体" w:hAnsi="宋体" w:cs="宋体"/>
          <w:b/>
          <w:bCs/>
          <w:sz w:val="24"/>
          <w:szCs w:val="24"/>
          <w:lang w:eastAsia="zh-CN"/>
        </w:rPr>
        <w:t>交</w:t>
      </w:r>
      <w:r>
        <w:rPr>
          <w:rFonts w:hint="eastAsia" w:ascii="宋体" w:hAnsi="宋体" w:cs="宋体"/>
          <w:b/>
          <w:bCs/>
          <w:sz w:val="24"/>
          <w:szCs w:val="24"/>
        </w:rPr>
        <w:t>成果文件后，由</w:t>
      </w:r>
      <w:r>
        <w:rPr>
          <w:rFonts w:hint="eastAsia" w:ascii="宋体" w:hAnsi="宋体" w:cs="宋体"/>
          <w:b/>
          <w:bCs/>
          <w:sz w:val="24"/>
          <w:szCs w:val="24"/>
          <w:lang w:eastAsia="zh-CN"/>
        </w:rPr>
        <w:t>甲方</w:t>
      </w:r>
      <w:r>
        <w:rPr>
          <w:rFonts w:hint="eastAsia" w:ascii="宋体" w:hAnsi="宋体" w:cs="宋体"/>
          <w:b/>
          <w:bCs/>
          <w:sz w:val="24"/>
          <w:szCs w:val="24"/>
        </w:rPr>
        <w:t>组织专家</w:t>
      </w:r>
      <w:r>
        <w:rPr>
          <w:rFonts w:hint="eastAsia" w:ascii="宋体" w:hAnsi="宋体" w:cs="宋体"/>
          <w:b/>
          <w:bCs/>
          <w:sz w:val="24"/>
          <w:szCs w:val="24"/>
          <w:lang w:eastAsia="zh-CN"/>
        </w:rPr>
        <w:t>评审、</w:t>
      </w:r>
      <w:r>
        <w:rPr>
          <w:rFonts w:hint="eastAsia" w:ascii="宋体" w:hAnsi="宋体" w:cs="宋体"/>
          <w:b/>
          <w:bCs/>
          <w:sz w:val="24"/>
          <w:szCs w:val="24"/>
        </w:rPr>
        <w:t>验收，</w:t>
      </w:r>
      <w:r>
        <w:rPr>
          <w:rFonts w:hint="eastAsia" w:ascii="宋体" w:hAnsi="宋体" w:cs="宋体"/>
          <w:b/>
          <w:bCs/>
          <w:sz w:val="24"/>
          <w:szCs w:val="24"/>
          <w:lang w:eastAsia="zh-CN"/>
        </w:rPr>
        <w:t>评审、</w:t>
      </w:r>
      <w:r>
        <w:rPr>
          <w:rFonts w:hint="eastAsia" w:ascii="宋体" w:hAnsi="宋体" w:cs="宋体"/>
          <w:b/>
          <w:bCs/>
          <w:sz w:val="24"/>
          <w:szCs w:val="24"/>
        </w:rPr>
        <w:t>验收过程所产生的专家咨询费等相关费用由</w:t>
      </w:r>
      <w:r>
        <w:rPr>
          <w:rFonts w:hint="eastAsia" w:ascii="宋体" w:hAnsi="宋体" w:cs="宋体"/>
          <w:b/>
          <w:bCs/>
          <w:sz w:val="24"/>
          <w:szCs w:val="24"/>
          <w:lang w:eastAsia="zh-CN"/>
        </w:rPr>
        <w:t>乙方</w:t>
      </w:r>
      <w:r>
        <w:rPr>
          <w:rFonts w:hint="eastAsia" w:ascii="宋体" w:hAnsi="宋体" w:cs="宋体"/>
          <w:b/>
          <w:bCs/>
          <w:sz w:val="24"/>
          <w:szCs w:val="24"/>
        </w:rPr>
        <w:t>承担。</w:t>
      </w:r>
    </w:p>
    <w:p w14:paraId="0DAAD60F">
      <w:pPr>
        <w:pStyle w:val="45"/>
        <w:spacing w:line="360" w:lineRule="auto"/>
        <w:ind w:firstLine="482" w:firstLineChars="200"/>
        <w:rPr>
          <w:rFonts w:hint="eastAsia" w:ascii="宋体" w:hAnsi="宋体" w:cs="宋体"/>
          <w:b/>
          <w:bCs/>
          <w:sz w:val="24"/>
          <w:szCs w:val="24"/>
          <w:u w:val="single"/>
        </w:rPr>
      </w:pPr>
      <w:r>
        <w:rPr>
          <w:rFonts w:hint="eastAsia" w:ascii="宋体" w:hAnsi="宋体" w:cs="宋体"/>
          <w:b/>
          <w:bCs/>
          <w:sz w:val="24"/>
          <w:szCs w:val="24"/>
        </w:rPr>
        <w:t>4．服务质量要求：</w:t>
      </w:r>
      <w:r>
        <w:rPr>
          <w:rFonts w:hint="eastAsia" w:ascii="宋体" w:hAnsi="宋体" w:cs="宋体"/>
          <w:b/>
          <w:bCs/>
          <w:sz w:val="24"/>
          <w:szCs w:val="24"/>
          <w:u w:val="single"/>
        </w:rPr>
        <w:t>乙方按合同要求完成所有工作，所有工作成果应当符合现行相关国家标准、行业标准、地方标准等标准、规范，并通过专家评审</w:t>
      </w:r>
      <w:r>
        <w:rPr>
          <w:rFonts w:hint="eastAsia" w:ascii="宋体" w:hAnsi="宋体" w:cs="宋体"/>
          <w:b/>
          <w:bCs/>
          <w:sz w:val="24"/>
          <w:szCs w:val="24"/>
          <w:u w:val="single"/>
          <w:lang w:eastAsia="zh-CN"/>
        </w:rPr>
        <w:t>、</w:t>
      </w:r>
      <w:r>
        <w:rPr>
          <w:rFonts w:hint="eastAsia" w:ascii="宋体" w:hAnsi="宋体" w:cs="宋体"/>
          <w:b/>
          <w:bCs/>
          <w:sz w:val="24"/>
          <w:szCs w:val="24"/>
          <w:u w:val="single"/>
        </w:rPr>
        <w:t>验收合格。</w:t>
      </w:r>
    </w:p>
    <w:p w14:paraId="65153E1A">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第四条 费用及支付方式</w:t>
      </w:r>
    </w:p>
    <w:p w14:paraId="3069B75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1．合同费用：</w:t>
      </w:r>
    </w:p>
    <w:p w14:paraId="74E56A94">
      <w:pPr>
        <w:pStyle w:val="45"/>
        <w:spacing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szCs w:val="24"/>
        </w:rPr>
        <w:t>（1）签约合同价为：</w:t>
      </w:r>
      <w:r>
        <w:rPr>
          <w:rFonts w:hint="eastAsia" w:ascii="宋体" w:hAnsi="宋体" w:cs="宋体"/>
          <w:sz w:val="24"/>
          <w:szCs w:val="24"/>
          <w:u w:val="single"/>
          <w:lang w:val="en-US" w:eastAsia="zh-CN"/>
        </w:rPr>
        <w:t xml:space="preserve">                           </w:t>
      </w:r>
    </w:p>
    <w:p w14:paraId="0205807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（2）本合同价格形式为固定总价合同。本合同签约合同价总额是完成合同所规定责任的总费用，包含</w:t>
      </w:r>
      <w:r>
        <w:rPr>
          <w:rFonts w:hint="eastAsia" w:ascii="宋体" w:hAnsi="宋体" w:cs="宋体"/>
          <w:sz w:val="24"/>
          <w:szCs w:val="24"/>
          <w:lang w:eastAsia="zh-CN"/>
        </w:rPr>
        <w:t>了</w:t>
      </w:r>
      <w:r>
        <w:rPr>
          <w:rFonts w:hint="eastAsia" w:ascii="宋体" w:hAnsi="宋体" w:cs="宋体"/>
          <w:sz w:val="24"/>
          <w:szCs w:val="24"/>
        </w:rPr>
        <w:t>为完成</w:t>
      </w:r>
      <w:r>
        <w:rPr>
          <w:rFonts w:hint="eastAsia" w:ascii="宋体" w:hAnsi="宋体" w:cs="宋体"/>
          <w:sz w:val="24"/>
          <w:szCs w:val="24"/>
          <w:lang w:eastAsia="zh-CN"/>
        </w:rPr>
        <w:t>本</w:t>
      </w:r>
      <w:r>
        <w:rPr>
          <w:rFonts w:hint="eastAsia" w:ascii="宋体" w:hAnsi="宋体" w:cs="宋体"/>
          <w:sz w:val="24"/>
          <w:szCs w:val="24"/>
        </w:rPr>
        <w:t>项目的全部工作以及</w:t>
      </w:r>
      <w:r>
        <w:rPr>
          <w:rFonts w:hint="eastAsia" w:ascii="宋体" w:hAnsi="宋体" w:cs="宋体"/>
          <w:sz w:val="24"/>
          <w:szCs w:val="24"/>
          <w:lang w:eastAsia="zh-CN"/>
        </w:rPr>
        <w:t>全过程</w:t>
      </w:r>
      <w:r>
        <w:rPr>
          <w:rFonts w:hint="eastAsia" w:ascii="宋体" w:hAnsi="宋体" w:cs="宋体"/>
          <w:sz w:val="24"/>
          <w:szCs w:val="24"/>
        </w:rPr>
        <w:t>可能发生的各种费用</w:t>
      </w:r>
      <w:r>
        <w:rPr>
          <w:rFonts w:hint="eastAsia" w:ascii="宋体" w:hAnsi="宋体" w:cs="宋体"/>
          <w:sz w:val="24"/>
          <w:szCs w:val="24"/>
          <w:lang w:eastAsia="zh-CN"/>
        </w:rPr>
        <w:t>。</w:t>
      </w:r>
      <w:r>
        <w:rPr>
          <w:rFonts w:hint="eastAsia" w:ascii="宋体" w:hAnsi="宋体" w:cs="宋体"/>
          <w:sz w:val="24"/>
          <w:szCs w:val="24"/>
        </w:rPr>
        <w:t>合同费用包括但不限于：除了包含乙方完成约定工作内容的全部费用外，还包括乙方为完成本项目所发生的调查研究、资料收集、分析论证、报告编制、印刷、出版、安全生产费、人工成本、评估评审验收会务费（含专家劳务费、住宿费、伙食等）、不可预见费等所有费用，其费用含于报价中，甲方不另行向乙方支付其费用。</w:t>
      </w:r>
    </w:p>
    <w:p w14:paraId="34EA3A1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合同执行期间，物价波动(人工、材料上涨等)引起的价格变化不对签约合同价进行调整；法律、法规、规范性文件、规定引起的价格变化，签约合同价不进行调整。乙方应承担物价波动、工作范围内容不符或漏项、气候条件恶劣及其他意外困难等风险。</w:t>
      </w:r>
    </w:p>
    <w:p w14:paraId="571C760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2.服务费支付方式：</w:t>
      </w:r>
    </w:p>
    <w:p w14:paraId="43176FE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甲方根据工作进度，分期支付乙方合同价款。乙方根据工作进度，向甲方提交支付申请，并附相应的支持性证明文件。</w:t>
      </w:r>
    </w:p>
    <w:p w14:paraId="65202E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cs="宋体"/>
          <w:sz w:val="24"/>
          <w:szCs w:val="24"/>
        </w:rPr>
        <w:t>第一期付款</w:t>
      </w:r>
      <w:r>
        <w:rPr>
          <w:rFonts w:hint="eastAsia" w:ascii="宋体" w:hAnsi="宋体" w:cs="宋体"/>
          <w:sz w:val="24"/>
          <w:szCs w:val="24"/>
          <w:lang w:eastAsia="zh-CN"/>
        </w:rPr>
        <w:t>（预付款）</w:t>
      </w:r>
      <w:r>
        <w:rPr>
          <w:rFonts w:hint="eastAsia" w:ascii="宋体" w:hAnsi="宋体" w:cs="宋体"/>
          <w:sz w:val="24"/>
          <w:szCs w:val="24"/>
        </w:rPr>
        <w:t>：</w:t>
      </w:r>
    </w:p>
    <w:p w14:paraId="650254F2">
      <w:pPr>
        <w:pStyle w:val="45"/>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eastAsia="zh-CN"/>
        </w:rPr>
        <w:t>合同签署后，由乙方提交预付款支付申请，甲方收到预付款支付申请后的14天内，向乙方支付合同价的</w:t>
      </w:r>
      <w:r>
        <w:rPr>
          <w:rFonts w:hint="eastAsia" w:ascii="宋体" w:hAnsi="宋体" w:cs="宋体"/>
          <w:sz w:val="24"/>
          <w:szCs w:val="24"/>
          <w:lang w:val="en-US" w:eastAsia="zh-CN"/>
        </w:rPr>
        <w:t>3</w:t>
      </w:r>
      <w:r>
        <w:rPr>
          <w:rFonts w:hint="eastAsia" w:ascii="宋体" w:hAnsi="宋体" w:cs="宋体"/>
          <w:sz w:val="24"/>
          <w:szCs w:val="24"/>
          <w:lang w:eastAsia="zh-CN"/>
        </w:rPr>
        <w:t>0%作为预付款；乙方应当提供等额的增值税普通发票；本合同履行后，预付款抵作进度款。如因发生不可抗力事件导致预付款已支付但合同无法继续履行的情况，乙方应向甲方退还尚未开展工作内容对应的款项。</w:t>
      </w:r>
    </w:p>
    <w:p w14:paraId="75ACD3C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第二期付款</w:t>
      </w:r>
      <w:r>
        <w:rPr>
          <w:rFonts w:hint="eastAsia" w:ascii="宋体" w:hAnsi="宋体" w:cs="宋体"/>
          <w:sz w:val="24"/>
          <w:szCs w:val="24"/>
          <w:lang w:eastAsia="zh-CN"/>
        </w:rPr>
        <w:t>（尾款）</w:t>
      </w:r>
      <w:r>
        <w:rPr>
          <w:rFonts w:hint="eastAsia" w:ascii="宋体" w:hAnsi="宋体" w:cs="宋体"/>
          <w:sz w:val="24"/>
          <w:szCs w:val="24"/>
        </w:rPr>
        <w:t>：</w:t>
      </w:r>
    </w:p>
    <w:p w14:paraId="51B7C1D7">
      <w:pPr>
        <w:pStyle w:val="45"/>
        <w:spacing w:line="360" w:lineRule="auto"/>
        <w:ind w:left="0" w:firstLine="480" w:firstLineChars="200"/>
        <w:rPr>
          <w:rFonts w:hint="eastAsia" w:ascii="宋体" w:hAnsi="宋体" w:cs="宋体"/>
          <w:sz w:val="24"/>
          <w:szCs w:val="24"/>
        </w:rPr>
      </w:pPr>
      <w:r>
        <w:rPr>
          <w:rFonts w:hint="eastAsia" w:ascii="宋体" w:hAnsi="宋体" w:cs="宋体"/>
          <w:sz w:val="24"/>
          <w:szCs w:val="24"/>
        </w:rPr>
        <w:t>在</w:t>
      </w:r>
      <w:r>
        <w:rPr>
          <w:rFonts w:hint="eastAsia" w:ascii="宋体" w:hAnsi="宋体" w:cs="宋体"/>
          <w:sz w:val="24"/>
          <w:szCs w:val="24"/>
          <w:lang w:eastAsia="zh-CN"/>
        </w:rPr>
        <w:t>所有合同工作完成且评审验收合格</w:t>
      </w:r>
      <w:r>
        <w:rPr>
          <w:rFonts w:hint="eastAsia" w:ascii="宋体" w:hAnsi="宋体" w:cs="宋体"/>
          <w:sz w:val="24"/>
          <w:szCs w:val="24"/>
        </w:rPr>
        <w:t>，</w:t>
      </w:r>
      <w:r>
        <w:rPr>
          <w:rFonts w:hint="eastAsia" w:ascii="宋体" w:hAnsi="宋体" w:cs="宋体"/>
          <w:sz w:val="24"/>
          <w:szCs w:val="24"/>
          <w:lang w:eastAsia="zh-CN"/>
        </w:rPr>
        <w:t>乙方提交专题研究报告最终稿后，由乙方提交进度款支付申请，甲方收到进度款支付申请后的14天内，向乙方支付至签约合同价的100%；乙方应当提供等额的增值税发票</w:t>
      </w:r>
      <w:r>
        <w:rPr>
          <w:rFonts w:hint="eastAsia" w:ascii="宋体" w:hAnsi="宋体" w:cs="宋体"/>
          <w:sz w:val="24"/>
          <w:szCs w:val="24"/>
        </w:rPr>
        <w:t>。</w:t>
      </w:r>
    </w:p>
    <w:p w14:paraId="36D3A96F">
      <w:pPr>
        <w:pStyle w:val="45"/>
        <w:spacing w:line="360" w:lineRule="auto"/>
        <w:ind w:left="480"/>
        <w:rPr>
          <w:rFonts w:hint="eastAsia" w:ascii="宋体" w:hAnsi="宋体" w:cs="宋体"/>
          <w:sz w:val="24"/>
          <w:szCs w:val="24"/>
        </w:rPr>
      </w:pPr>
      <w:r>
        <w:rPr>
          <w:rFonts w:hint="eastAsia" w:ascii="宋体" w:hAnsi="宋体" w:cs="宋体"/>
          <w:sz w:val="24"/>
          <w:szCs w:val="24"/>
        </w:rPr>
        <w:t>3.乙方收款账户信息如下：</w:t>
      </w:r>
    </w:p>
    <w:p w14:paraId="1943F94F">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开户名称：</w:t>
      </w:r>
      <w:r>
        <w:rPr>
          <w:rFonts w:hint="eastAsia" w:ascii="宋体" w:hAnsi="宋体" w:cs="宋体"/>
          <w:sz w:val="24"/>
          <w:szCs w:val="24"/>
          <w:lang w:val="en-US" w:eastAsia="zh-CN"/>
        </w:rPr>
        <w:t xml:space="preserve"> </w:t>
      </w:r>
    </w:p>
    <w:p w14:paraId="5FC006E4">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银行帐号：</w:t>
      </w:r>
      <w:r>
        <w:rPr>
          <w:rFonts w:hint="eastAsia" w:ascii="宋体" w:hAnsi="宋体" w:cs="宋体"/>
          <w:sz w:val="24"/>
          <w:szCs w:val="24"/>
          <w:lang w:val="en-US" w:eastAsia="zh-CN"/>
        </w:rPr>
        <w:t xml:space="preserve"> </w:t>
      </w:r>
    </w:p>
    <w:p w14:paraId="01542719">
      <w:pPr>
        <w:pStyle w:val="45"/>
        <w:spacing w:line="360" w:lineRule="auto"/>
        <w:ind w:firstLine="480" w:firstLineChars="200"/>
        <w:rPr>
          <w:rFonts w:hint="eastAsia" w:ascii="宋体" w:hAnsi="宋体" w:eastAsia="宋体" w:cs="宋体"/>
          <w:sz w:val="24"/>
          <w:szCs w:val="24"/>
          <w:highlight w:val="yellow"/>
          <w:lang w:eastAsia="zh-CN"/>
        </w:rPr>
      </w:pPr>
      <w:r>
        <w:rPr>
          <w:rFonts w:hint="eastAsia" w:ascii="宋体" w:hAnsi="宋体" w:cs="宋体"/>
          <w:sz w:val="24"/>
          <w:szCs w:val="24"/>
        </w:rPr>
        <w:t>开户行：</w:t>
      </w:r>
      <w:r>
        <w:rPr>
          <w:rFonts w:hint="eastAsia" w:ascii="宋体" w:hAnsi="宋体" w:cs="宋体"/>
          <w:sz w:val="24"/>
          <w:szCs w:val="24"/>
          <w:lang w:val="en-US" w:eastAsia="zh-CN"/>
        </w:rPr>
        <w:t xml:space="preserve"> </w:t>
      </w:r>
    </w:p>
    <w:p w14:paraId="41DC451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乙方收款账户发生变更的，应当在变更当日书面告知甲方，否则由此产生的损失由乙方承担；甲方不接受乙方委托第三方收款。</w:t>
      </w:r>
    </w:p>
    <w:p w14:paraId="2AC2FE9F">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第五条 履约担保</w:t>
      </w:r>
    </w:p>
    <w:p w14:paraId="4BF969E7">
      <w:pPr>
        <w:pStyle w:val="45"/>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乙方在签订合同之前，向甲方提交金额为签约合同价5%的履约保证金。乙方未按约定提交履约保证金的，视为放弃中标资格，甲方有权不予与其签订合同；因此给甲方造成损失的，乙方还应承担相应的赔偿责任。</w:t>
      </w:r>
    </w:p>
    <w:p w14:paraId="689EA9B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2.履约保证金以支票、汇票、本票或者金融机构、担保机构出具的保函等非现金形式提交。</w:t>
      </w:r>
    </w:p>
    <w:p w14:paraId="5CE4ED7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（1）若采用银行保函形式，银行保函由国有商业或股份制商业银行出具，并保证其有效。执行本条规定所需的费用由乙方承担。保函的正本由甲方保存。</w:t>
      </w:r>
    </w:p>
    <w:p w14:paraId="514389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（2）若采用银行转账形式，应当从乙方基本账户转出，且全额一次性转入甲方指定账号，并注明</w:t>
      </w:r>
      <w:r>
        <w:rPr>
          <w:rFonts w:hint="eastAsia" w:ascii="宋体" w:hAnsi="宋体" w:cs="宋体"/>
          <w:b/>
          <w:bCs/>
          <w:sz w:val="24"/>
          <w:szCs w:val="24"/>
        </w:rPr>
        <w:t>“红水河（曹渡河口至桥巩）三级航道工程船舶操纵仿真模拟试验专题</w:t>
      </w:r>
      <w:r>
        <w:rPr>
          <w:rFonts w:hint="eastAsia" w:ascii="宋体" w:hAnsi="宋体" w:cs="宋体"/>
          <w:b/>
          <w:bCs/>
          <w:sz w:val="24"/>
          <w:szCs w:val="24"/>
          <w:lang w:eastAsia="zh-CN"/>
        </w:rPr>
        <w:t>研究</w:t>
      </w:r>
      <w:r>
        <w:rPr>
          <w:rFonts w:hint="eastAsia" w:ascii="宋体" w:hAnsi="宋体" w:cs="宋体"/>
          <w:b/>
          <w:bCs/>
          <w:sz w:val="24"/>
          <w:szCs w:val="24"/>
        </w:rPr>
        <w:t>服务项目履约保证金”</w:t>
      </w:r>
      <w:r>
        <w:rPr>
          <w:rFonts w:hint="eastAsia" w:ascii="宋体" w:hAnsi="宋体" w:cs="宋体"/>
          <w:sz w:val="24"/>
          <w:szCs w:val="24"/>
        </w:rPr>
        <w:t>，并且确保在中标通知书发出之日起25日内到账，否则，其履约担保视为无效。</w:t>
      </w:r>
    </w:p>
    <w:p w14:paraId="6522CC0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3.履约担保有效期应不短于自合同生效之日起至乙方履行完毕本合同项下所有工作内容并提交全部最终成果资料之日。</w:t>
      </w:r>
    </w:p>
    <w:p w14:paraId="3C9BB3C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4.在乙方按合同要求履行完毕本合同项下所有工作内容并提交全部最终成果资料后，由乙方向甲方提出退还履约担保申请，甲方收到退还履约担保申请后28天内退还乙方履约担保。履约保证金不计利息。</w:t>
      </w:r>
    </w:p>
    <w:p w14:paraId="75608A94">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第六条 双方的责任和义务</w:t>
      </w:r>
    </w:p>
    <w:p w14:paraId="11849096">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（一）甲方责任和义务</w:t>
      </w:r>
    </w:p>
    <w:p w14:paraId="4613F3C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1.甲方应按合同约定支付乙方合同费用。</w:t>
      </w:r>
    </w:p>
    <w:p w14:paraId="430D879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2.甲方有权对乙方实施项目的进度、质量、安全、文明以及资金使用等进行监督、控制。</w:t>
      </w:r>
    </w:p>
    <w:p w14:paraId="56E1174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3.承担履行合同过程中甲方的人身和财产安全责任。</w:t>
      </w:r>
    </w:p>
    <w:p w14:paraId="30F81DE7">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（二）乙方责任和义务</w:t>
      </w:r>
    </w:p>
    <w:p w14:paraId="7698C68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1.乙方应按照现行的技术标准、规范规定和行政主管部门要求，完成合同规定的所有工作内容。</w:t>
      </w:r>
    </w:p>
    <w:p w14:paraId="3CD236B4">
      <w:pPr>
        <w:pStyle w:val="45"/>
        <w:spacing w:line="360" w:lineRule="auto"/>
        <w:ind w:firstLine="480" w:firstLineChars="200"/>
        <w:rPr>
          <w:rFonts w:hint="eastAsia" w:ascii="宋体" w:hAnsi="宋体" w:cs="宋体"/>
          <w:bCs/>
          <w:sz w:val="24"/>
          <w:szCs w:val="24"/>
        </w:rPr>
      </w:pPr>
      <w:r>
        <w:rPr>
          <w:rFonts w:hint="eastAsia" w:ascii="宋体" w:hAnsi="宋体" w:cs="宋体"/>
          <w:bCs/>
          <w:sz w:val="24"/>
          <w:szCs w:val="24"/>
        </w:rPr>
        <w:t>2.乙方应在开工前向甲方提交详细的工作方案。</w:t>
      </w:r>
    </w:p>
    <w:p w14:paraId="12684C6F">
      <w:pPr>
        <w:pStyle w:val="45"/>
        <w:spacing w:line="360" w:lineRule="auto"/>
        <w:ind w:firstLine="480" w:firstLineChars="200"/>
        <w:rPr>
          <w:rFonts w:hint="eastAsia" w:ascii="宋体" w:hAnsi="宋体" w:cs="宋体"/>
          <w:bCs/>
          <w:sz w:val="24"/>
          <w:szCs w:val="24"/>
        </w:rPr>
      </w:pPr>
      <w:r>
        <w:rPr>
          <w:rFonts w:hint="eastAsia" w:ascii="宋体" w:hAnsi="宋体" w:cs="宋体"/>
          <w:sz w:val="24"/>
          <w:szCs w:val="24"/>
        </w:rPr>
        <w:t>3.乙方工作过程中应遵守国家及地方的有关法律、法规和规章，因乙方未能采取有效措施而发生的人身伤亡、罚款、赔偿、索赔、损失赔偿、诉讼费用及其他一切责任应由乙方负责。</w:t>
      </w:r>
    </w:p>
    <w:p w14:paraId="00CF1820">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4.</w:t>
      </w:r>
      <w:r>
        <w:rPr>
          <w:rFonts w:hint="eastAsia" w:ascii="宋体" w:hAnsi="宋体" w:cs="宋体"/>
          <w:sz w:val="24"/>
          <w:szCs w:val="24"/>
        </w:rPr>
        <w:t>乙方对其所提交的服务成果质量负责，因成果质量问题而造成返工所发生的一切费用由乙方自理，造成甲方损失的还应予以赔偿。</w:t>
      </w:r>
    </w:p>
    <w:p w14:paraId="2457C857">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5.</w:t>
      </w:r>
      <w:r>
        <w:rPr>
          <w:rFonts w:hint="eastAsia" w:ascii="宋体" w:hAnsi="宋体" w:cs="宋体"/>
          <w:sz w:val="24"/>
          <w:szCs w:val="24"/>
        </w:rPr>
        <w:t>乙方交付服务成果后，按规定参加</w:t>
      </w:r>
      <w:r>
        <w:rPr>
          <w:rFonts w:hint="eastAsia" w:ascii="宋体" w:hAnsi="宋体" w:cs="宋体"/>
          <w:sz w:val="24"/>
          <w:szCs w:val="24"/>
          <w:lang w:eastAsia="zh-CN"/>
        </w:rPr>
        <w:t>甲方或者</w:t>
      </w:r>
      <w:r>
        <w:rPr>
          <w:rFonts w:hint="eastAsia" w:ascii="宋体" w:hAnsi="宋体" w:cs="宋体"/>
          <w:sz w:val="24"/>
          <w:szCs w:val="24"/>
        </w:rPr>
        <w:t>有关主管部门的审查，</w:t>
      </w:r>
      <w:r>
        <w:rPr>
          <w:rFonts w:hint="eastAsia" w:ascii="宋体" w:hAnsi="宋体" w:cs="宋体"/>
          <w:sz w:val="24"/>
          <w:szCs w:val="24"/>
          <w:lang w:eastAsia="zh-CN"/>
        </w:rPr>
        <w:t>配合甲方开展成果评审验收，</w:t>
      </w:r>
      <w:r>
        <w:rPr>
          <w:rFonts w:hint="eastAsia" w:ascii="宋体" w:hAnsi="宋体" w:cs="宋体"/>
          <w:sz w:val="24"/>
          <w:szCs w:val="24"/>
        </w:rPr>
        <w:t>并负责根据审查</w:t>
      </w:r>
      <w:r>
        <w:rPr>
          <w:rFonts w:hint="eastAsia" w:ascii="宋体" w:hAnsi="宋体" w:cs="宋体"/>
          <w:sz w:val="24"/>
          <w:szCs w:val="24"/>
          <w:lang w:eastAsia="zh-CN"/>
        </w:rPr>
        <w:t>、评审</w:t>
      </w:r>
      <w:r>
        <w:rPr>
          <w:rFonts w:hint="eastAsia" w:ascii="宋体" w:hAnsi="宋体" w:cs="宋体"/>
          <w:sz w:val="24"/>
          <w:szCs w:val="24"/>
        </w:rPr>
        <w:t>结论做必要调整补充完善，直至项目通过验收。</w:t>
      </w:r>
    </w:p>
    <w:p w14:paraId="5092D2A4">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6.</w:t>
      </w:r>
      <w:r>
        <w:rPr>
          <w:rFonts w:hint="eastAsia" w:ascii="宋体" w:hAnsi="宋体" w:cs="宋体"/>
          <w:sz w:val="24"/>
          <w:szCs w:val="24"/>
        </w:rPr>
        <w:t>乙方应安排投标文件中承诺的人员投入工作，并在服务过程中保持人员的相对稳定。在项目服务期间，未经甲方批准，乙方不得更换项目负责人。如果服务人员(含后续服务人员)不能胜任工作、渎职或从事其他违法活动，甲方有权提出更换要求，乙方应立即派出不低于原服务人员相应资历的人员替换并征得甲方同意。乙方在事先取得甲方的同意后可以更换其所派驻现场的人员，但应符合合同规定的资历要求。</w:t>
      </w:r>
    </w:p>
    <w:p w14:paraId="5F0609B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7.乙方不得将本合同规定的服务任务转包。</w:t>
      </w:r>
    </w:p>
    <w:p w14:paraId="52820FD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8.乙方的工作进度没有达到投标文件中承诺的进度计划时，甲方有权提出要求增加服务人员，乙方应立即安排，其费用被认为已包含在报价之中，甲方不另行支付费用。</w:t>
      </w:r>
    </w:p>
    <w:p w14:paraId="66A72E5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9.乙方在进行外业踏勘等工作时，应采取相应的安全、保卫和环境保护措施，因乙方未能采取有效措施而发生的与本项目服务活动有关的人身伤亡、罚款、索赔、损失赔偿、诉讼及其他一切责任应由乙方负责。</w:t>
      </w:r>
    </w:p>
    <w:p w14:paraId="413793B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10.乙方服务过程中，提供的成果文件不应侵犯任何第三方的专利权、版权、及其他知识产权，否则由此而引起索赔或诉讼，乙方应承担全部责任，并保障甲方免于承担由此造成的一切损害和损失。</w:t>
      </w:r>
    </w:p>
    <w:p w14:paraId="1F43BC8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12.承担履行合同过程中乙方的人身和财产安全责任。</w:t>
      </w:r>
    </w:p>
    <w:p w14:paraId="62E54B2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第七条 知识产权</w:t>
      </w:r>
    </w:p>
    <w:p w14:paraId="10B754D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1.在本合同有效期内，按合同约定所完成的与本服务内容相关的新的技术成果，全部归</w:t>
      </w:r>
      <w:r>
        <w:rPr>
          <w:rFonts w:hint="eastAsia" w:ascii="宋体" w:hAnsi="宋体" w:cs="宋体"/>
          <w:sz w:val="24"/>
          <w:szCs w:val="24"/>
          <w:u w:val="single"/>
        </w:rPr>
        <w:t>甲</w:t>
      </w:r>
      <w:r>
        <w:rPr>
          <w:rFonts w:hint="eastAsia" w:ascii="宋体" w:hAnsi="宋体" w:cs="宋体"/>
          <w:sz w:val="24"/>
          <w:szCs w:val="24"/>
        </w:rPr>
        <w:t>方所有。</w:t>
      </w:r>
    </w:p>
    <w:p w14:paraId="29713B4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2.乙方就本项目工作成果，未经甲方同意，乙方不得向第三方提供或用于本合同以外的项目，否则甲方有权追究乙方的责任。</w:t>
      </w:r>
    </w:p>
    <w:p w14:paraId="6C3A34E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第八条 保密规定</w:t>
      </w:r>
    </w:p>
    <w:p w14:paraId="2577ED9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双方确定因履行本合同应遵守的保密义务如下：</w:t>
      </w:r>
    </w:p>
    <w:p w14:paraId="50B2518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本协议项下保密信息的保密期限自本协议生效之日起至保密信息公开之日或信息提供方许可公开之日止。双方业务合作事宜的终止、失败或者完成不影响本协议所规定的保密义务的履行。</w:t>
      </w:r>
    </w:p>
    <w:p w14:paraId="75FEF64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甲方和乙方双方均不得将本合同中的内容及在本合同执行过程中获得的对方商业信息、技术秘密及其他经营管理、技术等相关信息向任何第三方泄露。本合同无论期满、解除或终止，保密义务仍然有效。双方认可，作为乙方公司的员工或涉及项目的相关人员，除应履行一般的保密义务外，就该项目所涉的任何国家秘密、商业秘密，乙方应均予以严格保密。</w:t>
      </w:r>
    </w:p>
    <w:p w14:paraId="206F6D2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2.甲方向乙方提供的所有资料均为保密资料，乙方除在履行本合同下义务时可向受雇于乙方的相关研究人员透露外，不能在任何情况下(包括本合同有效期内及之后)向第三者透露。</w:t>
      </w:r>
    </w:p>
    <w:p w14:paraId="5450003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乙方服务人员在甲方处工作或参与项目期间，乙方违反保密规定的，虽未造成甲方、甲方关联单位经济、利益、声誉等各种损失，但给甲方正常经营活动带来不便的，甲方有权将乙方服务人员调离项目，并根据规章制度予以处罚；情节严重的，甲方有权无条件解除与乙方的合同关系，乙方应当给予甲方相应的损害赔偿。</w:t>
      </w:r>
    </w:p>
    <w:p w14:paraId="57A2146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乙方在甲方处工作或参与该项目期间，乙方违反保密规定的，造成甲方、甲方关联单位及经济、利益、声誉等损失的，甲方有权要求乙方赔偿甲方相应的损失并无条件与乙方解除合同关系；构成犯罪的，甲方将上报相关部门，依法追究乙方刑事责任。</w:t>
      </w:r>
    </w:p>
    <w:p w14:paraId="287ED77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5.项目完成/终止后或甲方与乙方的合同终止或解除，乙方违反保密规定的，甲方仍有权依法追究乙方全部的赔偿责任。</w:t>
      </w:r>
    </w:p>
    <w:p w14:paraId="06F4164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6.乙方违反保密义务的，应向甲方支付一万元/次的违约金，并赔偿甲方因此而遭受的损失。</w:t>
      </w:r>
    </w:p>
    <w:p w14:paraId="1E17D8ED">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第九条 违约责任</w:t>
      </w:r>
    </w:p>
    <w:p w14:paraId="25F7CEEF">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（一）甲方违约责任</w:t>
      </w:r>
    </w:p>
    <w:p w14:paraId="351D8E9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1.本项目经费为政府资金，视经费到位情况并按照国库集中支付或政府部门预算管理规定等国家相关规定办理支付，因政府资金不能按时到位导致不能及时付款的，不视为甲方违约。</w:t>
      </w:r>
    </w:p>
    <w:p w14:paraId="07409DD3">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2.在合同履行期间，甲方要求终止或解除合同（非乙方原因）</w:t>
      </w:r>
      <w:r>
        <w:rPr>
          <w:rFonts w:hint="eastAsia" w:ascii="宋体" w:hAnsi="宋体" w:cs="宋体"/>
          <w:sz w:val="24"/>
          <w:szCs w:val="24"/>
          <w:lang w:eastAsia="zh-CN"/>
        </w:rPr>
        <w:t>的</w:t>
      </w:r>
      <w:r>
        <w:rPr>
          <w:rFonts w:hint="eastAsia" w:ascii="宋体" w:hAnsi="宋体" w:cs="宋体"/>
          <w:sz w:val="24"/>
          <w:szCs w:val="24"/>
        </w:rPr>
        <w:t>，甲方应按乙方完成的实际工作量支付费用</w:t>
      </w:r>
      <w:r>
        <w:rPr>
          <w:rFonts w:hint="eastAsia" w:ascii="宋体" w:hAnsi="宋体" w:cs="宋体"/>
          <w:sz w:val="24"/>
          <w:szCs w:val="24"/>
          <w:lang w:eastAsia="zh-CN"/>
        </w:rPr>
        <w:t>。</w:t>
      </w:r>
    </w:p>
    <w:p w14:paraId="2C661099">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（二）乙方违约责任</w:t>
      </w:r>
    </w:p>
    <w:p w14:paraId="2B6F141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1.乙方不得转包本合同项目，否则甲方有权解除合同并要求乙方退还所有已付费用，同时，乙方支付甲方签约合同总价5%的违约金并赔偿甲方因此遭受的全部损失。</w:t>
      </w:r>
    </w:p>
    <w:p w14:paraId="32BFFF3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乙方的项目负责人和其他人员应与响应文件所承诺的名单一致，未经甲方同意，上述人员不应无故不到位或被替换(但因不可抗力引起的人员变动除外)；发生以上情况，甲方书面提醒后，乙方仍未整改的，乙方将被处以人民币壹万元/人次的违约金，由此引起的责任由乙方负责，甲方有权解除合同，乙方自行承担已发生的费用。</w:t>
      </w:r>
    </w:p>
    <w:p w14:paraId="277F82F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乙方未按本合同规定完成合同工作（含提交成果文件）的，乙方须向甲方支付延期违约金，每延期一天按合同总额的0.2‰计算。拖期超过30天，甲方有权单方解除合同，给甲方造成损失的，乙方负责赔偿，甲方的损失包括但不限于诉讼费、保全费、保全保险费、律师费等费用。</w:t>
      </w:r>
    </w:p>
    <w:p w14:paraId="51420D4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4.在合同履行期间，乙方无故要求终止或解除合同，乙方应退还甲方已支付的全部费用，并向甲方支付签约合同总价5%的违约金且赔偿甲方因此遭受的全部损失。</w:t>
      </w:r>
    </w:p>
    <w:p w14:paraId="060B464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5.乙方未按本合同规定开展研究工作，导致甲方按照乙方提交的研究成果作出决策造成损失的，由乙方承担，且乙方应向甲方支付签约合同总价5%的违约金并赔偿甲方损失。</w:t>
      </w:r>
    </w:p>
    <w:p w14:paraId="7AB9ADE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6.乙方在本项目的人员应当具备法律规定、行业规定的相关资质并对其工作期间的行为负责。若乙方指派人员在工作中因故意或重大过失给甲方造成损失的，由乙方承担全部法律责任。</w:t>
      </w:r>
    </w:p>
    <w:p w14:paraId="35AACCA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7.因乙方违约产生的一切法律纠纷，造成甲方所产生的包括但不限于律师费、诉讼费、仲裁费、评估鉴定费以及承担的损失、赔偿责任等，均由乙方承担。</w:t>
      </w:r>
    </w:p>
    <w:p w14:paraId="5B182F3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8.本合同项下的违约金和赔偿，甲方均有权从应付给乙方的款项或履约保证金中扣除，不足部分由乙方补足。前述条款约定的违约金和赔偿不足以弥补甲方损失的，乙方应继续赔偿甲方的损失，在收到甲方书面通知后三日内另行支付。</w:t>
      </w:r>
    </w:p>
    <w:p w14:paraId="7F3CBB46">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第十条 分包</w:t>
      </w:r>
    </w:p>
    <w:p w14:paraId="3A65D1EE">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lang w:eastAsia="zh-CN"/>
        </w:rPr>
        <w:t>本项目不允许分包</w:t>
      </w:r>
      <w:r>
        <w:rPr>
          <w:rFonts w:hint="eastAsia" w:ascii="宋体" w:hAnsi="宋体" w:cs="宋体"/>
          <w:b/>
          <w:bCs/>
          <w:sz w:val="24"/>
          <w:szCs w:val="24"/>
        </w:rPr>
        <w:t>。</w:t>
      </w:r>
    </w:p>
    <w:p w14:paraId="7AFE345B">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第十一条 不可抗力</w:t>
      </w:r>
    </w:p>
    <w:p w14:paraId="42A9A72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本合同所称不可抗力是指不能预见、不能克服、不能避免并对一方当事人造成重大影响的客观事件，如洪水、泥石流、地震、火灾、风暴等自然现象以及战争、动乱、政府行为等社会事件。</w:t>
      </w:r>
    </w:p>
    <w:p w14:paraId="4C98CFC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发生不可抗力事件，一方在本合同项下受不可抗力影响的义务在不可抗力造成的延误期间自动中止，其履行期限应自动延长，延长期间为中止的期间，该方无须为此承担违约责任。</w:t>
      </w:r>
    </w:p>
    <w:p w14:paraId="7FBB0D71">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第十二条 争议的解决</w:t>
      </w:r>
    </w:p>
    <w:p w14:paraId="4689007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本合同争议的解决方式是：因本合同发生的或与本合同有关的任何争议，均提请南宁仲裁委员会按照该会仲裁规则进行仲裁。仲裁裁决是终局的，对双方均有约束力</w:t>
      </w:r>
    </w:p>
    <w:p w14:paraId="2D0F364E">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第十三条 </w:t>
      </w:r>
      <w:r>
        <w:rPr>
          <w:rFonts w:hint="eastAsia" w:ascii="宋体" w:hAnsi="宋体" w:cs="宋体"/>
          <w:sz w:val="24"/>
          <w:szCs w:val="24"/>
        </w:rPr>
        <w:t>甲乙双方应当通过正常途径开展相关业务工作，自觉遵守国家关于廉政建设的各项规定。</w:t>
      </w:r>
    </w:p>
    <w:p w14:paraId="51B07D32">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第十四条 履约验收方案</w:t>
      </w:r>
    </w:p>
    <w:p w14:paraId="50B7626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1.履约验收主体</w:t>
      </w:r>
    </w:p>
    <w:p w14:paraId="3961B39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由甲方按照《广西壮族自治区港航发展中心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》有关规定，组织履约验收。</w:t>
      </w:r>
    </w:p>
    <w:p w14:paraId="45EDD53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2.履约验收时间</w:t>
      </w:r>
    </w:p>
    <w:p w14:paraId="686332B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 xml:space="preserve">》规定。 </w:t>
      </w:r>
    </w:p>
    <w:p w14:paraId="40B5CC5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3.履约验收方式</w:t>
      </w:r>
    </w:p>
    <w:p w14:paraId="75CE13E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本项目采取采购人自行验收方式实施履约验收。</w:t>
      </w:r>
    </w:p>
    <w:p w14:paraId="25830C0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4.履约验收程序</w:t>
      </w:r>
    </w:p>
    <w:p w14:paraId="4343396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》有关规定，验收程序和要求如下：</w:t>
      </w:r>
    </w:p>
    <w:p w14:paraId="15FCF44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（1）成立验收小组。验收小组原则上应由三人以上单数组成，验收小组组长由采购部门的负责人担任，</w:t>
      </w:r>
      <w:r>
        <w:rPr>
          <w:rFonts w:hint="eastAsia" w:ascii="宋体" w:hAnsi="宋体" w:cs="宋体"/>
          <w:sz w:val="24"/>
          <w:szCs w:val="24"/>
          <w:lang w:eastAsia="zh-CN"/>
        </w:rPr>
        <w:t>成员为原合议小组成员，</w:t>
      </w:r>
      <w:r>
        <w:rPr>
          <w:rFonts w:hint="eastAsia" w:ascii="宋体" w:hAnsi="宋体" w:cs="宋体"/>
          <w:sz w:val="24"/>
          <w:szCs w:val="24"/>
        </w:rPr>
        <w:t>并从相关业务部门安排1人作为监督人。如原合议小组成员因故无法参加，由派出部门另行指派人员参加。</w:t>
      </w:r>
    </w:p>
    <w:p w14:paraId="6C00802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（2）组织验收。验收小组应当按照采购合同对供应商的履约情况进行验收。</w:t>
      </w:r>
    </w:p>
    <w:p w14:paraId="718735D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验收小组应当结合合同项目验收清单和标准，对供应商的完成合同情况进行验收。</w:t>
      </w:r>
    </w:p>
    <w:p w14:paraId="363895C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（3）出具验收书。验收小组完成验收后，应当出具验收书，由所有验收人签字，作为支付采购尾款的必备资料。</w:t>
      </w:r>
    </w:p>
    <w:p w14:paraId="5E92003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5.履约验收内容</w:t>
      </w:r>
    </w:p>
    <w:p w14:paraId="3F7D420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按合同约定完成红水河（曹渡河口至桥巩）三级航道工程船舶操纵仿真模拟试验专题</w:t>
      </w:r>
      <w:r>
        <w:rPr>
          <w:rFonts w:hint="eastAsia" w:ascii="宋体" w:hAnsi="宋体" w:cs="宋体"/>
          <w:sz w:val="24"/>
          <w:szCs w:val="24"/>
          <w:lang w:eastAsia="zh-CN"/>
        </w:rPr>
        <w:t>研究</w:t>
      </w:r>
      <w:r>
        <w:rPr>
          <w:rFonts w:hint="eastAsia" w:ascii="宋体" w:hAnsi="宋体" w:cs="宋体"/>
          <w:sz w:val="24"/>
          <w:szCs w:val="24"/>
        </w:rPr>
        <w:t>服务。</w:t>
      </w:r>
    </w:p>
    <w:p w14:paraId="111D5F8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6.履约验收标准</w:t>
      </w:r>
    </w:p>
    <w:p w14:paraId="4DFBB16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（1）在合同约定期限内完成红水河（曹渡河口至桥巩）三级航道工程船舶操纵仿真模拟试验专题</w:t>
      </w:r>
      <w:r>
        <w:rPr>
          <w:rFonts w:hint="eastAsia" w:ascii="宋体" w:hAnsi="宋体" w:cs="宋体"/>
          <w:sz w:val="24"/>
          <w:szCs w:val="24"/>
          <w:lang w:eastAsia="zh-CN"/>
        </w:rPr>
        <w:t>研究</w:t>
      </w:r>
      <w:r>
        <w:rPr>
          <w:rFonts w:hint="eastAsia" w:ascii="宋体" w:hAnsi="宋体" w:cs="宋体"/>
          <w:sz w:val="24"/>
          <w:szCs w:val="24"/>
        </w:rPr>
        <w:t>服务，提交成果。</w:t>
      </w:r>
    </w:p>
    <w:p w14:paraId="25A0B3A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（2）成果文件应当符合现行相关国家标准、行业标准、地方标准等标准、规范，并通过采购人组织的专家评审验收。</w:t>
      </w:r>
    </w:p>
    <w:p w14:paraId="501C89A5">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lang w:val="en-US" w:eastAsia="zh-CN"/>
        </w:rPr>
        <w:t>7</w:t>
      </w:r>
      <w:r>
        <w:rPr>
          <w:rFonts w:hint="eastAsia" w:ascii="宋体" w:hAnsi="宋体" w:cs="宋体"/>
          <w:sz w:val="24"/>
          <w:szCs w:val="24"/>
        </w:rPr>
        <w:t>.履约验收</w:t>
      </w:r>
      <w:r>
        <w:rPr>
          <w:rFonts w:hint="eastAsia" w:ascii="宋体" w:hAnsi="宋体" w:cs="宋体"/>
          <w:sz w:val="24"/>
          <w:szCs w:val="24"/>
          <w:lang w:eastAsia="zh-CN"/>
        </w:rPr>
        <w:t>其他事项</w:t>
      </w:r>
    </w:p>
    <w:p w14:paraId="23C99D8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履约验收相关费用（如有）由</w:t>
      </w:r>
      <w:r>
        <w:rPr>
          <w:rFonts w:hint="eastAsia" w:ascii="宋体" w:hAnsi="宋体" w:cs="宋体"/>
          <w:sz w:val="24"/>
          <w:szCs w:val="24"/>
          <w:lang w:eastAsia="zh-CN"/>
        </w:rPr>
        <w:t>乙方</w:t>
      </w:r>
      <w:r>
        <w:rPr>
          <w:rFonts w:hint="eastAsia" w:ascii="宋体" w:hAnsi="宋体" w:cs="宋体"/>
          <w:sz w:val="24"/>
          <w:szCs w:val="24"/>
        </w:rPr>
        <w:t>承担。</w:t>
      </w:r>
    </w:p>
    <w:p w14:paraId="15DA7B57">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第十五条 </w:t>
      </w:r>
      <w:r>
        <w:rPr>
          <w:rFonts w:hint="eastAsia" w:ascii="宋体" w:hAnsi="宋体" w:cs="宋体"/>
          <w:sz w:val="24"/>
          <w:szCs w:val="24"/>
        </w:rPr>
        <w:t>本合同未尽事宜，由甲方和乙方双方协商并签订补充协议，补充协议与本合同不一致的，以补充协议为准。</w:t>
      </w:r>
    </w:p>
    <w:p w14:paraId="16F08960">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第十六条 </w:t>
      </w:r>
      <w:r>
        <w:rPr>
          <w:rFonts w:hint="eastAsia" w:ascii="宋体" w:hAnsi="宋体" w:cs="宋体"/>
          <w:sz w:val="24"/>
          <w:szCs w:val="24"/>
        </w:rPr>
        <w:t>本合同一式</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份，甲方执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份，乙方各执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份，具有同等法律效力。</w:t>
      </w:r>
    </w:p>
    <w:p w14:paraId="3E50974B">
      <w:pPr>
        <w:pStyle w:val="45"/>
        <w:spacing w:line="360" w:lineRule="auto"/>
        <w:ind w:firstLine="482" w:firstLineChars="200"/>
        <w:rPr>
          <w:rFonts w:hint="eastAsia" w:ascii="宋体" w:hAnsi="宋体" w:cs="宋体"/>
          <w:color w:val="000000"/>
          <w:sz w:val="24"/>
          <w:szCs w:val="24"/>
        </w:rPr>
      </w:pPr>
      <w:r>
        <w:rPr>
          <w:rFonts w:hint="eastAsia" w:ascii="宋体" w:hAnsi="宋体" w:cs="宋体"/>
          <w:b/>
          <w:bCs/>
          <w:sz w:val="24"/>
          <w:szCs w:val="24"/>
        </w:rPr>
        <w:t xml:space="preserve">第十七条 </w:t>
      </w:r>
      <w:r>
        <w:rPr>
          <w:rFonts w:hint="eastAsia" w:ascii="宋体" w:hAnsi="宋体" w:cs="宋体"/>
          <w:sz w:val="24"/>
          <w:szCs w:val="24"/>
        </w:rPr>
        <w:t>本协议书在乙方提供履约担保后，由双方法定代表人或其委托代理人签字（或签章）并加盖单位公章或合同专用章后生效。乙方完成全部服务工作且合同费用结清后终止。</w:t>
      </w:r>
    </w:p>
    <w:p w14:paraId="19FC8CD5">
      <w:pPr>
        <w:pStyle w:val="10"/>
        <w:jc w:val="center"/>
        <w:rPr>
          <w:rFonts w:hint="eastAsia" w:ascii="宋体" w:hAnsi="宋体" w:cs="宋体"/>
          <w:color w:val="000000"/>
          <w:sz w:val="24"/>
        </w:rPr>
      </w:pPr>
      <w:r>
        <w:rPr>
          <w:rFonts w:hint="eastAsia" w:ascii="宋体" w:hAnsi="宋体" w:cs="宋体"/>
          <w:color w:val="000000"/>
          <w:sz w:val="24"/>
        </w:rPr>
        <w:t>（本页以下无正文）</w:t>
      </w:r>
    </w:p>
    <w:tbl>
      <w:tblPr>
        <w:tblStyle w:val="25"/>
        <w:tblW w:w="9070" w:type="dxa"/>
        <w:jc w:val="center"/>
        <w:tblLayout w:type="autofit"/>
        <w:tblCellMar>
          <w:top w:w="0" w:type="dxa"/>
          <w:left w:w="51" w:type="dxa"/>
          <w:bottom w:w="0" w:type="dxa"/>
          <w:right w:w="51" w:type="dxa"/>
        </w:tblCellMar>
      </w:tblPr>
      <w:tblGrid>
        <w:gridCol w:w="4395"/>
        <w:gridCol w:w="425"/>
        <w:gridCol w:w="4250"/>
      </w:tblGrid>
      <w:tr w14:paraId="738D9797">
        <w:tblPrEx>
          <w:tblCellMar>
            <w:top w:w="0" w:type="dxa"/>
            <w:left w:w="51" w:type="dxa"/>
            <w:bottom w:w="0" w:type="dxa"/>
            <w:right w:w="51" w:type="dxa"/>
          </w:tblCellMar>
        </w:tblPrEx>
        <w:trPr>
          <w:trHeight w:val="1661" w:hRule="atLeast"/>
          <w:jc w:val="center"/>
        </w:trPr>
        <w:tc>
          <w:tcPr>
            <w:tcW w:w="4395" w:type="dxa"/>
            <w:vAlign w:val="center"/>
          </w:tcPr>
          <w:p w14:paraId="474B778C">
            <w:pPr>
              <w:pStyle w:val="5"/>
              <w:spacing w:line="360" w:lineRule="auto"/>
              <w:ind w:firstLine="0"/>
              <w:rPr>
                <w:rFonts w:hint="eastAsia" w:ascii="宋体" w:hAnsi="宋体" w:cs="宋体"/>
                <w:szCs w:val="21"/>
              </w:rPr>
            </w:pPr>
          </w:p>
          <w:p w14:paraId="6F031429">
            <w:pPr>
              <w:pStyle w:val="5"/>
              <w:spacing w:line="360" w:lineRule="auto"/>
              <w:ind w:firstLine="0"/>
              <w:rPr>
                <w:rFonts w:hint="eastAsia" w:ascii="宋体" w:hAnsi="宋体" w:cs="宋体"/>
                <w:szCs w:val="21"/>
              </w:rPr>
            </w:pPr>
            <w:r>
              <w:rPr>
                <w:rFonts w:hint="eastAsia" w:ascii="宋体" w:hAnsi="宋体" w:cs="宋体"/>
                <w:szCs w:val="21"/>
              </w:rPr>
              <w:t>甲方：广西壮族自治区水运发展中心（盖章）</w:t>
            </w:r>
          </w:p>
          <w:p w14:paraId="575591DB">
            <w:pPr>
              <w:pStyle w:val="5"/>
              <w:spacing w:line="360" w:lineRule="auto"/>
              <w:ind w:firstLine="0"/>
              <w:jc w:val="center"/>
              <w:rPr>
                <w:rFonts w:hint="eastAsia" w:ascii="宋体" w:hAnsi="宋体" w:cs="宋体"/>
                <w:szCs w:val="21"/>
              </w:rPr>
            </w:pPr>
          </w:p>
        </w:tc>
        <w:tc>
          <w:tcPr>
            <w:tcW w:w="425" w:type="dxa"/>
            <w:tcMar>
              <w:top w:w="0" w:type="dxa"/>
              <w:left w:w="0" w:type="dxa"/>
              <w:bottom w:w="0" w:type="dxa"/>
              <w:right w:w="0" w:type="dxa"/>
            </w:tcMar>
            <w:vAlign w:val="center"/>
          </w:tcPr>
          <w:p w14:paraId="48246E4A">
            <w:pPr>
              <w:pStyle w:val="5"/>
              <w:spacing w:line="360" w:lineRule="auto"/>
              <w:rPr>
                <w:rFonts w:hint="eastAsia" w:ascii="宋体" w:hAnsi="宋体" w:cs="宋体"/>
                <w:sz w:val="10"/>
                <w:szCs w:val="10"/>
              </w:rPr>
            </w:pPr>
          </w:p>
        </w:tc>
        <w:tc>
          <w:tcPr>
            <w:tcW w:w="4250" w:type="dxa"/>
            <w:vAlign w:val="center"/>
          </w:tcPr>
          <w:p w14:paraId="4EEDA1AF">
            <w:pPr>
              <w:pStyle w:val="5"/>
              <w:spacing w:line="360" w:lineRule="auto"/>
              <w:ind w:firstLine="0"/>
              <w:rPr>
                <w:rFonts w:hint="eastAsia" w:ascii="宋体" w:hAnsi="宋体" w:cs="宋体"/>
                <w:szCs w:val="21"/>
              </w:rPr>
            </w:pPr>
          </w:p>
          <w:p w14:paraId="4754E94A">
            <w:pPr>
              <w:pStyle w:val="5"/>
              <w:spacing w:line="360" w:lineRule="auto"/>
              <w:ind w:firstLine="0"/>
              <w:rPr>
                <w:rFonts w:hint="eastAsia" w:ascii="宋体" w:hAnsi="宋体" w:cs="宋体"/>
                <w:szCs w:val="21"/>
              </w:rPr>
            </w:pPr>
            <w:r>
              <w:rPr>
                <w:rFonts w:hint="eastAsia" w:ascii="宋体" w:hAnsi="宋体" w:cs="宋体"/>
                <w:szCs w:val="21"/>
              </w:rPr>
              <w:t>乙方：</w:t>
            </w:r>
            <w:r>
              <w:rPr>
                <w:rFonts w:hint="eastAsia" w:ascii="宋体" w:hAnsi="宋体" w:cs="宋体"/>
                <w:szCs w:val="21"/>
                <w:lang w:val="en-US" w:eastAsia="zh-CN"/>
              </w:rPr>
              <w:t xml:space="preserve"> </w:t>
            </w:r>
            <w:r>
              <w:rPr>
                <w:rFonts w:hint="eastAsia" w:ascii="宋体" w:hAnsi="宋体" w:cs="宋体"/>
                <w:szCs w:val="21"/>
              </w:rPr>
              <w:t>（盖章）</w:t>
            </w:r>
          </w:p>
          <w:p w14:paraId="1BBF8CC4">
            <w:pPr>
              <w:pStyle w:val="5"/>
              <w:spacing w:line="360" w:lineRule="auto"/>
              <w:ind w:firstLine="0"/>
              <w:jc w:val="center"/>
              <w:rPr>
                <w:rFonts w:hint="eastAsia" w:ascii="宋体" w:hAnsi="宋体" w:cs="宋体"/>
                <w:szCs w:val="21"/>
              </w:rPr>
            </w:pPr>
          </w:p>
        </w:tc>
      </w:tr>
      <w:tr w14:paraId="71494E85">
        <w:tblPrEx>
          <w:tblCellMar>
            <w:top w:w="0" w:type="dxa"/>
            <w:left w:w="51" w:type="dxa"/>
            <w:bottom w:w="0" w:type="dxa"/>
            <w:right w:w="51" w:type="dxa"/>
          </w:tblCellMar>
        </w:tblPrEx>
        <w:trPr>
          <w:jc w:val="center"/>
        </w:trPr>
        <w:tc>
          <w:tcPr>
            <w:tcW w:w="4395" w:type="dxa"/>
          </w:tcPr>
          <w:p w14:paraId="5DB7C2B9">
            <w:pPr>
              <w:pStyle w:val="5"/>
              <w:spacing w:line="360" w:lineRule="auto"/>
              <w:ind w:firstLine="0"/>
              <w:rPr>
                <w:rFonts w:hint="eastAsia" w:ascii="宋体" w:hAnsi="宋体" w:cs="宋体"/>
                <w:szCs w:val="21"/>
              </w:rPr>
            </w:pPr>
            <w:r>
              <w:rPr>
                <w:rFonts w:hint="eastAsia" w:ascii="宋体" w:hAnsi="宋体" w:cs="宋体"/>
                <w:szCs w:val="21"/>
              </w:rPr>
              <w:t>法定代表人</w:t>
            </w:r>
          </w:p>
        </w:tc>
        <w:tc>
          <w:tcPr>
            <w:tcW w:w="425" w:type="dxa"/>
            <w:tcMar>
              <w:top w:w="0" w:type="dxa"/>
              <w:left w:w="0" w:type="dxa"/>
              <w:bottom w:w="0" w:type="dxa"/>
              <w:right w:w="0" w:type="dxa"/>
            </w:tcMar>
            <w:vAlign w:val="center"/>
          </w:tcPr>
          <w:p w14:paraId="0CA08658">
            <w:pPr>
              <w:pStyle w:val="5"/>
              <w:spacing w:line="360" w:lineRule="auto"/>
              <w:rPr>
                <w:rFonts w:hint="eastAsia" w:ascii="宋体" w:hAnsi="宋体" w:cs="宋体"/>
                <w:sz w:val="10"/>
                <w:szCs w:val="10"/>
              </w:rPr>
            </w:pPr>
          </w:p>
        </w:tc>
        <w:tc>
          <w:tcPr>
            <w:tcW w:w="4250" w:type="dxa"/>
          </w:tcPr>
          <w:p w14:paraId="096C6396">
            <w:pPr>
              <w:pStyle w:val="5"/>
              <w:spacing w:line="360" w:lineRule="auto"/>
              <w:ind w:firstLine="0"/>
              <w:rPr>
                <w:rFonts w:hint="eastAsia" w:ascii="宋体" w:hAnsi="宋体" w:cs="宋体"/>
                <w:szCs w:val="21"/>
              </w:rPr>
            </w:pPr>
            <w:r>
              <w:rPr>
                <w:rFonts w:hint="eastAsia" w:ascii="宋体" w:hAnsi="宋体" w:cs="宋体"/>
                <w:szCs w:val="21"/>
              </w:rPr>
              <w:t>法定代表人</w:t>
            </w:r>
          </w:p>
        </w:tc>
      </w:tr>
      <w:tr w14:paraId="2F648D4D">
        <w:tblPrEx>
          <w:tblCellMar>
            <w:top w:w="0" w:type="dxa"/>
            <w:left w:w="51" w:type="dxa"/>
            <w:bottom w:w="0" w:type="dxa"/>
            <w:right w:w="51" w:type="dxa"/>
          </w:tblCellMar>
        </w:tblPrEx>
        <w:trPr>
          <w:trHeight w:val="637" w:hRule="atLeast"/>
          <w:jc w:val="center"/>
        </w:trPr>
        <w:tc>
          <w:tcPr>
            <w:tcW w:w="4395" w:type="dxa"/>
          </w:tcPr>
          <w:p w14:paraId="60356F3D">
            <w:pPr>
              <w:pStyle w:val="5"/>
              <w:ind w:firstLine="0"/>
              <w:rPr>
                <w:rFonts w:hint="eastAsia" w:ascii="宋体" w:hAnsi="宋体" w:cs="宋体"/>
                <w:szCs w:val="21"/>
              </w:rPr>
            </w:pPr>
            <w:r>
              <w:rPr>
                <w:rFonts w:hint="eastAsia" w:ascii="宋体" w:hAnsi="宋体" w:cs="宋体"/>
                <w:szCs w:val="21"/>
              </w:rPr>
              <w:t>或其委托代理人：</w:t>
            </w:r>
          </w:p>
          <w:p w14:paraId="05CF0790">
            <w:pPr>
              <w:pStyle w:val="5"/>
              <w:ind w:firstLine="0"/>
              <w:rPr>
                <w:rFonts w:hint="eastAsia" w:ascii="宋体" w:hAnsi="宋体" w:cs="宋体"/>
                <w:szCs w:val="21"/>
              </w:rPr>
            </w:pPr>
            <w:r>
              <w:rPr>
                <w:rFonts w:hint="eastAsia" w:ascii="宋体" w:hAnsi="宋体" w:cs="宋体"/>
                <w:szCs w:val="21"/>
              </w:rPr>
              <w:t>（签章）</w:t>
            </w:r>
          </w:p>
        </w:tc>
        <w:tc>
          <w:tcPr>
            <w:tcW w:w="425" w:type="dxa"/>
            <w:tcMar>
              <w:top w:w="0" w:type="dxa"/>
              <w:left w:w="0" w:type="dxa"/>
              <w:bottom w:w="0" w:type="dxa"/>
              <w:right w:w="0" w:type="dxa"/>
            </w:tcMar>
            <w:vAlign w:val="center"/>
          </w:tcPr>
          <w:p w14:paraId="3203348F">
            <w:pPr>
              <w:pStyle w:val="5"/>
              <w:spacing w:line="360" w:lineRule="auto"/>
              <w:rPr>
                <w:rFonts w:hint="eastAsia" w:ascii="宋体" w:hAnsi="宋体" w:cs="宋体"/>
                <w:sz w:val="10"/>
                <w:szCs w:val="10"/>
              </w:rPr>
            </w:pPr>
          </w:p>
        </w:tc>
        <w:tc>
          <w:tcPr>
            <w:tcW w:w="4250" w:type="dxa"/>
          </w:tcPr>
          <w:p w14:paraId="49DD9125">
            <w:pPr>
              <w:pStyle w:val="5"/>
              <w:ind w:firstLine="0"/>
              <w:rPr>
                <w:rFonts w:hint="eastAsia" w:ascii="宋体" w:hAnsi="宋体" w:cs="宋体"/>
                <w:szCs w:val="21"/>
              </w:rPr>
            </w:pPr>
            <w:r>
              <w:rPr>
                <w:rFonts w:hint="eastAsia" w:ascii="宋体" w:hAnsi="宋体" w:cs="宋体"/>
                <w:szCs w:val="21"/>
              </w:rPr>
              <w:t>或其委托代理人：</w:t>
            </w:r>
          </w:p>
          <w:p w14:paraId="63EF7B50">
            <w:pPr>
              <w:pStyle w:val="5"/>
              <w:ind w:firstLine="0"/>
              <w:rPr>
                <w:rFonts w:hint="eastAsia" w:ascii="宋体" w:hAnsi="宋体" w:cs="宋体"/>
                <w:szCs w:val="21"/>
              </w:rPr>
            </w:pPr>
            <w:r>
              <w:rPr>
                <w:rFonts w:hint="eastAsia" w:ascii="宋体" w:hAnsi="宋体" w:cs="宋体"/>
                <w:szCs w:val="21"/>
              </w:rPr>
              <w:t>（签章）</w:t>
            </w:r>
          </w:p>
        </w:tc>
      </w:tr>
      <w:tr w14:paraId="02864DC0">
        <w:tblPrEx>
          <w:tblCellMar>
            <w:top w:w="0" w:type="dxa"/>
            <w:left w:w="51" w:type="dxa"/>
            <w:bottom w:w="0" w:type="dxa"/>
            <w:right w:w="51" w:type="dxa"/>
          </w:tblCellMar>
        </w:tblPrEx>
        <w:trPr>
          <w:jc w:val="center"/>
        </w:trPr>
        <w:tc>
          <w:tcPr>
            <w:tcW w:w="4395" w:type="dxa"/>
            <w:vAlign w:val="center"/>
          </w:tcPr>
          <w:p w14:paraId="45A04931">
            <w:pPr>
              <w:rPr>
                <w:sz w:val="28"/>
                <w:szCs w:val="28"/>
              </w:rPr>
            </w:pPr>
            <w:r>
              <w:rPr>
                <w:rFonts w:hint="eastAsia" w:ascii="宋体" w:hAnsi="宋体" w:cs="宋体"/>
                <w:szCs w:val="21"/>
              </w:rPr>
              <w:t>开户银行：建行南宁新民路支行</w:t>
            </w:r>
          </w:p>
        </w:tc>
        <w:tc>
          <w:tcPr>
            <w:tcW w:w="425" w:type="dxa"/>
            <w:tcMar>
              <w:top w:w="0" w:type="dxa"/>
              <w:left w:w="0" w:type="dxa"/>
              <w:bottom w:w="0" w:type="dxa"/>
              <w:right w:w="0" w:type="dxa"/>
            </w:tcMar>
            <w:vAlign w:val="center"/>
          </w:tcPr>
          <w:p w14:paraId="3205E888">
            <w:pPr>
              <w:pStyle w:val="5"/>
              <w:spacing w:line="360" w:lineRule="auto"/>
              <w:rPr>
                <w:rFonts w:hint="eastAsia" w:ascii="宋体" w:hAnsi="宋体" w:cs="宋体"/>
                <w:sz w:val="10"/>
                <w:szCs w:val="10"/>
              </w:rPr>
            </w:pPr>
          </w:p>
        </w:tc>
        <w:tc>
          <w:tcPr>
            <w:tcW w:w="4250" w:type="dxa"/>
            <w:vAlign w:val="center"/>
          </w:tcPr>
          <w:p w14:paraId="176E76FC">
            <w:pPr>
              <w:ind w:left="1050" w:hanging="1050" w:hangingChars="500"/>
              <w:rPr>
                <w:rFonts w:hint="eastAsia" w:eastAsia="宋体"/>
                <w:sz w:val="28"/>
                <w:szCs w:val="28"/>
                <w:lang w:eastAsia="zh-CN"/>
              </w:rPr>
            </w:pPr>
            <w:r>
              <w:rPr>
                <w:rFonts w:hint="eastAsia" w:ascii="宋体" w:hAnsi="宋体" w:cs="宋体"/>
                <w:szCs w:val="21"/>
              </w:rPr>
              <w:t>开户银行：</w:t>
            </w:r>
            <w:r>
              <w:rPr>
                <w:rFonts w:hint="eastAsia" w:ascii="宋体" w:hAnsi="宋体" w:cs="宋体"/>
                <w:lang w:val="en-US" w:eastAsia="zh-CN"/>
              </w:rPr>
              <w:t xml:space="preserve"> </w:t>
            </w:r>
          </w:p>
        </w:tc>
      </w:tr>
      <w:tr w14:paraId="7F6C9303">
        <w:tblPrEx>
          <w:tblCellMar>
            <w:top w:w="0" w:type="dxa"/>
            <w:left w:w="51" w:type="dxa"/>
            <w:bottom w:w="0" w:type="dxa"/>
            <w:right w:w="51" w:type="dxa"/>
          </w:tblCellMar>
        </w:tblPrEx>
        <w:trPr>
          <w:jc w:val="center"/>
        </w:trPr>
        <w:tc>
          <w:tcPr>
            <w:tcW w:w="4395" w:type="dxa"/>
            <w:vAlign w:val="center"/>
          </w:tcPr>
          <w:p w14:paraId="2C463B4D">
            <w:pPr>
              <w:rPr>
                <w:sz w:val="28"/>
                <w:szCs w:val="28"/>
              </w:rPr>
            </w:pPr>
            <w:r>
              <w:rPr>
                <w:rFonts w:hint="eastAsia" w:ascii="宋体" w:hAnsi="宋体" w:cs="宋体"/>
                <w:szCs w:val="21"/>
              </w:rPr>
              <w:t>开户账号：</w:t>
            </w:r>
            <w:r>
              <w:rPr>
                <w:rFonts w:ascii="宋体" w:hAnsi="宋体" w:cs="宋体"/>
                <w:szCs w:val="21"/>
              </w:rPr>
              <w:t>45001604258050502193</w:t>
            </w:r>
          </w:p>
        </w:tc>
        <w:tc>
          <w:tcPr>
            <w:tcW w:w="425" w:type="dxa"/>
            <w:tcMar>
              <w:top w:w="0" w:type="dxa"/>
              <w:left w:w="0" w:type="dxa"/>
              <w:bottom w:w="0" w:type="dxa"/>
              <w:right w:w="0" w:type="dxa"/>
            </w:tcMar>
            <w:vAlign w:val="center"/>
          </w:tcPr>
          <w:p w14:paraId="093550CD">
            <w:pPr>
              <w:pStyle w:val="5"/>
              <w:spacing w:line="360" w:lineRule="auto"/>
              <w:rPr>
                <w:rFonts w:hint="eastAsia" w:ascii="宋体" w:hAnsi="宋体" w:cs="宋体"/>
                <w:sz w:val="10"/>
                <w:szCs w:val="10"/>
              </w:rPr>
            </w:pPr>
          </w:p>
        </w:tc>
        <w:tc>
          <w:tcPr>
            <w:tcW w:w="4250" w:type="dxa"/>
            <w:vAlign w:val="center"/>
          </w:tcPr>
          <w:p w14:paraId="13B378C4">
            <w:pPr>
              <w:rPr>
                <w:rFonts w:hint="eastAsia" w:eastAsia="宋体"/>
                <w:sz w:val="28"/>
                <w:szCs w:val="28"/>
                <w:lang w:eastAsia="zh-CN"/>
              </w:rPr>
            </w:pPr>
            <w:r>
              <w:rPr>
                <w:rFonts w:hint="eastAsia" w:ascii="宋体" w:hAnsi="宋体" w:cs="宋体"/>
                <w:szCs w:val="21"/>
              </w:rPr>
              <w:t>开户账号：</w:t>
            </w:r>
            <w:r>
              <w:rPr>
                <w:rFonts w:hint="eastAsia" w:ascii="宋体" w:hAnsi="宋体" w:cs="宋体"/>
                <w:lang w:val="en-US" w:eastAsia="zh-CN"/>
              </w:rPr>
              <w:t xml:space="preserve"> </w:t>
            </w:r>
          </w:p>
        </w:tc>
      </w:tr>
      <w:tr w14:paraId="15B249F9">
        <w:tblPrEx>
          <w:tblCellMar>
            <w:top w:w="0" w:type="dxa"/>
            <w:left w:w="51" w:type="dxa"/>
            <w:bottom w:w="0" w:type="dxa"/>
            <w:right w:w="51" w:type="dxa"/>
          </w:tblCellMar>
        </w:tblPrEx>
        <w:trPr>
          <w:jc w:val="center"/>
        </w:trPr>
        <w:tc>
          <w:tcPr>
            <w:tcW w:w="4395" w:type="dxa"/>
            <w:vAlign w:val="center"/>
          </w:tcPr>
          <w:p w14:paraId="084284C4">
            <w:pPr>
              <w:rPr>
                <w:rFonts w:hint="eastAsia" w:ascii="宋体" w:hAnsi="宋体" w:cs="宋体"/>
                <w:szCs w:val="21"/>
              </w:rPr>
            </w:pPr>
            <w:r>
              <w:rPr>
                <w:rFonts w:hint="eastAsia" w:ascii="宋体" w:hAnsi="宋体" w:cs="宋体"/>
                <w:szCs w:val="21"/>
              </w:rPr>
              <w:t>开户名称：广西壮族自治区水运发展中心</w:t>
            </w:r>
          </w:p>
        </w:tc>
        <w:tc>
          <w:tcPr>
            <w:tcW w:w="425" w:type="dxa"/>
          </w:tcPr>
          <w:p w14:paraId="76A6275F">
            <w:pPr>
              <w:pStyle w:val="5"/>
              <w:spacing w:line="360" w:lineRule="auto"/>
              <w:rPr>
                <w:rFonts w:hint="eastAsia" w:ascii="宋体" w:hAnsi="宋体" w:cs="宋体"/>
                <w:sz w:val="10"/>
                <w:szCs w:val="10"/>
              </w:rPr>
            </w:pPr>
          </w:p>
        </w:tc>
        <w:tc>
          <w:tcPr>
            <w:tcW w:w="4250" w:type="dxa"/>
            <w:vAlign w:val="center"/>
          </w:tcPr>
          <w:p w14:paraId="41D509DB">
            <w:pPr>
              <w:rPr>
                <w:rFonts w:hint="eastAsia" w:ascii="宋体" w:hAnsi="宋体" w:eastAsia="宋体" w:cs="宋体"/>
                <w:szCs w:val="21"/>
                <w:lang w:eastAsia="zh-CN"/>
              </w:rPr>
            </w:pPr>
            <w:r>
              <w:rPr>
                <w:rFonts w:hint="eastAsia" w:ascii="宋体" w:hAnsi="宋体" w:cs="宋体"/>
                <w:szCs w:val="21"/>
              </w:rPr>
              <w:t>开户名称：</w:t>
            </w:r>
            <w:r>
              <w:rPr>
                <w:rFonts w:hint="eastAsia" w:ascii="宋体" w:hAnsi="宋体" w:cs="宋体"/>
                <w:lang w:val="en-US" w:eastAsia="zh-CN"/>
              </w:rPr>
              <w:t xml:space="preserve"> </w:t>
            </w:r>
          </w:p>
        </w:tc>
      </w:tr>
      <w:tr w14:paraId="2CD77DC3">
        <w:tblPrEx>
          <w:tblCellMar>
            <w:top w:w="0" w:type="dxa"/>
            <w:left w:w="51" w:type="dxa"/>
            <w:bottom w:w="0" w:type="dxa"/>
            <w:right w:w="51" w:type="dxa"/>
          </w:tblCellMar>
        </w:tblPrEx>
        <w:trPr>
          <w:jc w:val="center"/>
        </w:trPr>
        <w:tc>
          <w:tcPr>
            <w:tcW w:w="4395" w:type="dxa"/>
            <w:vAlign w:val="center"/>
          </w:tcPr>
          <w:p w14:paraId="30024269">
            <w:pPr>
              <w:pStyle w:val="5"/>
              <w:spacing w:line="360" w:lineRule="auto"/>
              <w:ind w:firstLine="0"/>
              <w:rPr>
                <w:rFonts w:hint="eastAsia" w:ascii="宋体" w:hAnsi="宋体" w:cs="宋体"/>
                <w:szCs w:val="21"/>
              </w:rPr>
            </w:pPr>
            <w:r>
              <w:rPr>
                <w:rFonts w:hint="eastAsia" w:ascii="宋体" w:hAnsi="宋体" w:cs="宋体"/>
                <w:szCs w:val="21"/>
              </w:rPr>
              <w:t>单位地址：南宁市青秀区百花岭路6号</w:t>
            </w:r>
          </w:p>
        </w:tc>
        <w:tc>
          <w:tcPr>
            <w:tcW w:w="425" w:type="dxa"/>
          </w:tcPr>
          <w:p w14:paraId="12210B56">
            <w:pPr>
              <w:pStyle w:val="5"/>
              <w:spacing w:line="360" w:lineRule="auto"/>
              <w:rPr>
                <w:rFonts w:hint="eastAsia" w:ascii="宋体" w:hAnsi="宋体" w:cs="宋体"/>
                <w:sz w:val="10"/>
                <w:szCs w:val="10"/>
              </w:rPr>
            </w:pPr>
          </w:p>
        </w:tc>
        <w:tc>
          <w:tcPr>
            <w:tcW w:w="4250" w:type="dxa"/>
            <w:vAlign w:val="center"/>
          </w:tcPr>
          <w:p w14:paraId="0412FD6E">
            <w:pPr>
              <w:pStyle w:val="5"/>
              <w:spacing w:line="360" w:lineRule="auto"/>
              <w:ind w:firstLine="0"/>
              <w:rPr>
                <w:rFonts w:hint="eastAsia" w:ascii="宋体" w:hAnsi="宋体" w:eastAsia="宋体" w:cs="宋体"/>
                <w:szCs w:val="21"/>
                <w:lang w:eastAsia="zh-CN"/>
              </w:rPr>
            </w:pPr>
            <w:r>
              <w:rPr>
                <w:rFonts w:hint="eastAsia" w:ascii="宋体" w:hAnsi="宋体" w:cs="宋体"/>
                <w:szCs w:val="21"/>
              </w:rPr>
              <w:t>单位地址：</w:t>
            </w:r>
            <w:r>
              <w:rPr>
                <w:rFonts w:hint="eastAsia" w:ascii="宋体" w:hAnsi="宋体" w:cs="宋体"/>
                <w:szCs w:val="21"/>
                <w:lang w:val="en-US" w:eastAsia="zh-CN"/>
              </w:rPr>
              <w:t xml:space="preserve"> </w:t>
            </w:r>
          </w:p>
        </w:tc>
      </w:tr>
      <w:tr w14:paraId="49B99222">
        <w:tblPrEx>
          <w:tblCellMar>
            <w:top w:w="0" w:type="dxa"/>
            <w:left w:w="51" w:type="dxa"/>
            <w:bottom w:w="0" w:type="dxa"/>
            <w:right w:w="51" w:type="dxa"/>
          </w:tblCellMar>
        </w:tblPrEx>
        <w:trPr>
          <w:jc w:val="center"/>
        </w:trPr>
        <w:tc>
          <w:tcPr>
            <w:tcW w:w="4395" w:type="dxa"/>
            <w:vAlign w:val="center"/>
          </w:tcPr>
          <w:p w14:paraId="171246C8">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c>
          <w:tcPr>
            <w:tcW w:w="425" w:type="dxa"/>
          </w:tcPr>
          <w:p w14:paraId="752B0D7D">
            <w:pPr>
              <w:pStyle w:val="5"/>
              <w:spacing w:line="360" w:lineRule="auto"/>
              <w:rPr>
                <w:rFonts w:hint="eastAsia" w:ascii="宋体" w:hAnsi="宋体" w:cs="宋体"/>
                <w:sz w:val="10"/>
                <w:szCs w:val="10"/>
              </w:rPr>
            </w:pPr>
          </w:p>
        </w:tc>
        <w:tc>
          <w:tcPr>
            <w:tcW w:w="4250" w:type="dxa"/>
            <w:vAlign w:val="center"/>
          </w:tcPr>
          <w:p w14:paraId="4524B92E">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r>
      <w:tr w14:paraId="5C11CF35">
        <w:tblPrEx>
          <w:tblCellMar>
            <w:top w:w="0" w:type="dxa"/>
            <w:left w:w="51" w:type="dxa"/>
            <w:bottom w:w="0" w:type="dxa"/>
            <w:right w:w="51" w:type="dxa"/>
          </w:tblCellMar>
        </w:tblPrEx>
        <w:trPr>
          <w:jc w:val="center"/>
        </w:trPr>
        <w:tc>
          <w:tcPr>
            <w:tcW w:w="4395" w:type="dxa"/>
            <w:vAlign w:val="center"/>
          </w:tcPr>
          <w:p w14:paraId="59BCBD28">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c>
          <w:tcPr>
            <w:tcW w:w="425" w:type="dxa"/>
          </w:tcPr>
          <w:p w14:paraId="3470E63A">
            <w:pPr>
              <w:pStyle w:val="5"/>
              <w:spacing w:line="360" w:lineRule="auto"/>
              <w:rPr>
                <w:rFonts w:hint="eastAsia" w:ascii="宋体" w:hAnsi="宋体" w:cs="宋体"/>
                <w:sz w:val="10"/>
                <w:szCs w:val="10"/>
              </w:rPr>
            </w:pPr>
          </w:p>
        </w:tc>
        <w:tc>
          <w:tcPr>
            <w:tcW w:w="4250" w:type="dxa"/>
            <w:vAlign w:val="center"/>
          </w:tcPr>
          <w:p w14:paraId="7FF5A1CF">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r>
      <w:tr w14:paraId="5D4B7289">
        <w:tblPrEx>
          <w:tblCellMar>
            <w:top w:w="0" w:type="dxa"/>
            <w:left w:w="51" w:type="dxa"/>
            <w:bottom w:w="0" w:type="dxa"/>
            <w:right w:w="51" w:type="dxa"/>
          </w:tblCellMar>
        </w:tblPrEx>
        <w:trPr>
          <w:trHeight w:val="312" w:hRule="atLeast"/>
          <w:jc w:val="center"/>
        </w:trPr>
        <w:tc>
          <w:tcPr>
            <w:tcW w:w="4395" w:type="dxa"/>
            <w:vAlign w:val="center"/>
          </w:tcPr>
          <w:p w14:paraId="1C71262B">
            <w:pPr>
              <w:pStyle w:val="5"/>
              <w:spacing w:line="360" w:lineRule="auto"/>
              <w:ind w:firstLine="0"/>
              <w:rPr>
                <w:rFonts w:hint="eastAsia" w:ascii="宋体" w:hAnsi="宋体" w:cs="宋体"/>
                <w:szCs w:val="21"/>
              </w:rPr>
            </w:pPr>
          </w:p>
        </w:tc>
        <w:tc>
          <w:tcPr>
            <w:tcW w:w="425" w:type="dxa"/>
          </w:tcPr>
          <w:p w14:paraId="4BBB4BD5">
            <w:pPr>
              <w:pStyle w:val="5"/>
              <w:spacing w:line="360" w:lineRule="auto"/>
              <w:rPr>
                <w:rFonts w:hint="eastAsia" w:ascii="宋体" w:hAnsi="宋体" w:cs="宋体"/>
                <w:sz w:val="10"/>
                <w:szCs w:val="10"/>
              </w:rPr>
            </w:pPr>
          </w:p>
        </w:tc>
        <w:tc>
          <w:tcPr>
            <w:tcW w:w="4250" w:type="dxa"/>
            <w:vAlign w:val="center"/>
          </w:tcPr>
          <w:p w14:paraId="2D656358">
            <w:pPr>
              <w:pStyle w:val="5"/>
              <w:spacing w:line="360" w:lineRule="auto"/>
              <w:ind w:firstLine="0"/>
              <w:rPr>
                <w:rFonts w:hint="eastAsia" w:ascii="宋体" w:hAnsi="宋体" w:cs="宋体"/>
                <w:szCs w:val="21"/>
              </w:rPr>
            </w:pPr>
          </w:p>
        </w:tc>
      </w:tr>
      <w:tr w14:paraId="6DED8197">
        <w:tblPrEx>
          <w:tblCellMar>
            <w:top w:w="0" w:type="dxa"/>
            <w:left w:w="51" w:type="dxa"/>
            <w:bottom w:w="0" w:type="dxa"/>
            <w:right w:w="51" w:type="dxa"/>
          </w:tblCellMar>
        </w:tblPrEx>
        <w:trPr>
          <w:jc w:val="center"/>
        </w:trPr>
        <w:tc>
          <w:tcPr>
            <w:tcW w:w="9070" w:type="dxa"/>
            <w:gridSpan w:val="3"/>
            <w:vAlign w:val="center"/>
          </w:tcPr>
          <w:p w14:paraId="2AD42BEC">
            <w:pPr>
              <w:pStyle w:val="5"/>
              <w:spacing w:line="360" w:lineRule="auto"/>
              <w:ind w:firstLine="0"/>
              <w:jc w:val="center"/>
              <w:rPr>
                <w:rFonts w:hint="eastAsia" w:ascii="宋体" w:hAnsi="宋体" w:cs="宋体"/>
                <w:szCs w:val="21"/>
              </w:rPr>
            </w:pPr>
            <w:r>
              <w:rPr>
                <w:rFonts w:hint="eastAsia" w:ascii="宋体" w:hAnsi="宋体" w:cs="宋体"/>
                <w:szCs w:val="21"/>
              </w:rPr>
              <w:t>签订日期：</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tbl>
    <w:p w14:paraId="5CE8BB13">
      <w:pPr>
        <w:pStyle w:val="10"/>
        <w:spacing w:after="0"/>
        <w:jc w:val="center"/>
        <w:rPr>
          <w:rFonts w:hint="eastAsia" w:ascii="宋体" w:hAnsi="宋体" w:cs="宋体"/>
          <w:color w:val="000000"/>
          <w:sz w:val="24"/>
        </w:rPr>
      </w:pPr>
    </w:p>
    <w:p w14:paraId="1A78DE4E">
      <w:pPr>
        <w:rPr>
          <w:rFonts w:hint="eastAsia" w:ascii="宋体" w:hAnsi="宋体" w:cs="宋体"/>
          <w:szCs w:val="21"/>
        </w:rPr>
      </w:pPr>
      <w:r>
        <w:rPr>
          <w:rFonts w:ascii="宋体" w:hAnsi="宋体" w:cs="宋体"/>
          <w:szCs w:val="21"/>
        </w:rPr>
        <w:br w:type="page"/>
      </w:r>
    </w:p>
    <w:p w14:paraId="4ACB4452">
      <w:pPr>
        <w:spacing w:before="156" w:beforeLines="50" w:after="156" w:afterLines="50" w:line="360" w:lineRule="auto"/>
        <w:jc w:val="both"/>
        <w:outlineLvl w:val="1"/>
        <w:rPr>
          <w:rFonts w:hint="eastAsia" w:ascii="宋体" w:hAnsi="宋体" w:eastAsia="宋体" w:cs="宋体"/>
          <w:sz w:val="24"/>
          <w:szCs w:val="24"/>
        </w:rPr>
      </w:pPr>
      <w:bookmarkStart w:id="319" w:name="_Toc21149"/>
      <w:bookmarkStart w:id="320" w:name="_Toc32300"/>
      <w:bookmarkStart w:id="321" w:name="_Toc13604"/>
      <w:bookmarkStart w:id="322" w:name="_Toc29758"/>
      <w:bookmarkStart w:id="323" w:name="_Toc28209"/>
      <w:bookmarkStart w:id="324" w:name="_Toc14353"/>
      <w:bookmarkStart w:id="325" w:name="_Toc16541"/>
      <w:bookmarkStart w:id="326" w:name="_Toc29314"/>
      <w:bookmarkStart w:id="327" w:name="_Toc1355"/>
      <w:bookmarkStart w:id="328" w:name="_Toc14961"/>
      <w:bookmarkStart w:id="329" w:name="_Toc14453"/>
      <w:bookmarkStart w:id="330" w:name="_Toc737"/>
      <w:bookmarkStart w:id="331" w:name="_Toc26738"/>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廉政合同</w:t>
      </w:r>
      <w:bookmarkEnd w:id="319"/>
      <w:bookmarkEnd w:id="320"/>
      <w:bookmarkEnd w:id="321"/>
      <w:bookmarkEnd w:id="322"/>
      <w:bookmarkEnd w:id="323"/>
      <w:bookmarkEnd w:id="324"/>
      <w:bookmarkEnd w:id="325"/>
      <w:bookmarkEnd w:id="326"/>
      <w:bookmarkEnd w:id="327"/>
      <w:bookmarkEnd w:id="328"/>
      <w:bookmarkEnd w:id="329"/>
      <w:bookmarkEnd w:id="330"/>
      <w:bookmarkEnd w:id="331"/>
    </w:p>
    <w:p w14:paraId="5E052B6F">
      <w:pPr>
        <w:pStyle w:val="5"/>
        <w:snapToGrid w:val="0"/>
        <w:spacing w:line="360" w:lineRule="auto"/>
        <w:ind w:firstLine="0"/>
        <w:jc w:val="center"/>
        <w:rPr>
          <w:rFonts w:hint="eastAsia" w:ascii="宋体" w:hAnsi="宋体" w:cs="宋体"/>
          <w:sz w:val="24"/>
          <w:szCs w:val="24"/>
        </w:rPr>
      </w:pPr>
      <w:r>
        <w:rPr>
          <w:rFonts w:hint="eastAsia" w:ascii="黑体" w:hAnsi="宋体" w:eastAsia="黑体"/>
          <w:sz w:val="32"/>
          <w:szCs w:val="32"/>
        </w:rPr>
        <w:t>廉政合同</w:t>
      </w:r>
    </w:p>
    <w:p w14:paraId="00265CC9">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cs="宋体"/>
          <w:sz w:val="24"/>
          <w:szCs w:val="24"/>
          <w:u w:val="single"/>
        </w:rPr>
        <w:t xml:space="preserve"> 广西壮族自治区水运发展中心</w:t>
      </w:r>
      <w:r>
        <w:rPr>
          <w:rFonts w:hint="eastAsia" w:ascii="宋体" w:hAnsi="宋体" w:cs="宋体"/>
          <w:sz w:val="24"/>
          <w:szCs w:val="24"/>
        </w:rPr>
        <w:t>（以下简称:甲方）为一方与另一方</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（以下称乙方），特订立如下合同。</w:t>
      </w:r>
    </w:p>
    <w:p w14:paraId="28CA4F8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第一条  双方的权利和义务</w:t>
      </w:r>
    </w:p>
    <w:p w14:paraId="10FA00E6">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（一）严格遵守党和国家有关法律法规及交通运输部的有关规定。</w:t>
      </w:r>
    </w:p>
    <w:p w14:paraId="309E2A4D">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（二）严格执行</w:t>
      </w:r>
      <w:r>
        <w:rPr>
          <w:rFonts w:hint="eastAsia" w:ascii="宋体" w:hAnsi="宋体" w:cs="宋体"/>
          <w:sz w:val="24"/>
          <w:szCs w:val="24"/>
          <w:u w:val="single"/>
        </w:rPr>
        <w:t>红水河（曹渡河口至桥巩）三级航道工程船舶操纵仿真模拟试验专题</w:t>
      </w:r>
      <w:r>
        <w:rPr>
          <w:rFonts w:hint="eastAsia" w:ascii="宋体" w:hAnsi="宋体" w:cs="宋体"/>
          <w:sz w:val="24"/>
          <w:szCs w:val="24"/>
          <w:u w:val="single"/>
          <w:lang w:eastAsia="zh-CN"/>
        </w:rPr>
        <w:t>研究</w:t>
      </w:r>
      <w:r>
        <w:rPr>
          <w:rFonts w:hint="eastAsia" w:ascii="宋体" w:hAnsi="宋体" w:cs="宋体"/>
          <w:sz w:val="24"/>
          <w:szCs w:val="24"/>
          <w:u w:val="single"/>
        </w:rPr>
        <w:t>服务</w:t>
      </w:r>
      <w:r>
        <w:rPr>
          <w:rFonts w:hint="eastAsia" w:ascii="宋体" w:hAnsi="宋体" w:cs="宋体"/>
          <w:sz w:val="24"/>
          <w:szCs w:val="24"/>
        </w:rPr>
        <w:t>合同文件，自觉按合同办事。</w:t>
      </w:r>
    </w:p>
    <w:p w14:paraId="50806CB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（三）双方的业务活动坚持公开、公正、诚信、透明的原则（除法律认定的商业秘密和合同文件另有规定之外），不得损害国家和集体利益，违反工程建设管理规章制度。</w:t>
      </w:r>
    </w:p>
    <w:p w14:paraId="42D0C0AA">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（四）建立健全廉政制度，开展廉政教育，设立廉政告示牌，公布举报电话，监督并认真查处违法违纪行为。</w:t>
      </w:r>
    </w:p>
    <w:p w14:paraId="5E7B9261">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（五）发现对方在业务活动中有违反廉政规定的行为，有及时提醒对方纠正的权利和义务。</w:t>
      </w:r>
    </w:p>
    <w:p w14:paraId="14F4EB08">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（六）发现对方严重违反本合同义务条款的行为，有向其上级有关部门举报、建议给予处理并要求告知处理结果的权利。</w:t>
      </w:r>
    </w:p>
    <w:p w14:paraId="0AEF664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第二条 甲方的义务</w:t>
      </w:r>
    </w:p>
    <w:p w14:paraId="28B2035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（一）甲方及其工作人员不得索要或接受乙方的礼金、有价证券和贵重物品，不得让乙方报销任何应由甲方或个人支付的费用等。</w:t>
      </w:r>
    </w:p>
    <w:p w14:paraId="62D032AA">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（二）甲方工作人员不得参加乙方安排的超标准宴请和娱乐活动；不得接受乙方提供的通讯工具、交通工具和高档办公用品等。</w:t>
      </w:r>
    </w:p>
    <w:p w14:paraId="5CF305F7">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（三）甲方及其工作人员不得要求或者接受乙方为其住房装修、婚丧嫁娶活动、配偶子女的工作安排以及出国出境、旅游等提供方便等。</w:t>
      </w:r>
    </w:p>
    <w:p w14:paraId="5216627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（四）不准向乙方和相关单位介绍或为配偶、子女、亲属参与同甲方项目工程合同有关的咨询业务等活动。不得以任何理由要求乙方和相关单位在咨询中使用某种产品、材料和设备。</w:t>
      </w:r>
    </w:p>
    <w:p w14:paraId="01B7D35F">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第三条  乙方义务</w:t>
      </w:r>
    </w:p>
    <w:p w14:paraId="3C0B6BB1">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（一）乙方不得以任何理由向甲方及其工作人员行贿或馈赠礼金、有价证券、贵重礼品。</w:t>
      </w:r>
    </w:p>
    <w:p w14:paraId="3AF3363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（二）乙方不得以任何名义为甲方及其工作人员报销应由甲方单位或个人支付的任何费用。</w:t>
      </w:r>
    </w:p>
    <w:p w14:paraId="2A33C4D4">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（三）乙方不得以任何理由安排甲方工作人员参加超标准宴请及娱乐活动。</w:t>
      </w:r>
    </w:p>
    <w:p w14:paraId="728EA123">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（四）乙方不得为甲方单位和个人购置或提供通讯工具、交通工具和高档办公用品等。</w:t>
      </w:r>
    </w:p>
    <w:p w14:paraId="08FC42C8">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第四条  违约责任</w:t>
      </w:r>
    </w:p>
    <w:p w14:paraId="33C72B3E">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（一）甲方及其工作人员违反本合同第一、二条，按管理权限，依据有关规定给予党纪、政纪处分或组织处理；涉嫌犯罪的，移交司法机关追究刑事责任；给乙方单位造成经济损失的，应予以赔偿。</w:t>
      </w:r>
    </w:p>
    <w:p w14:paraId="102A3D73">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乙方及其工作人员违反本合同第一、三条，按管理权限，依据有关规定给予党纪、政纪处分或组织处理；给甲方单位造成经济损失的，应予以赔偿；情节严重的，甲方建议交通工程建设主管部门给予乙方一至三年内不得进入其主管的交通工程建设市场的处罚。</w:t>
      </w:r>
    </w:p>
    <w:p w14:paraId="34DB17BB">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五条：双方约定：本合同由双方或双方上级单位的纪检监察机关负责监督。由甲方或甲方上级单位的纪检监察机关约请乙方或乙方上级单位纪检监察机关对本合同履行情况进行检查，提出在本合同规定范围内的裁定意见。</w:t>
      </w:r>
    </w:p>
    <w:p w14:paraId="0DFD3ADF">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第六条  本合同自双方法定代表人或其委托代理人签字并加盖双方单位公章后、且甲方收到乙方的履约担保后生效，至本项目全部成果通过验收后终止。</w:t>
      </w:r>
    </w:p>
    <w:p w14:paraId="6FB68FB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第七条  本合同作为</w:t>
      </w:r>
      <w:r>
        <w:rPr>
          <w:rFonts w:hint="eastAsia" w:ascii="宋体" w:hAnsi="宋体" w:cs="宋体"/>
          <w:sz w:val="24"/>
          <w:szCs w:val="24"/>
          <w:u w:val="single"/>
        </w:rPr>
        <w:t xml:space="preserve"> 红水河（曹渡河口至桥巩）三级航道工程船舶操纵仿真模拟试验专题</w:t>
      </w:r>
      <w:r>
        <w:rPr>
          <w:rFonts w:hint="eastAsia" w:ascii="宋体" w:hAnsi="宋体" w:cs="宋体"/>
          <w:sz w:val="24"/>
          <w:szCs w:val="24"/>
          <w:u w:val="single"/>
          <w:lang w:eastAsia="zh-CN"/>
        </w:rPr>
        <w:t>研究</w:t>
      </w:r>
      <w:r>
        <w:rPr>
          <w:rFonts w:hint="eastAsia" w:ascii="宋体" w:hAnsi="宋体" w:cs="宋体"/>
          <w:sz w:val="24"/>
          <w:szCs w:val="24"/>
          <w:u w:val="single"/>
        </w:rPr>
        <w:t xml:space="preserve">服务 </w:t>
      </w:r>
      <w:r>
        <w:rPr>
          <w:rFonts w:hint="eastAsia" w:ascii="宋体" w:hAnsi="宋体" w:cs="宋体"/>
          <w:sz w:val="24"/>
          <w:szCs w:val="24"/>
        </w:rPr>
        <w:t>合同的附件，与咨询合同具有同等的法律效力。</w:t>
      </w:r>
    </w:p>
    <w:p w14:paraId="13887A85">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第八条  本合同一式</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份，甲方执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份，乙方各执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w:t>
      </w:r>
    </w:p>
    <w:p w14:paraId="069E8F55">
      <w:pPr>
        <w:pStyle w:val="5"/>
        <w:snapToGrid w:val="0"/>
        <w:spacing w:line="360" w:lineRule="auto"/>
        <w:ind w:firstLine="480"/>
        <w:rPr>
          <w:rFonts w:hint="eastAsia" w:ascii="宋体" w:hAnsi="宋体" w:cs="宋体"/>
          <w:szCs w:val="21"/>
        </w:rPr>
      </w:pPr>
    </w:p>
    <w:tbl>
      <w:tblPr>
        <w:tblStyle w:val="25"/>
        <w:tblW w:w="9070" w:type="dxa"/>
        <w:jc w:val="center"/>
        <w:tblLayout w:type="autofit"/>
        <w:tblCellMar>
          <w:top w:w="0" w:type="dxa"/>
          <w:left w:w="51" w:type="dxa"/>
          <w:bottom w:w="0" w:type="dxa"/>
          <w:right w:w="51" w:type="dxa"/>
        </w:tblCellMar>
      </w:tblPr>
      <w:tblGrid>
        <w:gridCol w:w="4395"/>
        <w:gridCol w:w="425"/>
        <w:gridCol w:w="4250"/>
      </w:tblGrid>
      <w:tr w14:paraId="44D4D2F1">
        <w:tblPrEx>
          <w:tblCellMar>
            <w:top w:w="0" w:type="dxa"/>
            <w:left w:w="51" w:type="dxa"/>
            <w:bottom w:w="0" w:type="dxa"/>
            <w:right w:w="51" w:type="dxa"/>
          </w:tblCellMar>
        </w:tblPrEx>
        <w:trPr>
          <w:trHeight w:val="1661" w:hRule="atLeast"/>
          <w:jc w:val="center"/>
        </w:trPr>
        <w:tc>
          <w:tcPr>
            <w:tcW w:w="4395" w:type="dxa"/>
            <w:vAlign w:val="center"/>
          </w:tcPr>
          <w:p w14:paraId="1C083A70">
            <w:pPr>
              <w:pStyle w:val="5"/>
              <w:spacing w:line="360" w:lineRule="auto"/>
              <w:ind w:firstLine="0"/>
              <w:rPr>
                <w:rFonts w:hint="eastAsia" w:ascii="宋体" w:hAnsi="宋体" w:cs="宋体"/>
                <w:szCs w:val="21"/>
              </w:rPr>
            </w:pPr>
          </w:p>
          <w:p w14:paraId="11C7CFE3">
            <w:pPr>
              <w:pStyle w:val="5"/>
              <w:spacing w:line="360" w:lineRule="auto"/>
              <w:ind w:firstLine="0"/>
              <w:rPr>
                <w:rFonts w:hint="eastAsia" w:ascii="宋体" w:hAnsi="宋体" w:cs="宋体"/>
                <w:szCs w:val="21"/>
              </w:rPr>
            </w:pPr>
            <w:r>
              <w:rPr>
                <w:rFonts w:hint="eastAsia" w:ascii="宋体" w:hAnsi="宋体" w:cs="宋体"/>
                <w:szCs w:val="21"/>
              </w:rPr>
              <w:t>甲方：广西壮族自治区水运发展中心（盖章）</w:t>
            </w:r>
          </w:p>
          <w:p w14:paraId="055FFDAE">
            <w:pPr>
              <w:pStyle w:val="5"/>
              <w:spacing w:line="360" w:lineRule="auto"/>
              <w:ind w:firstLine="0"/>
              <w:jc w:val="center"/>
              <w:rPr>
                <w:rFonts w:hint="eastAsia" w:ascii="宋体" w:hAnsi="宋体" w:cs="宋体"/>
                <w:szCs w:val="21"/>
              </w:rPr>
            </w:pPr>
          </w:p>
        </w:tc>
        <w:tc>
          <w:tcPr>
            <w:tcW w:w="425" w:type="dxa"/>
            <w:tcMar>
              <w:top w:w="0" w:type="dxa"/>
              <w:left w:w="0" w:type="dxa"/>
              <w:bottom w:w="0" w:type="dxa"/>
              <w:right w:w="0" w:type="dxa"/>
            </w:tcMar>
            <w:vAlign w:val="center"/>
          </w:tcPr>
          <w:p w14:paraId="2E5F1E92">
            <w:pPr>
              <w:pStyle w:val="5"/>
              <w:spacing w:line="360" w:lineRule="auto"/>
              <w:rPr>
                <w:rFonts w:hint="eastAsia" w:ascii="宋体" w:hAnsi="宋体" w:cs="宋体"/>
                <w:sz w:val="10"/>
                <w:szCs w:val="10"/>
              </w:rPr>
            </w:pPr>
          </w:p>
        </w:tc>
        <w:tc>
          <w:tcPr>
            <w:tcW w:w="4250" w:type="dxa"/>
            <w:vAlign w:val="center"/>
          </w:tcPr>
          <w:p w14:paraId="67C8C776">
            <w:pPr>
              <w:pStyle w:val="5"/>
              <w:spacing w:line="360" w:lineRule="auto"/>
              <w:ind w:firstLine="0"/>
              <w:rPr>
                <w:rFonts w:hint="eastAsia" w:ascii="宋体" w:hAnsi="宋体" w:cs="宋体"/>
                <w:szCs w:val="21"/>
              </w:rPr>
            </w:pPr>
          </w:p>
          <w:p w14:paraId="3A4E8056">
            <w:pPr>
              <w:pStyle w:val="5"/>
              <w:spacing w:line="360" w:lineRule="auto"/>
              <w:ind w:firstLine="0"/>
              <w:rPr>
                <w:rFonts w:hint="eastAsia" w:ascii="宋体" w:hAnsi="宋体" w:cs="宋体"/>
                <w:szCs w:val="21"/>
              </w:rPr>
            </w:pPr>
            <w:r>
              <w:rPr>
                <w:rFonts w:hint="eastAsia" w:ascii="宋体" w:hAnsi="宋体" w:cs="宋体"/>
                <w:szCs w:val="21"/>
              </w:rPr>
              <w:t>乙方：</w:t>
            </w:r>
            <w:r>
              <w:rPr>
                <w:rFonts w:hint="eastAsia" w:ascii="宋体" w:hAnsi="宋体" w:cs="宋体"/>
                <w:szCs w:val="21"/>
                <w:lang w:val="en-US" w:eastAsia="zh-CN"/>
              </w:rPr>
              <w:t xml:space="preserve"> </w:t>
            </w:r>
            <w:r>
              <w:rPr>
                <w:rFonts w:hint="eastAsia" w:ascii="宋体" w:hAnsi="宋体" w:cs="宋体"/>
                <w:szCs w:val="21"/>
              </w:rPr>
              <w:t>（盖章）</w:t>
            </w:r>
          </w:p>
          <w:p w14:paraId="11E150CC">
            <w:pPr>
              <w:pStyle w:val="5"/>
              <w:spacing w:line="360" w:lineRule="auto"/>
              <w:ind w:firstLine="0"/>
              <w:jc w:val="center"/>
              <w:rPr>
                <w:rFonts w:hint="eastAsia" w:ascii="宋体" w:hAnsi="宋体" w:cs="宋体"/>
                <w:szCs w:val="21"/>
              </w:rPr>
            </w:pPr>
          </w:p>
        </w:tc>
      </w:tr>
      <w:tr w14:paraId="623D2328">
        <w:tblPrEx>
          <w:tblCellMar>
            <w:top w:w="0" w:type="dxa"/>
            <w:left w:w="51" w:type="dxa"/>
            <w:bottom w:w="0" w:type="dxa"/>
            <w:right w:w="51" w:type="dxa"/>
          </w:tblCellMar>
        </w:tblPrEx>
        <w:trPr>
          <w:jc w:val="center"/>
        </w:trPr>
        <w:tc>
          <w:tcPr>
            <w:tcW w:w="4395" w:type="dxa"/>
          </w:tcPr>
          <w:p w14:paraId="2C60C77A">
            <w:pPr>
              <w:pStyle w:val="5"/>
              <w:spacing w:line="360" w:lineRule="auto"/>
              <w:ind w:firstLine="0"/>
              <w:rPr>
                <w:rFonts w:hint="eastAsia" w:ascii="宋体" w:hAnsi="宋体" w:cs="宋体"/>
                <w:szCs w:val="21"/>
              </w:rPr>
            </w:pPr>
            <w:r>
              <w:rPr>
                <w:rFonts w:hint="eastAsia" w:ascii="宋体" w:hAnsi="宋体" w:cs="宋体"/>
                <w:szCs w:val="21"/>
              </w:rPr>
              <w:t>法定代表人</w:t>
            </w:r>
          </w:p>
        </w:tc>
        <w:tc>
          <w:tcPr>
            <w:tcW w:w="425" w:type="dxa"/>
            <w:tcMar>
              <w:top w:w="0" w:type="dxa"/>
              <w:left w:w="0" w:type="dxa"/>
              <w:bottom w:w="0" w:type="dxa"/>
              <w:right w:w="0" w:type="dxa"/>
            </w:tcMar>
            <w:vAlign w:val="center"/>
          </w:tcPr>
          <w:p w14:paraId="5FECF083">
            <w:pPr>
              <w:pStyle w:val="5"/>
              <w:spacing w:line="360" w:lineRule="auto"/>
              <w:rPr>
                <w:rFonts w:hint="eastAsia" w:ascii="宋体" w:hAnsi="宋体" w:cs="宋体"/>
                <w:sz w:val="10"/>
                <w:szCs w:val="10"/>
              </w:rPr>
            </w:pPr>
          </w:p>
        </w:tc>
        <w:tc>
          <w:tcPr>
            <w:tcW w:w="4250" w:type="dxa"/>
          </w:tcPr>
          <w:p w14:paraId="29FB6AE4">
            <w:pPr>
              <w:pStyle w:val="5"/>
              <w:spacing w:line="360" w:lineRule="auto"/>
              <w:ind w:firstLine="0"/>
              <w:rPr>
                <w:rFonts w:hint="eastAsia" w:ascii="宋体" w:hAnsi="宋体" w:cs="宋体"/>
                <w:szCs w:val="21"/>
              </w:rPr>
            </w:pPr>
            <w:r>
              <w:rPr>
                <w:rFonts w:hint="eastAsia" w:ascii="宋体" w:hAnsi="宋体" w:cs="宋体"/>
                <w:szCs w:val="21"/>
              </w:rPr>
              <w:t>法定代表人</w:t>
            </w:r>
          </w:p>
        </w:tc>
      </w:tr>
      <w:tr w14:paraId="72264EC4">
        <w:tblPrEx>
          <w:tblCellMar>
            <w:top w:w="0" w:type="dxa"/>
            <w:left w:w="51" w:type="dxa"/>
            <w:bottom w:w="0" w:type="dxa"/>
            <w:right w:w="51" w:type="dxa"/>
          </w:tblCellMar>
        </w:tblPrEx>
        <w:trPr>
          <w:trHeight w:val="637" w:hRule="atLeast"/>
          <w:jc w:val="center"/>
        </w:trPr>
        <w:tc>
          <w:tcPr>
            <w:tcW w:w="4395" w:type="dxa"/>
          </w:tcPr>
          <w:p w14:paraId="342BDD7F">
            <w:pPr>
              <w:pStyle w:val="5"/>
              <w:ind w:firstLine="0"/>
              <w:rPr>
                <w:rFonts w:hint="eastAsia" w:ascii="宋体" w:hAnsi="宋体" w:cs="宋体"/>
                <w:szCs w:val="21"/>
              </w:rPr>
            </w:pPr>
            <w:r>
              <w:rPr>
                <w:rFonts w:hint="eastAsia" w:ascii="宋体" w:hAnsi="宋体" w:cs="宋体"/>
                <w:szCs w:val="21"/>
              </w:rPr>
              <w:t>或其委托代理人：</w:t>
            </w:r>
          </w:p>
          <w:p w14:paraId="4B36269A">
            <w:pPr>
              <w:pStyle w:val="5"/>
              <w:ind w:firstLine="0"/>
              <w:rPr>
                <w:rFonts w:hint="eastAsia" w:ascii="宋体" w:hAnsi="宋体" w:cs="宋体"/>
                <w:szCs w:val="21"/>
              </w:rPr>
            </w:pPr>
            <w:r>
              <w:rPr>
                <w:rFonts w:hint="eastAsia" w:ascii="宋体" w:hAnsi="宋体" w:cs="宋体"/>
                <w:szCs w:val="21"/>
              </w:rPr>
              <w:t>（签章）</w:t>
            </w:r>
          </w:p>
        </w:tc>
        <w:tc>
          <w:tcPr>
            <w:tcW w:w="425" w:type="dxa"/>
            <w:tcMar>
              <w:top w:w="0" w:type="dxa"/>
              <w:left w:w="0" w:type="dxa"/>
              <w:bottom w:w="0" w:type="dxa"/>
              <w:right w:w="0" w:type="dxa"/>
            </w:tcMar>
            <w:vAlign w:val="center"/>
          </w:tcPr>
          <w:p w14:paraId="0257D13F">
            <w:pPr>
              <w:pStyle w:val="5"/>
              <w:spacing w:line="360" w:lineRule="auto"/>
              <w:rPr>
                <w:rFonts w:hint="eastAsia" w:ascii="宋体" w:hAnsi="宋体" w:cs="宋体"/>
                <w:sz w:val="10"/>
                <w:szCs w:val="10"/>
              </w:rPr>
            </w:pPr>
          </w:p>
        </w:tc>
        <w:tc>
          <w:tcPr>
            <w:tcW w:w="4250" w:type="dxa"/>
          </w:tcPr>
          <w:p w14:paraId="3C009D0C">
            <w:pPr>
              <w:pStyle w:val="5"/>
              <w:ind w:firstLine="0"/>
              <w:rPr>
                <w:rFonts w:hint="eastAsia" w:ascii="宋体" w:hAnsi="宋体" w:cs="宋体"/>
                <w:szCs w:val="21"/>
              </w:rPr>
            </w:pPr>
            <w:r>
              <w:rPr>
                <w:rFonts w:hint="eastAsia" w:ascii="宋体" w:hAnsi="宋体" w:cs="宋体"/>
                <w:szCs w:val="21"/>
              </w:rPr>
              <w:t>或其委托代理人：</w:t>
            </w:r>
          </w:p>
          <w:p w14:paraId="779F8057">
            <w:pPr>
              <w:pStyle w:val="5"/>
              <w:ind w:firstLine="0"/>
              <w:rPr>
                <w:rFonts w:hint="eastAsia" w:ascii="宋体" w:hAnsi="宋体" w:cs="宋体"/>
                <w:szCs w:val="21"/>
              </w:rPr>
            </w:pPr>
            <w:r>
              <w:rPr>
                <w:rFonts w:hint="eastAsia" w:ascii="宋体" w:hAnsi="宋体" w:cs="宋体"/>
                <w:szCs w:val="21"/>
              </w:rPr>
              <w:t>（签章）</w:t>
            </w:r>
          </w:p>
        </w:tc>
      </w:tr>
      <w:tr w14:paraId="673D5EBB">
        <w:tblPrEx>
          <w:tblCellMar>
            <w:top w:w="0" w:type="dxa"/>
            <w:left w:w="51" w:type="dxa"/>
            <w:bottom w:w="0" w:type="dxa"/>
            <w:right w:w="51" w:type="dxa"/>
          </w:tblCellMar>
        </w:tblPrEx>
        <w:trPr>
          <w:jc w:val="center"/>
        </w:trPr>
        <w:tc>
          <w:tcPr>
            <w:tcW w:w="4395" w:type="dxa"/>
            <w:vAlign w:val="center"/>
          </w:tcPr>
          <w:p w14:paraId="04248564">
            <w:pPr>
              <w:pStyle w:val="5"/>
              <w:spacing w:line="360" w:lineRule="auto"/>
              <w:ind w:firstLine="0"/>
              <w:rPr>
                <w:rFonts w:hint="eastAsia" w:ascii="宋体" w:hAnsi="宋体" w:cs="宋体"/>
                <w:szCs w:val="21"/>
              </w:rPr>
            </w:pPr>
            <w:r>
              <w:rPr>
                <w:rFonts w:hint="eastAsia" w:ascii="宋体" w:hAnsi="宋体" w:cs="宋体"/>
                <w:szCs w:val="21"/>
              </w:rPr>
              <w:t>单位地址：南宁市青秀区百花岭路6号</w:t>
            </w:r>
          </w:p>
        </w:tc>
        <w:tc>
          <w:tcPr>
            <w:tcW w:w="425" w:type="dxa"/>
          </w:tcPr>
          <w:p w14:paraId="2C03012D">
            <w:pPr>
              <w:pStyle w:val="5"/>
              <w:spacing w:line="360" w:lineRule="auto"/>
              <w:rPr>
                <w:rFonts w:hint="eastAsia" w:ascii="宋体" w:hAnsi="宋体" w:cs="宋体"/>
                <w:sz w:val="10"/>
                <w:szCs w:val="10"/>
              </w:rPr>
            </w:pPr>
          </w:p>
        </w:tc>
        <w:tc>
          <w:tcPr>
            <w:tcW w:w="4250" w:type="dxa"/>
            <w:vAlign w:val="center"/>
          </w:tcPr>
          <w:p w14:paraId="3973EEBF">
            <w:pPr>
              <w:pStyle w:val="5"/>
              <w:spacing w:line="360" w:lineRule="auto"/>
              <w:ind w:firstLine="0"/>
              <w:rPr>
                <w:rFonts w:hint="eastAsia" w:ascii="宋体" w:hAnsi="宋体" w:eastAsia="宋体" w:cs="宋体"/>
                <w:szCs w:val="21"/>
                <w:lang w:eastAsia="zh-CN"/>
              </w:rPr>
            </w:pPr>
            <w:r>
              <w:rPr>
                <w:rFonts w:hint="eastAsia" w:ascii="宋体" w:hAnsi="宋体" w:cs="宋体"/>
                <w:szCs w:val="21"/>
              </w:rPr>
              <w:t>单位地址：</w:t>
            </w:r>
            <w:r>
              <w:rPr>
                <w:rFonts w:hint="eastAsia" w:ascii="宋体" w:hAnsi="宋体" w:cs="宋体"/>
                <w:szCs w:val="21"/>
                <w:lang w:val="en-US" w:eastAsia="zh-CN"/>
              </w:rPr>
              <w:t xml:space="preserve"> </w:t>
            </w:r>
          </w:p>
        </w:tc>
      </w:tr>
      <w:tr w14:paraId="67D30FAD">
        <w:tblPrEx>
          <w:tblCellMar>
            <w:top w:w="0" w:type="dxa"/>
            <w:left w:w="51" w:type="dxa"/>
            <w:bottom w:w="0" w:type="dxa"/>
            <w:right w:w="51" w:type="dxa"/>
          </w:tblCellMar>
        </w:tblPrEx>
        <w:trPr>
          <w:jc w:val="center"/>
        </w:trPr>
        <w:tc>
          <w:tcPr>
            <w:tcW w:w="4395" w:type="dxa"/>
            <w:vAlign w:val="center"/>
          </w:tcPr>
          <w:p w14:paraId="02C683A4">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c>
          <w:tcPr>
            <w:tcW w:w="425" w:type="dxa"/>
          </w:tcPr>
          <w:p w14:paraId="15CAB4B1">
            <w:pPr>
              <w:pStyle w:val="5"/>
              <w:spacing w:line="360" w:lineRule="auto"/>
              <w:rPr>
                <w:rFonts w:hint="eastAsia" w:ascii="宋体" w:hAnsi="宋体" w:cs="宋体"/>
                <w:sz w:val="10"/>
                <w:szCs w:val="10"/>
              </w:rPr>
            </w:pPr>
          </w:p>
        </w:tc>
        <w:tc>
          <w:tcPr>
            <w:tcW w:w="4250" w:type="dxa"/>
            <w:vAlign w:val="center"/>
          </w:tcPr>
          <w:p w14:paraId="29668A5B">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r>
      <w:tr w14:paraId="049AF9C0">
        <w:tblPrEx>
          <w:tblCellMar>
            <w:top w:w="0" w:type="dxa"/>
            <w:left w:w="51" w:type="dxa"/>
            <w:bottom w:w="0" w:type="dxa"/>
            <w:right w:w="51" w:type="dxa"/>
          </w:tblCellMar>
        </w:tblPrEx>
        <w:trPr>
          <w:jc w:val="center"/>
        </w:trPr>
        <w:tc>
          <w:tcPr>
            <w:tcW w:w="4395" w:type="dxa"/>
            <w:vAlign w:val="center"/>
          </w:tcPr>
          <w:p w14:paraId="5FD76B16">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c>
          <w:tcPr>
            <w:tcW w:w="425" w:type="dxa"/>
          </w:tcPr>
          <w:p w14:paraId="650955F0">
            <w:pPr>
              <w:pStyle w:val="5"/>
              <w:spacing w:line="360" w:lineRule="auto"/>
              <w:rPr>
                <w:rFonts w:hint="eastAsia" w:ascii="宋体" w:hAnsi="宋体" w:cs="宋体"/>
                <w:sz w:val="10"/>
                <w:szCs w:val="10"/>
              </w:rPr>
            </w:pPr>
          </w:p>
        </w:tc>
        <w:tc>
          <w:tcPr>
            <w:tcW w:w="4250" w:type="dxa"/>
            <w:vAlign w:val="center"/>
          </w:tcPr>
          <w:p w14:paraId="7C93EA41">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r>
      <w:tr w14:paraId="058E6F5B">
        <w:tblPrEx>
          <w:tblCellMar>
            <w:top w:w="0" w:type="dxa"/>
            <w:left w:w="51" w:type="dxa"/>
            <w:bottom w:w="0" w:type="dxa"/>
            <w:right w:w="51" w:type="dxa"/>
          </w:tblCellMar>
        </w:tblPrEx>
        <w:trPr>
          <w:trHeight w:val="276" w:hRule="atLeast"/>
          <w:jc w:val="center"/>
        </w:trPr>
        <w:tc>
          <w:tcPr>
            <w:tcW w:w="4395" w:type="dxa"/>
            <w:vAlign w:val="center"/>
          </w:tcPr>
          <w:p w14:paraId="69265704">
            <w:pPr>
              <w:pStyle w:val="5"/>
              <w:spacing w:line="360" w:lineRule="auto"/>
              <w:ind w:firstLine="0"/>
              <w:rPr>
                <w:rFonts w:hint="eastAsia" w:ascii="宋体" w:hAnsi="宋体" w:cs="宋体"/>
                <w:szCs w:val="21"/>
              </w:rPr>
            </w:pPr>
          </w:p>
        </w:tc>
        <w:tc>
          <w:tcPr>
            <w:tcW w:w="425" w:type="dxa"/>
          </w:tcPr>
          <w:p w14:paraId="43335E72">
            <w:pPr>
              <w:pStyle w:val="5"/>
              <w:spacing w:line="360" w:lineRule="auto"/>
              <w:rPr>
                <w:rFonts w:hint="eastAsia" w:ascii="宋体" w:hAnsi="宋体" w:cs="宋体"/>
                <w:sz w:val="10"/>
                <w:szCs w:val="10"/>
              </w:rPr>
            </w:pPr>
          </w:p>
        </w:tc>
        <w:tc>
          <w:tcPr>
            <w:tcW w:w="4250" w:type="dxa"/>
            <w:vAlign w:val="center"/>
          </w:tcPr>
          <w:p w14:paraId="10077D43">
            <w:pPr>
              <w:pStyle w:val="5"/>
              <w:spacing w:line="360" w:lineRule="auto"/>
              <w:ind w:firstLine="0"/>
              <w:rPr>
                <w:rFonts w:hint="eastAsia" w:ascii="宋体" w:hAnsi="宋体" w:cs="宋体"/>
                <w:szCs w:val="21"/>
              </w:rPr>
            </w:pPr>
          </w:p>
        </w:tc>
      </w:tr>
      <w:tr w14:paraId="3BC24475">
        <w:tblPrEx>
          <w:tblCellMar>
            <w:top w:w="0" w:type="dxa"/>
            <w:left w:w="51" w:type="dxa"/>
            <w:bottom w:w="0" w:type="dxa"/>
            <w:right w:w="51" w:type="dxa"/>
          </w:tblCellMar>
        </w:tblPrEx>
        <w:trPr>
          <w:jc w:val="center"/>
        </w:trPr>
        <w:tc>
          <w:tcPr>
            <w:tcW w:w="9070" w:type="dxa"/>
            <w:gridSpan w:val="3"/>
            <w:vAlign w:val="center"/>
          </w:tcPr>
          <w:p w14:paraId="584715F4">
            <w:pPr>
              <w:pStyle w:val="5"/>
              <w:spacing w:line="360" w:lineRule="auto"/>
              <w:ind w:firstLine="0"/>
              <w:jc w:val="center"/>
              <w:rPr>
                <w:rFonts w:hint="eastAsia" w:ascii="宋体" w:hAnsi="宋体" w:cs="宋体"/>
                <w:szCs w:val="21"/>
              </w:rPr>
            </w:pPr>
            <w:r>
              <w:rPr>
                <w:rFonts w:hint="eastAsia" w:ascii="宋体" w:hAnsi="宋体" w:cs="宋体"/>
                <w:szCs w:val="21"/>
              </w:rPr>
              <w:t>签订日期：</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bookmarkEnd w:id="296"/>
      <w:bookmarkEnd w:id="297"/>
      <w:bookmarkEnd w:id="298"/>
      <w:bookmarkEnd w:id="299"/>
      <w:bookmarkEnd w:id="300"/>
      <w:bookmarkEnd w:id="301"/>
      <w:bookmarkEnd w:id="302"/>
      <w:bookmarkEnd w:id="303"/>
      <w:bookmarkEnd w:id="316"/>
      <w:bookmarkEnd w:id="317"/>
      <w:bookmarkEnd w:id="318"/>
    </w:tbl>
    <w:p w14:paraId="650911AC">
      <w:pPr>
        <w:pStyle w:val="31"/>
        <w:ind w:firstLine="0" w:firstLineChars="0"/>
        <w:jc w:val="both"/>
        <w:rPr>
          <w:b/>
          <w:bCs/>
          <w:color w:val="auto"/>
          <w:sz w:val="44"/>
          <w:szCs w:val="44"/>
          <w:highlight w:val="none"/>
        </w:rPr>
      </w:pPr>
    </w:p>
    <w:sectPr>
      <w:footerReference r:id="rId9" w:type="first"/>
      <w:headerReference r:id="rId7" w:type="default"/>
      <w:footerReference r:id="rId8" w:type="default"/>
      <w:pgSz w:w="11906" w:h="16838"/>
      <w:pgMar w:top="1134" w:right="1134" w:bottom="1134" w:left="1134" w:header="851" w:footer="567"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75F87">
    <w:pPr>
      <w:pStyle w:val="17"/>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0C1DE230">
                          <w:pPr>
                            <w:pStyle w:val="17"/>
                          </w:pPr>
                          <w:r>
                            <w:fldChar w:fldCharType="begin"/>
                          </w:r>
                          <w:r>
                            <w:instrText xml:space="preserve"> PAGE  \* MERGEFORMAT </w:instrText>
                          </w:r>
                          <w:r>
                            <w:fldChar w:fldCharType="separate"/>
                          </w:r>
                          <w:r>
                            <w:t>20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4vdRNAAAAACAQAADwAAAAAAAAABACAAAAAiAAAAZHJzL2Rvd25yZXYueG1s&#10;UEsBAhQAFAAAAAgAh07iQNG89CvHAQAAigMAAA4AAAAAAAAAAQAgAAAAHwEAAGRycy9lMm9Eb2Mu&#10;eG1sUEsFBgAAAAAGAAYAWQEAAFgFAAAAAA==&#10;">
              <v:fill on="f" focussize="0,0"/>
              <v:stroke on="f"/>
              <v:imagedata o:title=""/>
              <o:lock v:ext="edit" aspectratio="f"/>
              <v:textbox inset="0mm,0mm,0mm,0mm" style="mso-fit-shape-to-text:t;">
                <w:txbxContent>
                  <w:p w14:paraId="0C1DE230">
                    <w:pPr>
                      <w:pStyle w:val="17"/>
                    </w:pPr>
                    <w:r>
                      <w:fldChar w:fldCharType="begin"/>
                    </w:r>
                    <w:r>
                      <w:instrText xml:space="preserve"> PAGE  \* MERGEFORMAT </w:instrText>
                    </w:r>
                    <w:r>
                      <w:fldChar w:fldCharType="separate"/>
                    </w:r>
                    <w:r>
                      <w:t>20</w:t>
                    </w:r>
                    <w:r>
                      <w:fldChar w:fldCharType="end"/>
                    </w:r>
                  </w:p>
                </w:txbxContent>
              </v:textbox>
            </v:shape>
          </w:pict>
        </mc:Fallback>
      </mc:AlternateContent>
    </w:r>
  </w:p>
  <w:p w14:paraId="098A3566">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7785">
    <w:pPr>
      <w:pStyle w:val="17"/>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5303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wps:spPr>
                    <wps:txbx>
                      <w:txbxContent>
                        <w:p w14:paraId="7AD98580"/>
                      </w:txbxContent>
                    </wps:txbx>
                    <wps:bodyPr wrap="none" lIns="0" tIns="0" rIns="0" bIns="0">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2336;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kFT5rQAAAAAwEAAA8AAAAAAAAAAQAgAAAAIgAAAGRycy9kb3ducmV2LnhtbFBL&#10;AQIUABQAAAAIAIdO4kBUxB8bxQEAAIsDAAAOAAAAAAAAAAEAIAAAAB8BAABkcnMvZTJvRG9jLnht&#10;bFBLBQYAAAAABgAGAFkBAABWBQAAAAA=&#10;">
              <v:fill on="f" focussize="0,0"/>
              <v:stroke on="f"/>
              <v:imagedata o:title=""/>
              <o:lock v:ext="edit" aspectratio="f"/>
              <v:textbox inset="0mm,0mm,0mm,0mm" style="mso-fit-shape-to-text:t;">
                <w:txbxContent>
                  <w:p w14:paraId="7AD9858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59EBD">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43724D02">
                          <w:pPr>
                            <w:pStyle w:val="17"/>
                            <w:jc w:val="center"/>
                          </w:pPr>
                          <w:r>
                            <w:fldChar w:fldCharType="begin"/>
                          </w:r>
                          <w:r>
                            <w:instrText xml:space="preserve"> PAGE  \* MERGEFORMAT </w:instrText>
                          </w:r>
                          <w:r>
                            <w:fldChar w:fldCharType="separate"/>
                          </w:r>
                          <w:r>
                            <w:t>38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D5X5J0AAAAAMBAAAPAAAAAAAAAAEAIAAAACIAAABkcnMvZG93bnJldi54bWxQ&#10;SwECFAAUAAAACACHTuJAt87d2MYBAACLAwAADgAAAAAAAAABACAAAAAfAQAAZHJzL2Uyb0RvYy54&#10;bWxQSwUGAAAAAAYABgBZAQAAVwUAAAAA&#10;">
              <v:fill on="f" focussize="0,0"/>
              <v:stroke on="f"/>
              <v:imagedata o:title=""/>
              <o:lock v:ext="edit" aspectratio="f"/>
              <v:textbox inset="0mm,0mm,0mm,0mm" style="mso-fit-shape-to-text:t;">
                <w:txbxContent>
                  <w:p w14:paraId="43724D02">
                    <w:pPr>
                      <w:pStyle w:val="17"/>
                      <w:jc w:val="center"/>
                    </w:pPr>
                    <w:r>
                      <w:fldChar w:fldCharType="begin"/>
                    </w:r>
                    <w:r>
                      <w:instrText xml:space="preserve"> PAGE  \* MERGEFORMAT </w:instrText>
                    </w:r>
                    <w:r>
                      <w:fldChar w:fldCharType="separate"/>
                    </w:r>
                    <w:r>
                      <w:t>38</w:t>
                    </w:r>
                    <w:r>
                      <w:fldChar w:fldCharType="end"/>
                    </w:r>
                  </w:p>
                </w:txbxContent>
              </v:textbox>
            </v:shape>
          </w:pict>
        </mc:Fallback>
      </mc:AlternateContent>
    </w:r>
  </w:p>
  <w:p w14:paraId="1DAA0BBC">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07C61">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31100E0B">
                          <w:pPr>
                            <w:pStyle w:val="17"/>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V+SdAAAAADAQAADwAAAAAAAAABACAAAAAiAAAAZHJzL2Rvd25yZXYueG1s&#10;UEsBAhQAFAAAAAgAh07iQDhQJ3LHAQAAiwMAAA4AAAAAAAAAAQAgAAAAHwEAAGRycy9lMm9Eb2Mu&#10;eG1sUEsFBgAAAAAGAAYAWQEAAFgFAAAAAA==&#10;">
              <v:fill on="f" focussize="0,0"/>
              <v:stroke on="f"/>
              <v:imagedata o:title=""/>
              <o:lock v:ext="edit" aspectratio="f"/>
              <v:textbox inset="0mm,0mm,0mm,0mm" style="mso-fit-shape-to-text:t;">
                <w:txbxContent>
                  <w:p w14:paraId="31100E0B">
                    <w:pPr>
                      <w:pStyle w:val="17"/>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D0D21">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C40D6">
    <w:pPr>
      <w:pStyle w:val="1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D3197">
    <w:pPr>
      <w:pStyle w:val="18"/>
      <w:pBdr>
        <w:bottom w:val="none" w:color="auto" w:sz="0" w:space="0"/>
      </w:pBdr>
      <w:tabs>
        <w:tab w:val="center" w:pos="0"/>
        <w:tab w:val="left" w:pos="8306"/>
        <w:tab w:val="clear" w:pos="415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1OTAyNjUwMzAwOTUzNDY4MDgzZGQ4NmQxNDljMzUifQ=="/>
  </w:docVars>
  <w:rsids>
    <w:rsidRoot w:val="34C93999"/>
    <w:rsid w:val="00024F75"/>
    <w:rsid w:val="000B2587"/>
    <w:rsid w:val="000C3020"/>
    <w:rsid w:val="000D1C12"/>
    <w:rsid w:val="001077E5"/>
    <w:rsid w:val="00110E50"/>
    <w:rsid w:val="00120044"/>
    <w:rsid w:val="001249E5"/>
    <w:rsid w:val="001370CC"/>
    <w:rsid w:val="001943F3"/>
    <w:rsid w:val="00197D7C"/>
    <w:rsid w:val="002074A1"/>
    <w:rsid w:val="0024633E"/>
    <w:rsid w:val="002A321A"/>
    <w:rsid w:val="002E0DBD"/>
    <w:rsid w:val="002F2BC6"/>
    <w:rsid w:val="00337FF8"/>
    <w:rsid w:val="00356FF0"/>
    <w:rsid w:val="00376890"/>
    <w:rsid w:val="003914E4"/>
    <w:rsid w:val="003A58E6"/>
    <w:rsid w:val="003C697E"/>
    <w:rsid w:val="004129E9"/>
    <w:rsid w:val="004136C7"/>
    <w:rsid w:val="00426ECB"/>
    <w:rsid w:val="00437639"/>
    <w:rsid w:val="00445134"/>
    <w:rsid w:val="00463433"/>
    <w:rsid w:val="004759B0"/>
    <w:rsid w:val="004A514D"/>
    <w:rsid w:val="004B2FF5"/>
    <w:rsid w:val="004C2157"/>
    <w:rsid w:val="004C23B8"/>
    <w:rsid w:val="004F44A0"/>
    <w:rsid w:val="00513C9C"/>
    <w:rsid w:val="005169C0"/>
    <w:rsid w:val="00560754"/>
    <w:rsid w:val="005750CF"/>
    <w:rsid w:val="0057562B"/>
    <w:rsid w:val="005D741C"/>
    <w:rsid w:val="00644C63"/>
    <w:rsid w:val="0065328C"/>
    <w:rsid w:val="0067215E"/>
    <w:rsid w:val="006909B7"/>
    <w:rsid w:val="006C69FB"/>
    <w:rsid w:val="006D1841"/>
    <w:rsid w:val="006D1962"/>
    <w:rsid w:val="006E12E6"/>
    <w:rsid w:val="006F21CF"/>
    <w:rsid w:val="0074337D"/>
    <w:rsid w:val="0075157B"/>
    <w:rsid w:val="00781CD2"/>
    <w:rsid w:val="00795E21"/>
    <w:rsid w:val="007C12D2"/>
    <w:rsid w:val="007C77CE"/>
    <w:rsid w:val="007F27CB"/>
    <w:rsid w:val="007F6099"/>
    <w:rsid w:val="00833F13"/>
    <w:rsid w:val="0087406B"/>
    <w:rsid w:val="008B4D30"/>
    <w:rsid w:val="008D7B67"/>
    <w:rsid w:val="00923A67"/>
    <w:rsid w:val="009545EB"/>
    <w:rsid w:val="009F2F68"/>
    <w:rsid w:val="00A14D97"/>
    <w:rsid w:val="00A368F1"/>
    <w:rsid w:val="00A66DC7"/>
    <w:rsid w:val="00A808C0"/>
    <w:rsid w:val="00A91449"/>
    <w:rsid w:val="00AF6A6D"/>
    <w:rsid w:val="00B2161F"/>
    <w:rsid w:val="00B2494B"/>
    <w:rsid w:val="00B47223"/>
    <w:rsid w:val="00B66956"/>
    <w:rsid w:val="00B74FA0"/>
    <w:rsid w:val="00B8174C"/>
    <w:rsid w:val="00B8222F"/>
    <w:rsid w:val="00BB6DD5"/>
    <w:rsid w:val="00BF6D0E"/>
    <w:rsid w:val="00C03FA9"/>
    <w:rsid w:val="00C26B47"/>
    <w:rsid w:val="00C30C5D"/>
    <w:rsid w:val="00C50E49"/>
    <w:rsid w:val="00C74DE9"/>
    <w:rsid w:val="00C96759"/>
    <w:rsid w:val="00CC1689"/>
    <w:rsid w:val="00CC303F"/>
    <w:rsid w:val="00D028CA"/>
    <w:rsid w:val="00D0295C"/>
    <w:rsid w:val="00D45E9B"/>
    <w:rsid w:val="00D80D26"/>
    <w:rsid w:val="00D8107C"/>
    <w:rsid w:val="00D856B9"/>
    <w:rsid w:val="00D94B29"/>
    <w:rsid w:val="00D96E53"/>
    <w:rsid w:val="00DA6169"/>
    <w:rsid w:val="00DE3D00"/>
    <w:rsid w:val="00DF6716"/>
    <w:rsid w:val="00E15E97"/>
    <w:rsid w:val="00E46AD2"/>
    <w:rsid w:val="00E73E52"/>
    <w:rsid w:val="00EA1794"/>
    <w:rsid w:val="00EA17BF"/>
    <w:rsid w:val="00EC3DEE"/>
    <w:rsid w:val="00F21422"/>
    <w:rsid w:val="00F26B11"/>
    <w:rsid w:val="00F464C3"/>
    <w:rsid w:val="00FD2DED"/>
    <w:rsid w:val="015837E7"/>
    <w:rsid w:val="019404F8"/>
    <w:rsid w:val="01B97F5E"/>
    <w:rsid w:val="023A2582"/>
    <w:rsid w:val="0241242E"/>
    <w:rsid w:val="02532161"/>
    <w:rsid w:val="02777065"/>
    <w:rsid w:val="02860B12"/>
    <w:rsid w:val="02FF20EF"/>
    <w:rsid w:val="03121CB1"/>
    <w:rsid w:val="03327053"/>
    <w:rsid w:val="038E6260"/>
    <w:rsid w:val="03F86B1C"/>
    <w:rsid w:val="047932FF"/>
    <w:rsid w:val="047D34C5"/>
    <w:rsid w:val="04A04910"/>
    <w:rsid w:val="04EA18B4"/>
    <w:rsid w:val="04F80D9E"/>
    <w:rsid w:val="05017C52"/>
    <w:rsid w:val="056C0210"/>
    <w:rsid w:val="05AC2A96"/>
    <w:rsid w:val="05D073C6"/>
    <w:rsid w:val="06093262"/>
    <w:rsid w:val="0650484D"/>
    <w:rsid w:val="06AB56C6"/>
    <w:rsid w:val="06B55160"/>
    <w:rsid w:val="06DD0D61"/>
    <w:rsid w:val="06E1398D"/>
    <w:rsid w:val="06E65352"/>
    <w:rsid w:val="07124399"/>
    <w:rsid w:val="07135F64"/>
    <w:rsid w:val="074F5A1D"/>
    <w:rsid w:val="07635DC6"/>
    <w:rsid w:val="08013031"/>
    <w:rsid w:val="08640C24"/>
    <w:rsid w:val="08C77405"/>
    <w:rsid w:val="08FB3710"/>
    <w:rsid w:val="08FB7730"/>
    <w:rsid w:val="08FC70AE"/>
    <w:rsid w:val="0925661E"/>
    <w:rsid w:val="094B3982"/>
    <w:rsid w:val="09CC40B1"/>
    <w:rsid w:val="0AEB7501"/>
    <w:rsid w:val="0B705B32"/>
    <w:rsid w:val="0B7F7B23"/>
    <w:rsid w:val="0C154AE6"/>
    <w:rsid w:val="0C156260"/>
    <w:rsid w:val="0C510D41"/>
    <w:rsid w:val="0C71390F"/>
    <w:rsid w:val="0C780787"/>
    <w:rsid w:val="0CAC2B9A"/>
    <w:rsid w:val="0CC84203"/>
    <w:rsid w:val="0CFD1647"/>
    <w:rsid w:val="0D693D8C"/>
    <w:rsid w:val="0DC14423"/>
    <w:rsid w:val="0E047436"/>
    <w:rsid w:val="0E630A57"/>
    <w:rsid w:val="0EC145B8"/>
    <w:rsid w:val="0ECC18E9"/>
    <w:rsid w:val="0F2D5DBF"/>
    <w:rsid w:val="0F87169C"/>
    <w:rsid w:val="10233173"/>
    <w:rsid w:val="102962AF"/>
    <w:rsid w:val="115351DC"/>
    <w:rsid w:val="11651569"/>
    <w:rsid w:val="11CE52C6"/>
    <w:rsid w:val="1238175F"/>
    <w:rsid w:val="12C435FB"/>
    <w:rsid w:val="13D50C28"/>
    <w:rsid w:val="13FF1575"/>
    <w:rsid w:val="141510EF"/>
    <w:rsid w:val="14171240"/>
    <w:rsid w:val="144D4C62"/>
    <w:rsid w:val="14F25809"/>
    <w:rsid w:val="15055A09"/>
    <w:rsid w:val="153A762E"/>
    <w:rsid w:val="15D76C42"/>
    <w:rsid w:val="172C078B"/>
    <w:rsid w:val="173819A8"/>
    <w:rsid w:val="178D2C0D"/>
    <w:rsid w:val="17F7561A"/>
    <w:rsid w:val="18517B09"/>
    <w:rsid w:val="185C36C6"/>
    <w:rsid w:val="18610CDC"/>
    <w:rsid w:val="189310B2"/>
    <w:rsid w:val="189A5F9C"/>
    <w:rsid w:val="18AE37F5"/>
    <w:rsid w:val="18F5277F"/>
    <w:rsid w:val="1930354C"/>
    <w:rsid w:val="199B6470"/>
    <w:rsid w:val="1A295749"/>
    <w:rsid w:val="1A512A09"/>
    <w:rsid w:val="1A516B2E"/>
    <w:rsid w:val="1A5D3725"/>
    <w:rsid w:val="1A7E6175"/>
    <w:rsid w:val="1AA21A2F"/>
    <w:rsid w:val="1AE00FE3"/>
    <w:rsid w:val="1AFC6F03"/>
    <w:rsid w:val="1B23068A"/>
    <w:rsid w:val="1B8A054A"/>
    <w:rsid w:val="1B997902"/>
    <w:rsid w:val="1C01115D"/>
    <w:rsid w:val="1C2009E4"/>
    <w:rsid w:val="1C7E3439"/>
    <w:rsid w:val="1C827473"/>
    <w:rsid w:val="1CBD33BE"/>
    <w:rsid w:val="1D216C8C"/>
    <w:rsid w:val="1D594AE3"/>
    <w:rsid w:val="1D617DC0"/>
    <w:rsid w:val="1D746DE1"/>
    <w:rsid w:val="1E27556E"/>
    <w:rsid w:val="1E2A6984"/>
    <w:rsid w:val="1F19738B"/>
    <w:rsid w:val="1F3033A9"/>
    <w:rsid w:val="1F3507CD"/>
    <w:rsid w:val="1F9C381F"/>
    <w:rsid w:val="200077CF"/>
    <w:rsid w:val="20880961"/>
    <w:rsid w:val="2091237A"/>
    <w:rsid w:val="20992FDD"/>
    <w:rsid w:val="20BD316F"/>
    <w:rsid w:val="20BE4ACB"/>
    <w:rsid w:val="20BF7061"/>
    <w:rsid w:val="20E95A81"/>
    <w:rsid w:val="20EC5803"/>
    <w:rsid w:val="21073EBF"/>
    <w:rsid w:val="21246D4B"/>
    <w:rsid w:val="21510141"/>
    <w:rsid w:val="21837F15"/>
    <w:rsid w:val="21AE2AB8"/>
    <w:rsid w:val="222B119F"/>
    <w:rsid w:val="22381879"/>
    <w:rsid w:val="224156DA"/>
    <w:rsid w:val="22AA2231"/>
    <w:rsid w:val="22EE13BE"/>
    <w:rsid w:val="23571659"/>
    <w:rsid w:val="236B2A0F"/>
    <w:rsid w:val="23D7424E"/>
    <w:rsid w:val="241237D2"/>
    <w:rsid w:val="242B31D9"/>
    <w:rsid w:val="24341D04"/>
    <w:rsid w:val="244D480A"/>
    <w:rsid w:val="2547125A"/>
    <w:rsid w:val="263A355B"/>
    <w:rsid w:val="263D5FAD"/>
    <w:rsid w:val="266E0A9E"/>
    <w:rsid w:val="26B714BD"/>
    <w:rsid w:val="26CE26D3"/>
    <w:rsid w:val="26FE003E"/>
    <w:rsid w:val="2712620C"/>
    <w:rsid w:val="27206206"/>
    <w:rsid w:val="272F01F7"/>
    <w:rsid w:val="274E2D73"/>
    <w:rsid w:val="27894FA0"/>
    <w:rsid w:val="27D2215A"/>
    <w:rsid w:val="27F76F67"/>
    <w:rsid w:val="281A0EA7"/>
    <w:rsid w:val="284877C3"/>
    <w:rsid w:val="28701767"/>
    <w:rsid w:val="287326EC"/>
    <w:rsid w:val="28836A4D"/>
    <w:rsid w:val="28A144DE"/>
    <w:rsid w:val="28C606E7"/>
    <w:rsid w:val="292E0821"/>
    <w:rsid w:val="29394A5F"/>
    <w:rsid w:val="29B82726"/>
    <w:rsid w:val="29C67536"/>
    <w:rsid w:val="2A4012A5"/>
    <w:rsid w:val="2A6908FE"/>
    <w:rsid w:val="2ACA1B3C"/>
    <w:rsid w:val="2ACA39A7"/>
    <w:rsid w:val="2AEA2DB3"/>
    <w:rsid w:val="2B8D1D21"/>
    <w:rsid w:val="2BDC1346"/>
    <w:rsid w:val="2BEC4909"/>
    <w:rsid w:val="2C26606D"/>
    <w:rsid w:val="2CB25CD8"/>
    <w:rsid w:val="2CDA6E57"/>
    <w:rsid w:val="2DB87C25"/>
    <w:rsid w:val="2DDB94E8"/>
    <w:rsid w:val="2DE4019A"/>
    <w:rsid w:val="2DFA422D"/>
    <w:rsid w:val="2ED82DE9"/>
    <w:rsid w:val="2F01691D"/>
    <w:rsid w:val="2F567BD9"/>
    <w:rsid w:val="2F93694C"/>
    <w:rsid w:val="2FA77026"/>
    <w:rsid w:val="2FB64A2C"/>
    <w:rsid w:val="301B00BE"/>
    <w:rsid w:val="30A36FF1"/>
    <w:rsid w:val="30AE74B8"/>
    <w:rsid w:val="30E57806"/>
    <w:rsid w:val="30E76319"/>
    <w:rsid w:val="31061FC9"/>
    <w:rsid w:val="31D65C22"/>
    <w:rsid w:val="31DD2B6C"/>
    <w:rsid w:val="32003B98"/>
    <w:rsid w:val="32A77828"/>
    <w:rsid w:val="32FA5B5D"/>
    <w:rsid w:val="32FD48AE"/>
    <w:rsid w:val="330A7EFD"/>
    <w:rsid w:val="3330157F"/>
    <w:rsid w:val="33B81DE8"/>
    <w:rsid w:val="33FF67B9"/>
    <w:rsid w:val="34060480"/>
    <w:rsid w:val="34173F47"/>
    <w:rsid w:val="34A96881"/>
    <w:rsid w:val="34C93999"/>
    <w:rsid w:val="350A50A2"/>
    <w:rsid w:val="357065AB"/>
    <w:rsid w:val="35C87F34"/>
    <w:rsid w:val="35CB558F"/>
    <w:rsid w:val="35D703D8"/>
    <w:rsid w:val="36BA61CA"/>
    <w:rsid w:val="375816CF"/>
    <w:rsid w:val="375BD3A9"/>
    <w:rsid w:val="37795AC3"/>
    <w:rsid w:val="378219F7"/>
    <w:rsid w:val="37BB699A"/>
    <w:rsid w:val="381E7F4D"/>
    <w:rsid w:val="3836605E"/>
    <w:rsid w:val="385D1988"/>
    <w:rsid w:val="3861455A"/>
    <w:rsid w:val="38BE589B"/>
    <w:rsid w:val="38DE5291"/>
    <w:rsid w:val="38DF7CCF"/>
    <w:rsid w:val="390037A2"/>
    <w:rsid w:val="39691347"/>
    <w:rsid w:val="39B567E8"/>
    <w:rsid w:val="39FA28E7"/>
    <w:rsid w:val="3A1A6AE5"/>
    <w:rsid w:val="3A457788"/>
    <w:rsid w:val="3AC73FF0"/>
    <w:rsid w:val="3B4958D4"/>
    <w:rsid w:val="3B5B73B5"/>
    <w:rsid w:val="3BAD2B18"/>
    <w:rsid w:val="3BC04D42"/>
    <w:rsid w:val="3BE70255"/>
    <w:rsid w:val="3BE90E02"/>
    <w:rsid w:val="3C3C0578"/>
    <w:rsid w:val="3C812E4B"/>
    <w:rsid w:val="3CB6196A"/>
    <w:rsid w:val="3CD1173A"/>
    <w:rsid w:val="3CD56668"/>
    <w:rsid w:val="3CDC4C15"/>
    <w:rsid w:val="3D5C7EC0"/>
    <w:rsid w:val="3D772DA7"/>
    <w:rsid w:val="3D7B0B45"/>
    <w:rsid w:val="3E110989"/>
    <w:rsid w:val="3E182556"/>
    <w:rsid w:val="3E1A3C76"/>
    <w:rsid w:val="3E3068D7"/>
    <w:rsid w:val="3EBF1848"/>
    <w:rsid w:val="3EC534C3"/>
    <w:rsid w:val="3ED2798E"/>
    <w:rsid w:val="3F0C16C4"/>
    <w:rsid w:val="3F3F4625"/>
    <w:rsid w:val="3F4F1E6B"/>
    <w:rsid w:val="3F6D4C9E"/>
    <w:rsid w:val="3F740BAA"/>
    <w:rsid w:val="3FA33136"/>
    <w:rsid w:val="3FAC745B"/>
    <w:rsid w:val="400224F5"/>
    <w:rsid w:val="403A1C8F"/>
    <w:rsid w:val="40592CD6"/>
    <w:rsid w:val="40EA5463"/>
    <w:rsid w:val="41166258"/>
    <w:rsid w:val="4139028D"/>
    <w:rsid w:val="415B5189"/>
    <w:rsid w:val="418E68AF"/>
    <w:rsid w:val="420C2FE8"/>
    <w:rsid w:val="420D12B8"/>
    <w:rsid w:val="422453BF"/>
    <w:rsid w:val="424F6D01"/>
    <w:rsid w:val="425B4FCD"/>
    <w:rsid w:val="429D02B3"/>
    <w:rsid w:val="43186F5D"/>
    <w:rsid w:val="441F3676"/>
    <w:rsid w:val="442E38B7"/>
    <w:rsid w:val="444035EC"/>
    <w:rsid w:val="444D590E"/>
    <w:rsid w:val="445552E9"/>
    <w:rsid w:val="44BF2B1E"/>
    <w:rsid w:val="451821CA"/>
    <w:rsid w:val="451D4333"/>
    <w:rsid w:val="45EC4EB1"/>
    <w:rsid w:val="46B53161"/>
    <w:rsid w:val="46C2653A"/>
    <w:rsid w:val="46D71FE6"/>
    <w:rsid w:val="46DD59F3"/>
    <w:rsid w:val="46F26477"/>
    <w:rsid w:val="473453C9"/>
    <w:rsid w:val="477135F2"/>
    <w:rsid w:val="481D7ECC"/>
    <w:rsid w:val="487A43A9"/>
    <w:rsid w:val="48A24DF2"/>
    <w:rsid w:val="48EC2473"/>
    <w:rsid w:val="4910358D"/>
    <w:rsid w:val="49325BF9"/>
    <w:rsid w:val="495B5F96"/>
    <w:rsid w:val="4A7A7858"/>
    <w:rsid w:val="4A833DDE"/>
    <w:rsid w:val="4AAD1497"/>
    <w:rsid w:val="4AF60EA8"/>
    <w:rsid w:val="4B766399"/>
    <w:rsid w:val="4B9B6A46"/>
    <w:rsid w:val="4BD126B6"/>
    <w:rsid w:val="4C8937C4"/>
    <w:rsid w:val="4CAE4D4E"/>
    <w:rsid w:val="4D061CEA"/>
    <w:rsid w:val="4D2D2077"/>
    <w:rsid w:val="4D3079B0"/>
    <w:rsid w:val="4D483CFB"/>
    <w:rsid w:val="4DC766D9"/>
    <w:rsid w:val="4DC837F1"/>
    <w:rsid w:val="4DD42237"/>
    <w:rsid w:val="4DE43E38"/>
    <w:rsid w:val="4E57207E"/>
    <w:rsid w:val="4E577EB0"/>
    <w:rsid w:val="4E643CA3"/>
    <w:rsid w:val="4E827BAD"/>
    <w:rsid w:val="4E8B0801"/>
    <w:rsid w:val="4EBF5F9B"/>
    <w:rsid w:val="4EEA0D24"/>
    <w:rsid w:val="4F906C8C"/>
    <w:rsid w:val="4FA15887"/>
    <w:rsid w:val="4FEB6B02"/>
    <w:rsid w:val="500110B1"/>
    <w:rsid w:val="50B53E76"/>
    <w:rsid w:val="51023383"/>
    <w:rsid w:val="51220301"/>
    <w:rsid w:val="517D19DC"/>
    <w:rsid w:val="51FC1C0F"/>
    <w:rsid w:val="52232583"/>
    <w:rsid w:val="522B77E3"/>
    <w:rsid w:val="52434B27"/>
    <w:rsid w:val="526C64D6"/>
    <w:rsid w:val="526F3A1A"/>
    <w:rsid w:val="533B3EA3"/>
    <w:rsid w:val="53A07C03"/>
    <w:rsid w:val="53C33EBA"/>
    <w:rsid w:val="543F741C"/>
    <w:rsid w:val="54431BBA"/>
    <w:rsid w:val="547748A2"/>
    <w:rsid w:val="551366B0"/>
    <w:rsid w:val="551E6BFD"/>
    <w:rsid w:val="55412866"/>
    <w:rsid w:val="557E5D22"/>
    <w:rsid w:val="55E55DA1"/>
    <w:rsid w:val="55F52488"/>
    <w:rsid w:val="560B3A5A"/>
    <w:rsid w:val="567B37A2"/>
    <w:rsid w:val="5687029A"/>
    <w:rsid w:val="57011E43"/>
    <w:rsid w:val="5712706A"/>
    <w:rsid w:val="5758166F"/>
    <w:rsid w:val="584A0A6A"/>
    <w:rsid w:val="585F0ED5"/>
    <w:rsid w:val="587C2220"/>
    <w:rsid w:val="58F0571B"/>
    <w:rsid w:val="596D445E"/>
    <w:rsid w:val="59800714"/>
    <w:rsid w:val="59C97EB4"/>
    <w:rsid w:val="59CD1026"/>
    <w:rsid w:val="59F34F31"/>
    <w:rsid w:val="5A6D0B73"/>
    <w:rsid w:val="5B7764D4"/>
    <w:rsid w:val="5B94358B"/>
    <w:rsid w:val="5C03728A"/>
    <w:rsid w:val="5C065A52"/>
    <w:rsid w:val="5C213F6E"/>
    <w:rsid w:val="5C3A7AA5"/>
    <w:rsid w:val="5C965BD2"/>
    <w:rsid w:val="5CB96961"/>
    <w:rsid w:val="5CBB20D7"/>
    <w:rsid w:val="5D4265D8"/>
    <w:rsid w:val="5D557CB0"/>
    <w:rsid w:val="5D84563D"/>
    <w:rsid w:val="5DEB4B5C"/>
    <w:rsid w:val="5EA902B4"/>
    <w:rsid w:val="5F2F6EFE"/>
    <w:rsid w:val="5F334C6A"/>
    <w:rsid w:val="5F3956A4"/>
    <w:rsid w:val="5F3A9E27"/>
    <w:rsid w:val="5F7C5450"/>
    <w:rsid w:val="600357A2"/>
    <w:rsid w:val="600734E4"/>
    <w:rsid w:val="60132BBC"/>
    <w:rsid w:val="615C0D42"/>
    <w:rsid w:val="617C2DA3"/>
    <w:rsid w:val="61893794"/>
    <w:rsid w:val="620D2688"/>
    <w:rsid w:val="621C3B96"/>
    <w:rsid w:val="625B6C51"/>
    <w:rsid w:val="627100CA"/>
    <w:rsid w:val="62DE63D1"/>
    <w:rsid w:val="62DF24F6"/>
    <w:rsid w:val="634C54F0"/>
    <w:rsid w:val="635B603C"/>
    <w:rsid w:val="6361115D"/>
    <w:rsid w:val="637D564F"/>
    <w:rsid w:val="638E7A78"/>
    <w:rsid w:val="6411213F"/>
    <w:rsid w:val="64151D68"/>
    <w:rsid w:val="642239BF"/>
    <w:rsid w:val="645111D2"/>
    <w:rsid w:val="64550596"/>
    <w:rsid w:val="6460463E"/>
    <w:rsid w:val="64C16798"/>
    <w:rsid w:val="64CC60FB"/>
    <w:rsid w:val="64EF4547"/>
    <w:rsid w:val="64F00543"/>
    <w:rsid w:val="64F41B5D"/>
    <w:rsid w:val="64F46E25"/>
    <w:rsid w:val="6519323D"/>
    <w:rsid w:val="6526668E"/>
    <w:rsid w:val="65292C1E"/>
    <w:rsid w:val="65570F81"/>
    <w:rsid w:val="65586590"/>
    <w:rsid w:val="65701CA0"/>
    <w:rsid w:val="65A40EB0"/>
    <w:rsid w:val="65A42D3E"/>
    <w:rsid w:val="65A74E21"/>
    <w:rsid w:val="65BD23B8"/>
    <w:rsid w:val="65C06603"/>
    <w:rsid w:val="668533B4"/>
    <w:rsid w:val="66E030EB"/>
    <w:rsid w:val="670912D2"/>
    <w:rsid w:val="670C06CC"/>
    <w:rsid w:val="67406DA3"/>
    <w:rsid w:val="67572C64"/>
    <w:rsid w:val="67C62A04"/>
    <w:rsid w:val="68201F24"/>
    <w:rsid w:val="68303D68"/>
    <w:rsid w:val="683C3F47"/>
    <w:rsid w:val="689B6EBF"/>
    <w:rsid w:val="68A65864"/>
    <w:rsid w:val="68F86230"/>
    <w:rsid w:val="69054339"/>
    <w:rsid w:val="6A070584"/>
    <w:rsid w:val="6A2904FB"/>
    <w:rsid w:val="6A2E2559"/>
    <w:rsid w:val="6A4175F2"/>
    <w:rsid w:val="6B982E39"/>
    <w:rsid w:val="6BB61B32"/>
    <w:rsid w:val="6BEA6F9E"/>
    <w:rsid w:val="6C0905E4"/>
    <w:rsid w:val="6C87065C"/>
    <w:rsid w:val="6CBA151E"/>
    <w:rsid w:val="6CC44F34"/>
    <w:rsid w:val="6CDC0F65"/>
    <w:rsid w:val="6D447383"/>
    <w:rsid w:val="6D45389E"/>
    <w:rsid w:val="6D617FAC"/>
    <w:rsid w:val="6D773F73"/>
    <w:rsid w:val="6D8048D6"/>
    <w:rsid w:val="6D806C9D"/>
    <w:rsid w:val="6D8845E0"/>
    <w:rsid w:val="6E14670F"/>
    <w:rsid w:val="6F242BE9"/>
    <w:rsid w:val="6F763A18"/>
    <w:rsid w:val="6F9E1043"/>
    <w:rsid w:val="6FF03E60"/>
    <w:rsid w:val="6FFC562B"/>
    <w:rsid w:val="6FFF9462"/>
    <w:rsid w:val="701F6731"/>
    <w:rsid w:val="703E3ADE"/>
    <w:rsid w:val="708A4BE7"/>
    <w:rsid w:val="7091303E"/>
    <w:rsid w:val="70D96BE4"/>
    <w:rsid w:val="719731AA"/>
    <w:rsid w:val="72600832"/>
    <w:rsid w:val="72626453"/>
    <w:rsid w:val="729A188F"/>
    <w:rsid w:val="72FB5001"/>
    <w:rsid w:val="731B25F8"/>
    <w:rsid w:val="732857F3"/>
    <w:rsid w:val="7357017C"/>
    <w:rsid w:val="736138AF"/>
    <w:rsid w:val="73813156"/>
    <w:rsid w:val="73BF31A6"/>
    <w:rsid w:val="742D5082"/>
    <w:rsid w:val="7444344F"/>
    <w:rsid w:val="7475174F"/>
    <w:rsid w:val="74842EFD"/>
    <w:rsid w:val="752217B8"/>
    <w:rsid w:val="75322959"/>
    <w:rsid w:val="75D24C43"/>
    <w:rsid w:val="75D9C1FB"/>
    <w:rsid w:val="767470AF"/>
    <w:rsid w:val="76FD65E3"/>
    <w:rsid w:val="777F385B"/>
    <w:rsid w:val="77B7D072"/>
    <w:rsid w:val="7835413B"/>
    <w:rsid w:val="78643027"/>
    <w:rsid w:val="787B1EF7"/>
    <w:rsid w:val="78FB3A2D"/>
    <w:rsid w:val="78FBE2E9"/>
    <w:rsid w:val="79751067"/>
    <w:rsid w:val="79CF4A40"/>
    <w:rsid w:val="79E10F69"/>
    <w:rsid w:val="79ED83A9"/>
    <w:rsid w:val="79FA49EF"/>
    <w:rsid w:val="7A2111EE"/>
    <w:rsid w:val="7A971BA9"/>
    <w:rsid w:val="7B4406C9"/>
    <w:rsid w:val="7B8F3F36"/>
    <w:rsid w:val="7BC462D5"/>
    <w:rsid w:val="7BE424D4"/>
    <w:rsid w:val="7BE6385A"/>
    <w:rsid w:val="7BEDAB3F"/>
    <w:rsid w:val="7C536688"/>
    <w:rsid w:val="7C773856"/>
    <w:rsid w:val="7CC876FF"/>
    <w:rsid w:val="7CCE07CD"/>
    <w:rsid w:val="7D6F7B12"/>
    <w:rsid w:val="7D9B0C98"/>
    <w:rsid w:val="7DA0340B"/>
    <w:rsid w:val="7DBF3E05"/>
    <w:rsid w:val="7DFE02F7"/>
    <w:rsid w:val="7E066731"/>
    <w:rsid w:val="7E644817"/>
    <w:rsid w:val="7E7A34BE"/>
    <w:rsid w:val="7E8458A8"/>
    <w:rsid w:val="7EB87A63"/>
    <w:rsid w:val="7ECB2820"/>
    <w:rsid w:val="7F2802D8"/>
    <w:rsid w:val="7F6530A9"/>
    <w:rsid w:val="7F6F6FA7"/>
    <w:rsid w:val="7FB50F02"/>
    <w:rsid w:val="7FB73BE7"/>
    <w:rsid w:val="7FCA0496"/>
    <w:rsid w:val="7FE722DE"/>
    <w:rsid w:val="7FFAE390"/>
    <w:rsid w:val="7FFDCA44"/>
    <w:rsid w:val="7FFF7199"/>
    <w:rsid w:val="8EEEE644"/>
    <w:rsid w:val="9DFE7EA4"/>
    <w:rsid w:val="B7CE34E3"/>
    <w:rsid w:val="BBEFBB2E"/>
    <w:rsid w:val="BD68E148"/>
    <w:rsid w:val="BFABC73B"/>
    <w:rsid w:val="BFBD0CF5"/>
    <w:rsid w:val="CB7B2F97"/>
    <w:rsid w:val="CBB7A07C"/>
    <w:rsid w:val="CFFC5471"/>
    <w:rsid w:val="E34D1BFE"/>
    <w:rsid w:val="EBEBA934"/>
    <w:rsid w:val="EFBFA2F6"/>
    <w:rsid w:val="F8BBC25D"/>
    <w:rsid w:val="FA6F2BB0"/>
    <w:rsid w:val="FD1F67E4"/>
    <w:rsid w:val="FD3651C9"/>
    <w:rsid w:val="FDFB5E4E"/>
    <w:rsid w:val="FE3E1195"/>
    <w:rsid w:val="FF4FCBD6"/>
    <w:rsid w:val="FFDAD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nhideWhenUsed="0" w:uiPriority="9"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jc w:val="center"/>
      <w:outlineLvl w:val="1"/>
    </w:pPr>
    <w:rPr>
      <w:rFonts w:ascii="黑体" w:hAnsi="宋体" w:eastAsia="黑体"/>
      <w:b/>
      <w:bCs/>
      <w:sz w:val="36"/>
      <w:szCs w:val="32"/>
    </w:rPr>
  </w:style>
  <w:style w:type="paragraph" w:styleId="4">
    <w:name w:val="heading 5"/>
    <w:basedOn w:val="1"/>
    <w:next w:val="5"/>
    <w:qFormat/>
    <w:uiPriority w:val="9"/>
    <w:pPr>
      <w:keepNext/>
      <w:keepLines/>
      <w:spacing w:before="280" w:after="290" w:line="376" w:lineRule="auto"/>
      <w:outlineLvl w:val="4"/>
    </w:pPr>
    <w:rPr>
      <w:b/>
      <w:bCs/>
      <w:sz w:val="28"/>
      <w:szCs w:val="28"/>
    </w:rPr>
  </w:style>
  <w:style w:type="paragraph" w:styleId="6">
    <w:name w:val="heading 6"/>
    <w:basedOn w:val="1"/>
    <w:next w:val="1"/>
    <w:qFormat/>
    <w:uiPriority w:val="0"/>
    <w:pPr>
      <w:keepNext/>
      <w:keepLines/>
      <w:spacing w:line="360" w:lineRule="auto"/>
      <w:outlineLvl w:val="5"/>
    </w:pPr>
    <w:rPr>
      <w:b/>
      <w:bCs/>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annotation text"/>
    <w:basedOn w:val="1"/>
    <w:link w:val="32"/>
    <w:qFormat/>
    <w:uiPriority w:val="0"/>
    <w:pPr>
      <w:jc w:val="left"/>
    </w:pPr>
  </w:style>
  <w:style w:type="paragraph" w:styleId="9">
    <w:name w:val="Body Text 3"/>
    <w:basedOn w:val="1"/>
    <w:unhideWhenUsed/>
    <w:qFormat/>
    <w:uiPriority w:val="99"/>
    <w:pPr>
      <w:spacing w:after="120"/>
    </w:pPr>
    <w:rPr>
      <w:sz w:val="16"/>
      <w:szCs w:val="16"/>
    </w:rPr>
  </w:style>
  <w:style w:type="paragraph" w:styleId="10">
    <w:name w:val="Body Text"/>
    <w:basedOn w:val="1"/>
    <w:next w:val="11"/>
    <w:unhideWhenUsed/>
    <w:qFormat/>
    <w:uiPriority w:val="0"/>
    <w:pPr>
      <w:spacing w:after="120"/>
    </w:pPr>
  </w:style>
  <w:style w:type="paragraph" w:customStyle="1" w:styleId="11">
    <w:name w:val="默认段落"/>
    <w:basedOn w:val="1"/>
    <w:qFormat/>
    <w:uiPriority w:val="0"/>
    <w:rPr>
      <w:rFonts w:ascii="Calibri" w:hAnsi="Calibri"/>
    </w:rPr>
  </w:style>
  <w:style w:type="paragraph" w:styleId="12">
    <w:name w:val="Body Text Indent"/>
    <w:basedOn w:val="1"/>
    <w:next w:val="1"/>
    <w:qFormat/>
    <w:uiPriority w:val="0"/>
    <w:pPr>
      <w:ind w:firstLine="830" w:firstLineChars="352"/>
    </w:pPr>
    <w:rPr>
      <w:rFonts w:ascii="仿宋_GB2312" w:eastAsia="仿宋_GB2312"/>
      <w:kern w:val="0"/>
      <w:sz w:val="32"/>
      <w:szCs w:val="20"/>
    </w:rPr>
  </w:style>
  <w:style w:type="paragraph" w:styleId="13">
    <w:name w:val="List 2"/>
    <w:basedOn w:val="1"/>
    <w:unhideWhenUsed/>
    <w:qFormat/>
    <w:uiPriority w:val="99"/>
    <w:pPr>
      <w:ind w:left="100" w:leftChars="200" w:hanging="200" w:hangingChars="200"/>
      <w:contextualSpacing/>
    </w:pPr>
  </w:style>
  <w:style w:type="paragraph" w:styleId="14">
    <w:name w:val="toc 3"/>
    <w:basedOn w:val="1"/>
    <w:next w:val="1"/>
    <w:qFormat/>
    <w:uiPriority w:val="0"/>
    <w:pPr>
      <w:ind w:left="840" w:leftChars="400"/>
    </w:pPr>
  </w:style>
  <w:style w:type="paragraph" w:styleId="15">
    <w:name w:val="Plain Text"/>
    <w:basedOn w:val="1"/>
    <w:next w:val="1"/>
    <w:qFormat/>
    <w:uiPriority w:val="0"/>
    <w:rPr>
      <w:rFonts w:ascii="宋体" w:hAnsi="Courier New"/>
      <w:kern w:val="0"/>
      <w:sz w:val="20"/>
      <w:szCs w:val="21"/>
    </w:rPr>
  </w:style>
  <w:style w:type="paragraph" w:styleId="16">
    <w:name w:val="Balloon Text"/>
    <w:basedOn w:val="1"/>
    <w:link w:val="41"/>
    <w:qFormat/>
    <w:uiPriority w:val="0"/>
    <w:rPr>
      <w:sz w:val="18"/>
      <w:szCs w:val="18"/>
    </w:rPr>
  </w:style>
  <w:style w:type="paragraph" w:styleId="17">
    <w:name w:val="footer"/>
    <w:basedOn w:val="1"/>
    <w:unhideWhenUsed/>
    <w:qFormat/>
    <w:uiPriority w:val="99"/>
    <w:pPr>
      <w:tabs>
        <w:tab w:val="center" w:pos="4153"/>
        <w:tab w:val="right" w:pos="8306"/>
      </w:tabs>
      <w:snapToGrid w:val="0"/>
      <w:jc w:val="left"/>
    </w:pPr>
    <w:rPr>
      <w:kern w:val="0"/>
      <w:sz w:val="18"/>
      <w:szCs w:val="18"/>
    </w:rPr>
  </w:style>
  <w:style w:type="paragraph" w:styleId="18">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unhideWhenUsed/>
    <w:qFormat/>
    <w:uiPriority w:val="39"/>
  </w:style>
  <w:style w:type="paragraph" w:styleId="20">
    <w:name w:val="List"/>
    <w:basedOn w:val="1"/>
    <w:qFormat/>
    <w:uiPriority w:val="0"/>
    <w:pPr>
      <w:ind w:left="200" w:hanging="200" w:hangingChars="200"/>
    </w:pPr>
    <w:rPr>
      <w:sz w:val="28"/>
    </w:rPr>
  </w:style>
  <w:style w:type="paragraph" w:styleId="21">
    <w:name w:val="toc 2"/>
    <w:basedOn w:val="1"/>
    <w:next w:val="1"/>
    <w:unhideWhenUsed/>
    <w:qFormat/>
    <w:uiPriority w:val="39"/>
    <w:pPr>
      <w:tabs>
        <w:tab w:val="right" w:leader="dot" w:pos="8296"/>
      </w:tabs>
      <w:ind w:left="420" w:leftChars="200"/>
    </w:pPr>
  </w:style>
  <w:style w:type="paragraph" w:styleId="22">
    <w:name w:val="Message Header"/>
    <w:basedOn w:val="1"/>
    <w:next w:val="10"/>
    <w:qFormat/>
    <w:uiPriority w:val="0"/>
    <w:pPr>
      <w:pBdr>
        <w:top w:val="none" w:color="auto" w:sz="0" w:space="1"/>
        <w:left w:val="none" w:color="auto" w:sz="0" w:space="1"/>
        <w:bottom w:val="none" w:color="auto" w:sz="0" w:space="1"/>
        <w:right w:val="none" w:color="auto" w:sz="0" w:space="1"/>
      </w:pBdr>
      <w:shd w:val="pct20" w:color="auto" w:fill="auto"/>
      <w:kinsoku w:val="0"/>
      <w:overflowPunct w:val="0"/>
      <w:spacing w:line="360" w:lineRule="auto"/>
    </w:pPr>
    <w:rPr>
      <w:rFonts w:ascii="Arial" w:hAnsi="Arial"/>
      <w:sz w:val="28"/>
    </w:rPr>
  </w:style>
  <w:style w:type="paragraph" w:styleId="23">
    <w:name w:val="annotation subject"/>
    <w:basedOn w:val="8"/>
    <w:next w:val="8"/>
    <w:link w:val="33"/>
    <w:qFormat/>
    <w:uiPriority w:val="0"/>
    <w:rPr>
      <w:b/>
      <w:bCs/>
    </w:rPr>
  </w:style>
  <w:style w:type="paragraph" w:styleId="24">
    <w:name w:val="Body Text First Indent 2"/>
    <w:basedOn w:val="12"/>
    <w:next w:val="1"/>
    <w:qFormat/>
    <w:uiPriority w:val="0"/>
    <w:pPr>
      <w:tabs>
        <w:tab w:val="left" w:pos="0"/>
        <w:tab w:val="left" w:pos="420"/>
      </w:tabs>
      <w:wordWrap w:val="0"/>
      <w:topLinePunct/>
      <w:spacing w:line="360" w:lineRule="auto"/>
      <w:ind w:firstLine="480" w:firstLineChars="200"/>
    </w:pPr>
    <w:rPr>
      <w:rFonts w:ascii="幼圆" w:eastAsia="幼圆"/>
      <w:bCs/>
      <w:color w:val="000000"/>
      <w:spacing w:val="20"/>
      <w:sz w:val="24"/>
      <w:szCs w:val="24"/>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qFormat/>
    <w:uiPriority w:val="0"/>
  </w:style>
  <w:style w:type="character" w:styleId="29">
    <w:name w:val="Emphasis"/>
    <w:basedOn w:val="27"/>
    <w:qFormat/>
    <w:uiPriority w:val="20"/>
    <w:rPr>
      <w:i/>
      <w:iCs/>
    </w:rPr>
  </w:style>
  <w:style w:type="character" w:styleId="30">
    <w:name w:val="annotation reference"/>
    <w:qFormat/>
    <w:uiPriority w:val="0"/>
    <w:rPr>
      <w:sz w:val="21"/>
      <w:szCs w:val="21"/>
    </w:rPr>
  </w:style>
  <w:style w:type="paragraph" w:customStyle="1" w:styleId="31">
    <w:name w:val="Body Text First Indent1"/>
    <w:basedOn w:val="17"/>
    <w:qFormat/>
    <w:uiPriority w:val="0"/>
    <w:pPr>
      <w:spacing w:line="360" w:lineRule="auto"/>
      <w:ind w:firstLine="420" w:firstLineChars="100"/>
    </w:pPr>
  </w:style>
  <w:style w:type="character" w:customStyle="1" w:styleId="32">
    <w:name w:val="批注文字 Char"/>
    <w:link w:val="8"/>
    <w:qFormat/>
    <w:uiPriority w:val="0"/>
    <w:rPr>
      <w:kern w:val="2"/>
      <w:sz w:val="21"/>
      <w:szCs w:val="24"/>
    </w:rPr>
  </w:style>
  <w:style w:type="character" w:customStyle="1" w:styleId="33">
    <w:name w:val="批注主题 Char"/>
    <w:link w:val="23"/>
    <w:qFormat/>
    <w:uiPriority w:val="0"/>
    <w:rPr>
      <w:b/>
      <w:bCs/>
      <w:kern w:val="2"/>
      <w:sz w:val="21"/>
      <w:szCs w:val="24"/>
    </w:rPr>
  </w:style>
  <w:style w:type="paragraph" w:customStyle="1" w:styleId="34">
    <w:name w:val="表格文字"/>
    <w:basedOn w:val="1"/>
    <w:next w:val="10"/>
    <w:qFormat/>
    <w:uiPriority w:val="0"/>
    <w:pPr>
      <w:spacing w:before="25" w:after="25"/>
      <w:jc w:val="left"/>
    </w:pPr>
    <w:rPr>
      <w:bCs/>
      <w:spacing w:val="10"/>
      <w:kern w:val="0"/>
      <w:sz w:val="24"/>
      <w:szCs w:val="20"/>
    </w:rPr>
  </w:style>
  <w:style w:type="paragraph" w:customStyle="1" w:styleId="35">
    <w:name w:val="Default"/>
    <w:qFormat/>
    <w:uiPriority w:val="0"/>
    <w:pPr>
      <w:widowControl w:val="0"/>
      <w:autoSpaceDE w:val="0"/>
      <w:autoSpaceDN w:val="0"/>
      <w:adjustRightInd w:val="0"/>
    </w:pPr>
    <w:rPr>
      <w:rFonts w:hint="eastAsia" w:ascii="方正小标宋简体" w:hAnsi="方正小标宋简体" w:eastAsia="方正小标宋简体" w:cs="Times New Roman"/>
      <w:color w:val="000000"/>
      <w:sz w:val="24"/>
      <w:szCs w:val="22"/>
      <w:lang w:val="en-US" w:eastAsia="zh-CN" w:bidi="ar-SA"/>
    </w:rPr>
  </w:style>
  <w:style w:type="paragraph" w:customStyle="1" w:styleId="36">
    <w:name w:val="题目"/>
    <w:basedOn w:val="1"/>
    <w:qFormat/>
    <w:uiPriority w:val="0"/>
    <w:pPr>
      <w:spacing w:beforeLines="200" w:afterLines="100"/>
      <w:jc w:val="center"/>
    </w:pPr>
    <w:rPr>
      <w:rFonts w:ascii="黑体" w:eastAsia="黑体"/>
      <w:color w:val="C00000"/>
      <w:sz w:val="28"/>
      <w:szCs w:val="28"/>
    </w:rPr>
  </w:style>
  <w:style w:type="paragraph" w:styleId="37">
    <w:name w:val="List Paragraph"/>
    <w:basedOn w:val="1"/>
    <w:qFormat/>
    <w:uiPriority w:val="99"/>
    <w:pPr>
      <w:ind w:firstLine="420" w:firstLineChars="200"/>
    </w:pPr>
    <w:rPr>
      <w:snapToGrid w:val="0"/>
      <w:kern w:val="0"/>
    </w:rPr>
  </w:style>
  <w:style w:type="character" w:customStyle="1" w:styleId="38">
    <w:name w:val="font11"/>
    <w:qFormat/>
    <w:uiPriority w:val="0"/>
    <w:rPr>
      <w:rFonts w:hint="eastAsia" w:ascii="微软雅黑" w:hAnsi="微软雅黑" w:eastAsia="微软雅黑" w:cs="微软雅黑"/>
      <w:color w:val="000000"/>
      <w:sz w:val="20"/>
      <w:szCs w:val="20"/>
      <w:u w:val="none"/>
    </w:rPr>
  </w:style>
  <w:style w:type="paragraph" w:customStyle="1" w:styleId="39">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0">
    <w:name w:val="正文中"/>
    <w:basedOn w:val="1"/>
    <w:next w:val="1"/>
    <w:qFormat/>
    <w:uiPriority w:val="0"/>
    <w:pPr>
      <w:spacing w:line="440" w:lineRule="exact"/>
      <w:jc w:val="center"/>
    </w:pPr>
    <w:rPr>
      <w:rFonts w:ascii="仿宋_GB2312" w:hAnsi="宋体" w:eastAsia="仿宋_GB2312"/>
      <w:sz w:val="28"/>
    </w:rPr>
  </w:style>
  <w:style w:type="character" w:customStyle="1" w:styleId="41">
    <w:name w:val="批注框文本 Char"/>
    <w:basedOn w:val="27"/>
    <w:link w:val="16"/>
    <w:qFormat/>
    <w:uiPriority w:val="0"/>
    <w:rPr>
      <w:kern w:val="2"/>
      <w:sz w:val="18"/>
      <w:szCs w:val="18"/>
    </w:rPr>
  </w:style>
  <w:style w:type="paragraph" w:customStyle="1" w:styleId="42">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43">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4">
    <w:name w:val="Normal_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正文_0"/>
    <w:next w:val="1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40</Pages>
  <Words>10481</Words>
  <Characters>10735</Characters>
  <Lines>150</Lines>
  <Paragraphs>42</Paragraphs>
  <TotalTime>0</TotalTime>
  <ScaleCrop>false</ScaleCrop>
  <LinksUpToDate>false</LinksUpToDate>
  <CharactersWithSpaces>11710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2025-08-21T02:13:00Z</dcterms:created>
  <dc:creator>sugeke2</dc:creator>
  <cp:lastModifiedBy>sugeke2</cp:lastModifiedBy>
  <cp:lastPrinted>2024-01-19T02:33:00Z</cp:lastPrinted>
  <dcterms:modified xsi:type="dcterms:W3CDTF">2026-09-09T08:24:24Z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20DD6D06C584418A95D6719052973227_13</vt:lpwstr>
  </property>
  <property fmtid="{D5CDD505-2E9C-101B-9397-08002B2CF9AE}" pid="4" name="KSOTemplateDocerSaveRecord">
    <vt:lpwstr>eyJoZGlkIjoiNjViYWI4NDcyOGM2YTM0N2YzMDM3MzYxZjhiYzJiYzgiLCJ1c2VySWQiOiIyMTU1NjE4NDUifQ==</vt:lpwstr>
  </property>
</Properties>
</file>